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F28E" w14:textId="77777777" w:rsidR="00F06DE8" w:rsidRDefault="00F06DE8" w:rsidP="00F06DE8">
      <w:pPr>
        <w:pStyle w:val="FirstParagraph"/>
      </w:pPr>
      <w:r>
        <w:t>Appendix A — Development History and Open Questions</w:t>
      </w:r>
    </w:p>
    <w:p w14:paraId="1FF614F1" w14:textId="77777777" w:rsidR="00F06DE8" w:rsidRDefault="00F06DE8" w:rsidP="00F06DE8">
      <w:pPr>
        <w:pStyle w:val="BodyText"/>
      </w:pPr>
      <w:r>
        <w:rPr>
          <w:i/>
          <w:iCs/>
        </w:rPr>
        <w:t>To avoid confusion with the V0.1–V0.5 Z-estimator family (Section 4), successive stages of this paper’s development are labelled Draft 1 through Draft 4 below, rather than by version number.</w:t>
      </w:r>
    </w:p>
    <w:p w14:paraId="3E8E35D8" w14:textId="77777777" w:rsidR="00F06DE8" w:rsidRDefault="00F06DE8" w:rsidP="00F06DE8">
      <w:pPr>
        <w:pStyle w:val="BodyText"/>
      </w:pPr>
      <w:r>
        <w:rPr>
          <w:b/>
          <w:bCs/>
        </w:rPr>
        <w:t>Draft 1:</w:t>
      </w:r>
      <w:r>
        <w:t xml:space="preserve"> Framework, three-level architecture, the V0.1–V0.5 estimator family, domain validation (fisheries, beach litter, WEEE, batteries).</w:t>
      </w:r>
    </w:p>
    <w:p w14:paraId="70B48691" w14:textId="77777777" w:rsidR="00F06DE8" w:rsidRDefault="00F06DE8" w:rsidP="00F06DE8">
      <w:pPr>
        <w:pStyle w:val="BodyText"/>
      </w:pPr>
      <w:r>
        <w:rPr>
          <w:b/>
          <w:bCs/>
        </w:rPr>
        <w:t>Draft 2:</w:t>
      </w:r>
      <w:r>
        <w:t xml:space="preserve"> Three empirical case studies (elections, self-placement, wellbeing). Three-type δ-typology. Cross-case synthesis.</w:t>
      </w:r>
    </w:p>
    <w:p w14:paraId="589B667B" w14:textId="77777777" w:rsidR="00F06DE8" w:rsidRDefault="00F06DE8" w:rsidP="00F06DE8">
      <w:pPr>
        <w:pStyle w:val="BodyText"/>
      </w:pPr>
      <w:r>
        <w:rPr>
          <w:b/>
          <w:bCs/>
        </w:rPr>
        <w:t>Draft 3:</w:t>
      </w:r>
      <w:r>
        <w:t xml:space="preserve"> Level 0 network topology. Four-type δ-typology (structural δ new). Transition diagnostic toolkit (H_trans, K, JSD, EMD). Observational completeness (census vs. catch-at-age). Percentage vs. absolute data. Fourth case study (ALLBUS fairness perception). Sinkhorn algorithm for neighbour-network MaxEnt.</w:t>
      </w:r>
    </w:p>
    <w:p w14:paraId="5CB7559F" w14:textId="77777777" w:rsidR="00F06DE8" w:rsidRDefault="00F06DE8" w:rsidP="00F06DE8">
      <w:pPr>
        <w:pStyle w:val="BodyText"/>
      </w:pPr>
      <w:r>
        <w:rPr>
          <w:b/>
          <w:bCs/>
        </w:rPr>
        <w:t>Draft 4 (this version):</w:t>
      </w:r>
      <w:r>
        <w:t xml:space="preserve"> Three-term null-space decomposition (μ_state, μ_bip, a_ext; Section 2.1.1), cross- checked against Niven et al. (2019) and King (1997)/Rosen et al. (2001). Three additional case studies: V (polymer degradation, variable-specific Level 0), VI (firm demography, USA vs. Germany; two cohort-pulse δ subtypes; truncated-entropy diagnostic), VII (Nephrops norvegicus size-class transitions, first length-class rather than age-class DADS domain). Cross-Case Synthesis extended accordingly. Krych et al. (2025a, 2025b) added as DOI-verified references, having previously been withheld pending publication. Four primary registry/survey data sources added (BLS, Destatis, ICES DATRAS, STECF). Five companion manuscripts (“own papers”) updated from in-prep placeholders to full drafts, including one previously unlisted (fisheries, eleven stocks) and one journal-target discrepancy flagged for the PV paper (Waste Management → Journal of Industrial Ecology, not yet reconciled). A block-bootstrap null test was applied to the coupling index K(t) across all four domains where it had been used; the previously reported cross-domain consistency result did not survive the test and is withdrawn (Sections 3.2, 8; Finding 10).</w:t>
      </w:r>
    </w:p>
    <w:p w14:paraId="005CA5E8" w14:textId="77777777" w:rsidR="00F06DE8" w:rsidRDefault="00F06DE8" w:rsidP="00F06DE8">
      <w:pPr>
        <w:pStyle w:val="BodyText"/>
      </w:pPr>
      <w:r>
        <w:rPr>
          <w:b/>
          <w:bCs/>
        </w:rPr>
        <w:t>Still open from earlier drafts:</w:t>
      </w:r>
      <w:r>
        <w:t xml:space="preserve"> Full data-compendium documentation; extension to non-ordered networks; fuzzy membership estimation from data; time-normalisation standard for irregular survey intervals (also listed under Open Questions below). A proposed fifth Level 0 topology (“open loop with closure”, for closed-loop economy applications) remains an unvalidated working-note proposal, not yet part of this paper.</w:t>
      </w:r>
    </w:p>
    <w:p w14:paraId="7D557365" w14:textId="77777777" w:rsidR="00F06DE8" w:rsidRDefault="00F06DE8" w:rsidP="00F06DE8">
      <w:pPr>
        <w:pStyle w:val="BodyText"/>
      </w:pPr>
      <w:r>
        <w:t>Open Questions</w:t>
      </w:r>
    </w:p>
    <w:p w14:paraId="5238D9C9" w14:textId="77777777" w:rsidR="00F06DE8" w:rsidRDefault="00F06DE8" w:rsidP="00F06DE8">
      <w:pPr>
        <w:numPr>
          <w:ilvl w:val="0"/>
          <w:numId w:val="1"/>
        </w:numPr>
      </w:pPr>
      <w:r>
        <w:rPr>
          <w:b/>
          <w:bCs/>
        </w:rPr>
        <w:t>Resolved:</w:t>
      </w:r>
      <w:r>
        <w:t xml:space="preserve"> Significance test for K(t) at realistic sample sizes. A multinomial block-bootstrap null test was run on all testable transitions in battery storage (n=8), elections (n=20), and ALLBUS (n=16) — the same test previously applied only to wind direction (n=31). Result: only 2/44 transitions in the three original domains significant at p&lt;0.05 (≈2.2 expected by chance), paired Wilcoxon p=0.99; combined with the wind-direction result (3/31, p=0.27), the “K(t) consistency across domains” claim is withdrawn across all four domains tested (Sections 3.2, 8; Finding 10, Case </w:t>
      </w:r>
      <w:r>
        <w:lastRenderedPageBreak/>
        <w:t xml:space="preserve">IV). </w:t>
      </w:r>
      <w:r>
        <w:rPr>
          <w:b/>
          <w:bCs/>
        </w:rPr>
        <w:t>New open question raised by this result:</w:t>
      </w:r>
      <w:r>
        <w:t xml:space="preserve"> whether a modified diagnostic (e.g. K(t) variance-stabilised for sample size, or a permutation test built directly into the reporting convention) could recover a usable signal, or whether H_trans-based transition diagnostics should be abandoned in favour of a differently constructed measure. Not yet investigated.</w:t>
      </w:r>
    </w:p>
    <w:p w14:paraId="6A07D20D" w14:textId="77777777" w:rsidR="00F06DE8" w:rsidRDefault="00F06DE8" w:rsidP="00F06DE8">
      <w:pPr>
        <w:numPr>
          <w:ilvl w:val="0"/>
          <w:numId w:val="1"/>
        </w:numPr>
      </w:pPr>
      <w:r>
        <w:t xml:space="preserve">Formal proof that δ is the unique free parameter in the null space of A for directed-path networks. (Conjectured from five application domains; not yet proved in generality.) </w:t>
      </w:r>
      <w:r>
        <w:rPr>
          <w:b/>
          <w:bCs/>
        </w:rPr>
        <w:t>Addressed in this draft</w:t>
      </w:r>
      <w:r>
        <w:t xml:space="preserve"> (Section 2.1.1): the “1” for directed-path is an anchor dimension a_ext, and — via Niven et al.’s (2019) augmented-external-node device — is itself a cyclomatic number on the source/sink-augmented graph, unifying it with μ_state in the homogeneous case. Not yet extended to the state-varying case (a_ext up to n, V0.3-type).</w:t>
      </w:r>
    </w:p>
    <w:p w14:paraId="49123B5A" w14:textId="77777777" w:rsidR="00F06DE8" w:rsidRDefault="00F06DE8" w:rsidP="00F06DE8">
      <w:pPr>
        <w:numPr>
          <w:ilvl w:val="0"/>
          <w:numId w:val="1"/>
        </w:numPr>
      </w:pPr>
      <w:r>
        <w:t>Whether the μ_state = μ_bip coincidence for the Complete network (Section 2.1.1) is a genuine equivalence for that topology class or a numerical accident of its edge count — not established either way. Still open; the cross-check against Niven/King (below) did not resolve this, since it concerns only the DADS-internal comparison between the two terms, not their relation to either external framework.</w:t>
      </w:r>
    </w:p>
    <w:p w14:paraId="5B7BC47C" w14:textId="77777777" w:rsidR="00F06DE8" w:rsidRDefault="00F06DE8" w:rsidP="00F06DE8">
      <w:pPr>
        <w:numPr>
          <w:ilvl w:val="0"/>
          <w:numId w:val="1"/>
        </w:numPr>
      </w:pPr>
      <w:r>
        <w:rPr>
          <w:b/>
          <w:bCs/>
        </w:rPr>
        <w:t>Partially addressed</w:t>
      </w:r>
      <w:r>
        <w:t xml:space="preserve">: a_ext generalises to a_ext = max(k−1, 0) for k external edges at a single fictitious external node (Section 2.1.1) — validated against Directed Path (k=2→1) and against a proposed source+three-sink topology (k=4→3) applied to the PET deposit-return system. Still open: whether the formula holds when external edges connect to </w:t>
      </w:r>
      <w:r>
        <w:rPr>
          <w:i/>
          <w:iCs/>
        </w:rPr>
        <w:t>multiple distinct</w:t>
      </w:r>
      <w:r>
        <w:t xml:space="preserve"> fictitious external nodes rather than one shared node (not tested); and whether μ_bip=0 for branching-but-sparse topologies is a general pattern or specific to the PET case examined.</w:t>
      </w:r>
    </w:p>
    <w:p w14:paraId="362DAC41" w14:textId="77777777" w:rsidR="00F06DE8" w:rsidRDefault="00F06DE8" w:rsidP="00F06DE8">
      <w:pPr>
        <w:numPr>
          <w:ilvl w:val="0"/>
          <w:numId w:val="1"/>
        </w:numPr>
      </w:pPr>
      <w:r>
        <w:rPr>
          <w:b/>
          <w:bCs/>
        </w:rPr>
        <w:t>Resolved</w:t>
      </w:r>
      <w:r>
        <w:t xml:space="preserve"> (Section 2.1.1): Niven et al. (2019) and King (1997)/Rosen et al. (2001) are not overlapping treatments of the same null-space concept but cover disjoint halves — Niven’s Kirchhoff loop-law framework (Λ independent loops, p. 11) formalises μ_state; King’s ecological-inference framework, generalised to R×C by Rosen et al. (2001), formalises μ_bip. Niven’s framework does not address μ_bip at all, since it infers a single joint flow state rather than reconstructing cells from two separate marginal snapshots.</w:t>
      </w:r>
    </w:p>
    <w:p w14:paraId="1135FFF9" w14:textId="77777777" w:rsidR="00F06DE8" w:rsidRDefault="00F06DE8" w:rsidP="00F06DE8">
      <w:pPr>
        <w:numPr>
          <w:ilvl w:val="0"/>
          <w:numId w:val="1"/>
        </w:numPr>
      </w:pPr>
      <w:r>
        <w:t>Standard for time-normalisation of K(t) and JSD across surveys with irregular observation intervals.</w:t>
      </w:r>
    </w:p>
    <w:p w14:paraId="5FA9BC70" w14:textId="77777777" w:rsidR="00F06DE8" w:rsidRDefault="00F06DE8" w:rsidP="00F06DE8">
      <w:pPr>
        <w:numPr>
          <w:ilvl w:val="0"/>
          <w:numId w:val="1"/>
        </w:numPr>
      </w:pPr>
      <w:r>
        <w:t>Conditions under which semantic δ can be estimated from parallel survey instruments.</w:t>
      </w:r>
    </w:p>
    <w:p w14:paraId="0DAEEB62" w14:textId="77777777" w:rsidR="00F06DE8" w:rsidRDefault="00F06DE8" w:rsidP="00F06DE8">
      <w:pPr>
        <w:numPr>
          <w:ilvl w:val="0"/>
          <w:numId w:val="1"/>
        </w:numPr>
      </w:pPr>
      <w:r>
        <w:t>Extension of the δ-typology: are physical, semantic, epistemic, and structural exhaustive?</w:t>
      </w:r>
    </w:p>
    <w:p w14:paraId="0A88C826" w14:textId="77777777" w:rsidR="00F06DE8" w:rsidRDefault="00F06DE8" w:rsidP="00F06DE8">
      <w:pPr>
        <w:numPr>
          <w:ilvl w:val="0"/>
          <w:numId w:val="1"/>
        </w:numPr>
      </w:pPr>
      <w:r>
        <w:lastRenderedPageBreak/>
        <w:t>Validation of the H-minimum result (H ≈ 0.884 for both Weimar 1928 and BRD 1972) against other parliamentary democracies. Is this a universal property of stable two-party systems?</w:t>
      </w:r>
    </w:p>
    <w:p w14:paraId="3C732076" w14:textId="77777777" w:rsidR="00F06DE8" w:rsidRDefault="00F06DE8" w:rsidP="00F06DE8">
      <w:pPr>
        <w:numPr>
          <w:ilvl w:val="0"/>
          <w:numId w:val="1"/>
        </w:numPr>
      </w:pPr>
      <w:r>
        <w:t>Relationship between DADS transition entropy H_trans and ENA ascendency. Is K(t) a special case of average mutual information on a two-node meta-network?</w:t>
      </w:r>
    </w:p>
    <w:p w14:paraId="27B133B9" w14:textId="77777777" w:rsidR="00F06DE8" w:rsidRDefault="00F06DE8" w:rsidP="00F06DE8">
      <w:pPr>
        <w:numPr>
          <w:ilvl w:val="0"/>
          <w:numId w:val="1"/>
        </w:numPr>
      </w:pPr>
      <w:r>
        <w:t>Conditions under which EMD from marginal distributions is a tight bound (close to the true individual-level transition distance).</w:t>
      </w:r>
    </w:p>
    <w:p w14:paraId="541A066A" w14:textId="77777777" w:rsidR="00F06DE8" w:rsidRDefault="00F06DE8" w:rsidP="00F06DE8">
      <w:pPr>
        <w:pStyle w:val="FirstParagraph"/>
      </w:pPr>
      <w:r>
        <w:t>Distribution Analysis of Discrete States — preprint, not yet peer reviewed — page</w:t>
      </w:r>
    </w:p>
    <w:p w14:paraId="1F97A59C" w14:textId="77777777" w:rsidR="009542D6" w:rsidRDefault="009542D6"/>
    <w:sectPr w:rsidR="009542D6" w:rsidSect="00F06DE8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ACD6141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178422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E8"/>
    <w:rsid w:val="00264C10"/>
    <w:rsid w:val="00470242"/>
    <w:rsid w:val="00726E03"/>
    <w:rsid w:val="00934BC8"/>
    <w:rsid w:val="009542D6"/>
    <w:rsid w:val="00A744A8"/>
    <w:rsid w:val="00C8679A"/>
    <w:rsid w:val="00F0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B4979"/>
  <w15:chartTrackingRefBased/>
  <w15:docId w15:val="{7DB1E152-E6E7-4B6C-A392-0E6C0272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DE8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D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D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D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D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D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DE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F06DE8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F06DE8"/>
    <w:rPr>
      <w:rFonts w:eastAsiaTheme="minorHAnsi"/>
      <w:kern w:val="0"/>
      <w:lang w:eastAsia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F0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2026-08-14T07:47:00Z</dcterms:created>
  <dcterms:modified xsi:type="dcterms:W3CDTF">2026-08-14T07:47:00Z</dcterms:modified>
</cp:coreProperties>
</file>