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B2415" w14:textId="77777777" w:rsidR="00F677DB" w:rsidRDefault="00F677DB" w:rsidP="00F677DB">
      <w:pPr>
        <w:widowControl/>
        <w:spacing w:line="480" w:lineRule="auto"/>
        <w:jc w:val="center"/>
        <w:rPr>
          <w:rFonts w:eastAsia="宋体" w:cs="Times New Roman"/>
          <w:b/>
          <w:bCs/>
          <w:sz w:val="20"/>
          <w:szCs w:val="20"/>
        </w:rPr>
      </w:pPr>
      <w:r>
        <w:rPr>
          <w:rFonts w:eastAsia="宋体" w:cs="Times New Roman"/>
          <w:b/>
          <w:bCs/>
          <w:sz w:val="20"/>
          <w:szCs w:val="20"/>
        </w:rPr>
        <w:t>Supplementary information</w:t>
      </w:r>
      <w:r>
        <w:rPr>
          <w:rFonts w:eastAsia="宋体" w:cs="Times New Roman" w:hint="eastAsia"/>
          <w:b/>
          <w:bCs/>
          <w:sz w:val="20"/>
          <w:szCs w:val="20"/>
        </w:rPr>
        <w:t xml:space="preserve"> for</w:t>
      </w:r>
    </w:p>
    <w:p w14:paraId="20740E73" w14:textId="77777777" w:rsidR="00F677DB" w:rsidRDefault="00F677DB" w:rsidP="00F677DB">
      <w:pPr>
        <w:spacing w:line="480" w:lineRule="auto"/>
        <w:jc w:val="center"/>
        <w:rPr>
          <w:rFonts w:eastAsia="宋体" w:cs="Times New Roman"/>
          <w:b/>
          <w:bCs/>
          <w:color w:val="000000" w:themeColor="text1"/>
          <w:sz w:val="22"/>
        </w:rPr>
      </w:pPr>
      <w:r>
        <w:rPr>
          <w:rFonts w:eastAsia="宋体" w:cs="Times New Roman"/>
          <w:b/>
          <w:bCs/>
          <w:color w:val="000000" w:themeColor="text1"/>
          <w:sz w:val="22"/>
        </w:rPr>
        <w:t>AI-driven closed-loop control of lithium plating in batteries</w:t>
      </w:r>
    </w:p>
    <w:p w14:paraId="1F5B1CEF" w14:textId="3F0930E7" w:rsidR="00F677DB" w:rsidRDefault="00F677DB" w:rsidP="00F677DB">
      <w:pPr>
        <w:spacing w:line="480" w:lineRule="auto"/>
        <w:jc w:val="center"/>
        <w:rPr>
          <w:rFonts w:eastAsia="宋体" w:cs="Times New Roman"/>
          <w:color w:val="000000" w:themeColor="text1"/>
          <w:sz w:val="20"/>
          <w:szCs w:val="20"/>
        </w:rPr>
      </w:pPr>
      <w:r>
        <w:rPr>
          <w:rFonts w:eastAsia="宋体" w:cs="Times New Roman" w:hint="eastAsia"/>
          <w:color w:val="000000" w:themeColor="text1"/>
          <w:sz w:val="20"/>
          <w:szCs w:val="20"/>
        </w:rPr>
        <w:t>Hong-Yuan He</w:t>
      </w:r>
      <w:r>
        <w:rPr>
          <w:rFonts w:eastAsia="宋体" w:cs="Times New Roman" w:hint="eastAsia"/>
          <w:color w:val="000000" w:themeColor="text1"/>
          <w:sz w:val="20"/>
          <w:szCs w:val="20"/>
          <w:vertAlign w:val="superscript"/>
        </w:rPr>
        <w:t>1,2,</w:t>
      </w:r>
      <w:r>
        <w:rPr>
          <w:rFonts w:eastAsia="宋体" w:cs="Times New Roman" w:hint="eastAsia"/>
          <w:color w:val="000000" w:themeColor="text1"/>
          <w:sz w:val="20"/>
          <w:szCs w:val="20"/>
          <w:vertAlign w:val="superscript"/>
        </w:rPr>
        <w:sym w:font="Symbol" w:char="F023"/>
      </w:r>
      <w:r>
        <w:rPr>
          <w:rFonts w:eastAsia="宋体" w:cs="Times New Roman" w:hint="eastAsia"/>
          <w:color w:val="000000" w:themeColor="text1"/>
          <w:sz w:val="20"/>
          <w:szCs w:val="20"/>
        </w:rPr>
        <w:t xml:space="preserve">, </w:t>
      </w:r>
      <w:r>
        <w:rPr>
          <w:rFonts w:eastAsia="宋体" w:cs="Times New Roman"/>
          <w:color w:val="000000" w:themeColor="text1"/>
          <w:sz w:val="20"/>
          <w:szCs w:val="20"/>
        </w:rPr>
        <w:t>Si-Yuan Ma</w:t>
      </w:r>
      <w:r>
        <w:rPr>
          <w:rFonts w:eastAsia="宋体" w:cs="Times New Roman" w:hint="eastAsia"/>
          <w:color w:val="000000" w:themeColor="text1"/>
          <w:sz w:val="20"/>
          <w:szCs w:val="20"/>
          <w:vertAlign w:val="superscript"/>
        </w:rPr>
        <w:t>1,2,#</w:t>
      </w:r>
      <w:r>
        <w:rPr>
          <w:rFonts w:eastAsia="宋体" w:cs="Times New Roman"/>
          <w:color w:val="000000" w:themeColor="text1"/>
          <w:sz w:val="20"/>
          <w:szCs w:val="20"/>
        </w:rPr>
        <w:t>,</w:t>
      </w:r>
      <w:r>
        <w:rPr>
          <w:rFonts w:eastAsia="宋体" w:cs="Times New Roman" w:hint="eastAsia"/>
          <w:color w:val="000000" w:themeColor="text1"/>
          <w:sz w:val="20"/>
          <w:szCs w:val="20"/>
        </w:rPr>
        <w:t xml:space="preserve"> Zhen Li</w:t>
      </w:r>
      <w:r>
        <w:rPr>
          <w:rFonts w:eastAsia="宋体" w:cs="Times New Roman" w:hint="eastAsia"/>
          <w:color w:val="000000" w:themeColor="text1"/>
          <w:sz w:val="20"/>
          <w:szCs w:val="20"/>
          <w:vertAlign w:val="superscript"/>
        </w:rPr>
        <w:t>1,2,</w:t>
      </w:r>
      <w:r>
        <w:rPr>
          <w:rFonts w:eastAsia="宋体" w:cs="Times New Roman" w:hint="eastAsia"/>
          <w:color w:val="000000" w:themeColor="text1"/>
          <w:sz w:val="20"/>
          <w:szCs w:val="20"/>
          <w:vertAlign w:val="superscript"/>
        </w:rPr>
        <w:sym w:font="Symbol" w:char="F023"/>
      </w:r>
      <w:r>
        <w:rPr>
          <w:rFonts w:eastAsia="宋体" w:cs="Times New Roman" w:hint="eastAsia"/>
          <w:color w:val="000000" w:themeColor="text1"/>
          <w:sz w:val="20"/>
          <w:szCs w:val="20"/>
        </w:rPr>
        <w:t>, Wei-Wei Wang</w:t>
      </w:r>
      <w:r>
        <w:rPr>
          <w:rFonts w:eastAsia="宋体" w:cs="Times New Roman" w:hint="eastAsia"/>
          <w:color w:val="000000" w:themeColor="text1"/>
          <w:sz w:val="20"/>
          <w:szCs w:val="20"/>
          <w:vertAlign w:val="superscript"/>
        </w:rPr>
        <w:t>2</w:t>
      </w:r>
      <w:r>
        <w:rPr>
          <w:rFonts w:eastAsia="宋体" w:cs="Times New Roman" w:hint="eastAsia"/>
          <w:color w:val="000000" w:themeColor="text1"/>
          <w:sz w:val="20"/>
          <w:szCs w:val="20"/>
        </w:rPr>
        <w:t>, Hong-Yang Yuan</w:t>
      </w:r>
      <w:r>
        <w:rPr>
          <w:rFonts w:eastAsia="宋体" w:cs="Times New Roman" w:hint="eastAsia"/>
          <w:color w:val="000000" w:themeColor="text1"/>
          <w:sz w:val="20"/>
          <w:szCs w:val="20"/>
          <w:vertAlign w:val="superscript"/>
        </w:rPr>
        <w:t>1,2</w:t>
      </w:r>
      <w:r>
        <w:rPr>
          <w:rFonts w:eastAsia="宋体" w:cs="Times New Roman" w:hint="eastAsia"/>
          <w:color w:val="000000" w:themeColor="text1"/>
          <w:sz w:val="20"/>
          <w:szCs w:val="20"/>
        </w:rPr>
        <w:t xml:space="preserve">, </w:t>
      </w:r>
      <w:r>
        <w:rPr>
          <w:rFonts w:eastAsia="宋体" w:cs="Times New Roman"/>
          <w:color w:val="000000" w:themeColor="text1"/>
          <w:sz w:val="20"/>
          <w:szCs w:val="20"/>
        </w:rPr>
        <w:t>Wan-Jie Zhang</w:t>
      </w:r>
      <w:r>
        <w:rPr>
          <w:rFonts w:eastAsia="宋体" w:cs="Times New Roman" w:hint="eastAsia"/>
          <w:color w:val="000000" w:themeColor="text1"/>
          <w:sz w:val="20"/>
          <w:szCs w:val="20"/>
          <w:vertAlign w:val="superscript"/>
        </w:rPr>
        <w:t>2</w:t>
      </w:r>
      <w:r>
        <w:rPr>
          <w:rFonts w:eastAsia="宋体" w:cs="Times New Roman"/>
          <w:color w:val="000000" w:themeColor="text1"/>
          <w:sz w:val="20"/>
          <w:szCs w:val="20"/>
        </w:rPr>
        <w:t>,</w:t>
      </w:r>
      <w:r>
        <w:rPr>
          <w:rFonts w:eastAsia="宋体" w:cs="Times New Roman" w:hint="eastAsia"/>
          <w:color w:val="000000" w:themeColor="text1"/>
          <w:sz w:val="20"/>
          <w:szCs w:val="20"/>
        </w:rPr>
        <w:t xml:space="preserve"> </w:t>
      </w:r>
      <w:r>
        <w:rPr>
          <w:rFonts w:eastAsia="宋体" w:cs="Times New Roman"/>
          <w:color w:val="000000" w:themeColor="text1"/>
          <w:sz w:val="20"/>
          <w:szCs w:val="20"/>
        </w:rPr>
        <w:t>Quan-Fang Wang</w:t>
      </w:r>
      <w:r>
        <w:rPr>
          <w:rFonts w:eastAsia="宋体" w:cs="Times New Roman" w:hint="eastAsia"/>
          <w:color w:val="000000" w:themeColor="text1"/>
          <w:sz w:val="20"/>
          <w:szCs w:val="20"/>
          <w:vertAlign w:val="superscript"/>
        </w:rPr>
        <w:t>1,2</w:t>
      </w:r>
      <w:r>
        <w:rPr>
          <w:rFonts w:eastAsia="宋体" w:cs="Times New Roman"/>
          <w:color w:val="000000" w:themeColor="text1"/>
          <w:sz w:val="20"/>
          <w:szCs w:val="20"/>
        </w:rPr>
        <w:t xml:space="preserve">, </w:t>
      </w:r>
      <w:r>
        <w:rPr>
          <w:rFonts w:eastAsia="宋体" w:cs="Times New Roman" w:hint="eastAsia"/>
          <w:color w:val="000000" w:themeColor="text1"/>
          <w:sz w:val="20"/>
          <w:szCs w:val="20"/>
        </w:rPr>
        <w:t>Yu-Fei Chen</w:t>
      </w:r>
      <w:r>
        <w:rPr>
          <w:rFonts w:eastAsia="宋体" w:cs="Times New Roman" w:hint="eastAsia"/>
          <w:color w:val="000000" w:themeColor="text1"/>
          <w:sz w:val="20"/>
          <w:szCs w:val="20"/>
          <w:vertAlign w:val="superscript"/>
        </w:rPr>
        <w:t>1</w:t>
      </w:r>
      <w:r>
        <w:rPr>
          <w:rFonts w:eastAsia="宋体" w:cs="Times New Roman" w:hint="eastAsia"/>
          <w:color w:val="000000" w:themeColor="text1"/>
          <w:sz w:val="20"/>
          <w:szCs w:val="20"/>
        </w:rPr>
        <w:t>, Yu-Ming Su</w:t>
      </w:r>
      <w:r>
        <w:rPr>
          <w:rFonts w:eastAsia="宋体" w:cs="Times New Roman" w:hint="eastAsia"/>
          <w:color w:val="000000" w:themeColor="text1"/>
          <w:sz w:val="20"/>
          <w:szCs w:val="20"/>
          <w:vertAlign w:val="superscript"/>
        </w:rPr>
        <w:t>2</w:t>
      </w:r>
      <w:r>
        <w:rPr>
          <w:rFonts w:eastAsia="宋体" w:cs="Times New Roman" w:hint="eastAsia"/>
          <w:color w:val="000000" w:themeColor="text1"/>
          <w:sz w:val="20"/>
          <w:szCs w:val="20"/>
        </w:rPr>
        <w:t>, Hai-Long Wang</w:t>
      </w:r>
      <w:r>
        <w:rPr>
          <w:rFonts w:eastAsia="宋体" w:cs="Times New Roman" w:hint="eastAsia"/>
          <w:color w:val="000000" w:themeColor="text1"/>
          <w:sz w:val="20"/>
          <w:szCs w:val="20"/>
          <w:vertAlign w:val="superscript"/>
        </w:rPr>
        <w:t>1,2</w:t>
      </w:r>
      <w:r>
        <w:rPr>
          <w:rFonts w:eastAsia="宋体" w:cs="Times New Roman" w:hint="eastAsia"/>
          <w:color w:val="000000" w:themeColor="text1"/>
          <w:sz w:val="20"/>
          <w:szCs w:val="20"/>
        </w:rPr>
        <w:t>,</w:t>
      </w:r>
      <w:r>
        <w:rPr>
          <w:rFonts w:eastAsia="宋体" w:cs="Times New Roman"/>
          <w:color w:val="000000" w:themeColor="text1"/>
          <w:sz w:val="20"/>
          <w:szCs w:val="20"/>
        </w:rPr>
        <w:t xml:space="preserve"> Meng-Yao Wang</w:t>
      </w:r>
      <w:r>
        <w:rPr>
          <w:rFonts w:eastAsia="宋体" w:cs="Times New Roman"/>
          <w:color w:val="000000" w:themeColor="text1"/>
          <w:sz w:val="20"/>
          <w:szCs w:val="20"/>
          <w:vertAlign w:val="superscript"/>
        </w:rPr>
        <w:t>3</w:t>
      </w:r>
      <w:r>
        <w:rPr>
          <w:rFonts w:eastAsia="宋体" w:cs="Times New Roman"/>
          <w:color w:val="000000" w:themeColor="text1"/>
          <w:sz w:val="20"/>
          <w:szCs w:val="20"/>
        </w:rPr>
        <w:t>, Yi-Hui Wu</w:t>
      </w:r>
      <w:r>
        <w:rPr>
          <w:rFonts w:eastAsia="宋体" w:cs="Times New Roman"/>
          <w:color w:val="000000" w:themeColor="text1"/>
          <w:sz w:val="20"/>
          <w:szCs w:val="20"/>
          <w:vertAlign w:val="superscript"/>
        </w:rPr>
        <w:t>4</w:t>
      </w:r>
      <w:r>
        <w:rPr>
          <w:rFonts w:eastAsia="宋体" w:cs="Times New Roman"/>
          <w:color w:val="000000" w:themeColor="text1"/>
          <w:sz w:val="20"/>
          <w:szCs w:val="20"/>
        </w:rPr>
        <w:t>,</w:t>
      </w:r>
      <w:r w:rsidR="005F2137" w:rsidRPr="005F2137">
        <w:rPr>
          <w:rFonts w:eastAsia="宋体" w:cs="Times New Roman"/>
          <w:color w:val="000000" w:themeColor="text1"/>
          <w:sz w:val="20"/>
          <w:szCs w:val="20"/>
        </w:rPr>
        <w:t xml:space="preserve"> </w:t>
      </w:r>
      <w:r w:rsidR="005F2137">
        <w:rPr>
          <w:rFonts w:eastAsia="宋体" w:cs="Times New Roman"/>
          <w:color w:val="000000" w:themeColor="text1"/>
          <w:sz w:val="20"/>
          <w:szCs w:val="20"/>
        </w:rPr>
        <w:t>Jing-Hua Tian</w:t>
      </w:r>
      <w:r w:rsidR="005F2137">
        <w:rPr>
          <w:rFonts w:eastAsia="宋体" w:cs="Times New Roman"/>
          <w:color w:val="000000" w:themeColor="text1"/>
          <w:sz w:val="20"/>
          <w:szCs w:val="20"/>
          <w:vertAlign w:val="superscript"/>
        </w:rPr>
        <w:t>1,2,*</w:t>
      </w:r>
      <w:r w:rsidR="005F2137">
        <w:rPr>
          <w:rFonts w:eastAsia="宋体" w:cs="Times New Roman"/>
          <w:color w:val="000000" w:themeColor="text1"/>
          <w:sz w:val="20"/>
          <w:szCs w:val="20"/>
        </w:rPr>
        <w:t>,</w:t>
      </w:r>
      <w:r w:rsidR="005F2137">
        <w:rPr>
          <w:rFonts w:eastAsia="宋体" w:cs="Times New Roman" w:hint="eastAsia"/>
          <w:color w:val="000000" w:themeColor="text1"/>
          <w:sz w:val="20"/>
          <w:szCs w:val="20"/>
        </w:rPr>
        <w:t xml:space="preserve"> </w:t>
      </w:r>
      <w:r>
        <w:rPr>
          <w:rFonts w:eastAsia="宋体" w:cs="Times New Roman"/>
          <w:color w:val="000000" w:themeColor="text1"/>
          <w:sz w:val="20"/>
          <w:szCs w:val="20"/>
        </w:rPr>
        <w:t xml:space="preserve"> </w:t>
      </w:r>
      <w:r>
        <w:rPr>
          <w:rFonts w:eastAsia="宋体" w:cs="Times New Roman" w:hint="eastAsia"/>
          <w:color w:val="000000" w:themeColor="text1"/>
          <w:sz w:val="20"/>
          <w:szCs w:val="20"/>
        </w:rPr>
        <w:t>Chong Yan</w:t>
      </w:r>
      <w:r>
        <w:rPr>
          <w:rFonts w:eastAsia="宋体" w:cs="Times New Roman"/>
          <w:color w:val="000000" w:themeColor="text1"/>
          <w:sz w:val="20"/>
          <w:szCs w:val="20"/>
          <w:vertAlign w:val="superscript"/>
        </w:rPr>
        <w:t>4</w:t>
      </w:r>
      <w:r>
        <w:rPr>
          <w:rFonts w:eastAsia="宋体" w:cs="Times New Roman" w:hint="eastAsia"/>
          <w:color w:val="000000" w:themeColor="text1"/>
          <w:sz w:val="20"/>
          <w:szCs w:val="20"/>
          <w:vertAlign w:val="superscript"/>
        </w:rPr>
        <w:t>,*</w:t>
      </w:r>
      <w:r>
        <w:rPr>
          <w:rFonts w:eastAsia="宋体" w:cs="Times New Roman" w:hint="eastAsia"/>
          <w:color w:val="000000" w:themeColor="text1"/>
          <w:sz w:val="20"/>
          <w:szCs w:val="20"/>
        </w:rPr>
        <w:t xml:space="preserve">, </w:t>
      </w:r>
      <w:proofErr w:type="spellStart"/>
      <w:r>
        <w:rPr>
          <w:rFonts w:eastAsia="宋体" w:cs="Times New Roman" w:hint="eastAsia"/>
          <w:color w:val="000000" w:themeColor="text1"/>
          <w:sz w:val="20"/>
          <w:szCs w:val="20"/>
        </w:rPr>
        <w:t>Qiang</w:t>
      </w:r>
      <w:proofErr w:type="spellEnd"/>
      <w:r>
        <w:rPr>
          <w:rFonts w:eastAsia="宋体" w:cs="Times New Roman" w:hint="eastAsia"/>
          <w:color w:val="000000" w:themeColor="text1"/>
          <w:sz w:val="20"/>
          <w:szCs w:val="20"/>
        </w:rPr>
        <w:t xml:space="preserve"> Zhang</w:t>
      </w:r>
      <w:r>
        <w:rPr>
          <w:rFonts w:eastAsia="宋体" w:cs="Times New Roman"/>
          <w:color w:val="000000" w:themeColor="text1"/>
          <w:sz w:val="20"/>
          <w:szCs w:val="20"/>
          <w:vertAlign w:val="superscript"/>
        </w:rPr>
        <w:t>5</w:t>
      </w:r>
      <w:r>
        <w:rPr>
          <w:rFonts w:eastAsia="宋体" w:cs="Times New Roman" w:hint="eastAsia"/>
          <w:color w:val="000000" w:themeColor="text1"/>
          <w:sz w:val="20"/>
          <w:szCs w:val="20"/>
          <w:vertAlign w:val="superscript"/>
        </w:rPr>
        <w:t>,*</w:t>
      </w:r>
      <w:r>
        <w:rPr>
          <w:rFonts w:eastAsia="宋体" w:cs="Times New Roman" w:hint="eastAsia"/>
          <w:color w:val="000000" w:themeColor="text1"/>
          <w:sz w:val="20"/>
          <w:szCs w:val="20"/>
        </w:rPr>
        <w:t xml:space="preserve">, </w:t>
      </w:r>
      <w:r>
        <w:rPr>
          <w:rFonts w:eastAsia="宋体" w:cs="Times New Roman"/>
          <w:color w:val="000000" w:themeColor="text1"/>
          <w:sz w:val="20"/>
          <w:szCs w:val="20"/>
        </w:rPr>
        <w:t>Zhong-</w:t>
      </w:r>
      <w:proofErr w:type="spellStart"/>
      <w:r>
        <w:rPr>
          <w:rFonts w:eastAsia="宋体" w:cs="Times New Roman"/>
          <w:color w:val="000000" w:themeColor="text1"/>
          <w:sz w:val="20"/>
          <w:szCs w:val="20"/>
        </w:rPr>
        <w:t>Qun</w:t>
      </w:r>
      <w:proofErr w:type="spellEnd"/>
      <w:r>
        <w:rPr>
          <w:rFonts w:eastAsia="宋体" w:cs="Times New Roman"/>
          <w:color w:val="000000" w:themeColor="text1"/>
          <w:sz w:val="20"/>
          <w:szCs w:val="20"/>
        </w:rPr>
        <w:t xml:space="preserve"> Tian</w:t>
      </w:r>
      <w:r>
        <w:rPr>
          <w:rFonts w:eastAsia="宋体" w:cs="Times New Roman"/>
          <w:color w:val="000000" w:themeColor="text1"/>
          <w:sz w:val="20"/>
          <w:szCs w:val="20"/>
          <w:vertAlign w:val="superscript"/>
        </w:rPr>
        <w:t>1,2,*</w:t>
      </w:r>
    </w:p>
    <w:p w14:paraId="0571B76C" w14:textId="77777777" w:rsidR="00F677DB" w:rsidRDefault="00F677DB" w:rsidP="00F677DB">
      <w:pPr>
        <w:spacing w:line="480" w:lineRule="auto"/>
        <w:jc w:val="center"/>
        <w:rPr>
          <w:rFonts w:eastAsia="宋体" w:cs="Times New Roman"/>
          <w:b/>
          <w:bCs/>
          <w:color w:val="000000" w:themeColor="text1"/>
          <w:sz w:val="20"/>
          <w:szCs w:val="20"/>
        </w:rPr>
      </w:pPr>
    </w:p>
    <w:p w14:paraId="76965F5B" w14:textId="77777777" w:rsidR="00F677DB" w:rsidRDefault="00F677DB" w:rsidP="00F677DB">
      <w:pPr>
        <w:spacing w:line="276" w:lineRule="auto"/>
        <w:jc w:val="center"/>
        <w:rPr>
          <w:rFonts w:eastAsia="宋体" w:cs="Times New Roman"/>
          <w:color w:val="000000" w:themeColor="text1"/>
          <w:sz w:val="20"/>
          <w:szCs w:val="20"/>
        </w:rPr>
      </w:pPr>
      <w:r>
        <w:rPr>
          <w:rFonts w:eastAsia="宋体" w:cs="Times New Roman"/>
          <w:color w:val="000000" w:themeColor="text1"/>
          <w:sz w:val="20"/>
          <w:szCs w:val="20"/>
          <w:vertAlign w:val="superscript"/>
        </w:rPr>
        <w:t xml:space="preserve">1 </w:t>
      </w:r>
      <w:r>
        <w:rPr>
          <w:rFonts w:eastAsia="宋体" w:cs="Times New Roman"/>
          <w:color w:val="000000" w:themeColor="text1"/>
          <w:sz w:val="20"/>
          <w:szCs w:val="20"/>
        </w:rPr>
        <w:t>State Key Laboratory of Physical Chemistry of Solid Surfaces, College of Chemistry and Chemical Engineering, Xiamen University, Xiamen 361005, China</w:t>
      </w:r>
    </w:p>
    <w:p w14:paraId="01D51DF3" w14:textId="77777777" w:rsidR="00F677DB" w:rsidRDefault="00F677DB" w:rsidP="00F677DB">
      <w:pPr>
        <w:spacing w:line="276" w:lineRule="auto"/>
        <w:jc w:val="center"/>
        <w:rPr>
          <w:rFonts w:eastAsia="宋体" w:cs="Times New Roman"/>
          <w:color w:val="000000" w:themeColor="text1"/>
          <w:sz w:val="20"/>
          <w:szCs w:val="20"/>
        </w:rPr>
      </w:pPr>
      <w:r>
        <w:rPr>
          <w:rFonts w:eastAsia="宋体" w:cs="Times New Roman"/>
          <w:color w:val="000000" w:themeColor="text1"/>
          <w:sz w:val="20"/>
          <w:szCs w:val="20"/>
          <w:vertAlign w:val="superscript"/>
        </w:rPr>
        <w:t xml:space="preserve">2 </w:t>
      </w:r>
      <w:r>
        <w:rPr>
          <w:rFonts w:eastAsia="宋体" w:cs="Times New Roman"/>
          <w:color w:val="000000" w:themeColor="text1"/>
          <w:sz w:val="20"/>
          <w:szCs w:val="20"/>
        </w:rPr>
        <w:t>Laboratory of AI for Electrochemistry</w:t>
      </w:r>
      <w:r>
        <w:rPr>
          <w:rFonts w:eastAsia="宋体" w:cs="Times New Roman" w:hint="eastAsia"/>
          <w:color w:val="000000" w:themeColor="text1"/>
          <w:sz w:val="20"/>
          <w:szCs w:val="20"/>
        </w:rPr>
        <w:t xml:space="preserve">, </w:t>
      </w:r>
      <w:r>
        <w:rPr>
          <w:rFonts w:eastAsia="宋体" w:cs="Times New Roman"/>
          <w:color w:val="000000" w:themeColor="text1"/>
          <w:sz w:val="20"/>
          <w:szCs w:val="20"/>
        </w:rPr>
        <w:t>Innovation Laboratory for Sciences and Technologies of Energy Materials of Fujian Province (IKKEM), Xiamen 361005, China</w:t>
      </w:r>
    </w:p>
    <w:p w14:paraId="67EA985D" w14:textId="77777777" w:rsidR="00F677DB" w:rsidRDefault="00F677DB" w:rsidP="00F677DB">
      <w:pPr>
        <w:spacing w:line="276" w:lineRule="auto"/>
        <w:jc w:val="center"/>
        <w:rPr>
          <w:rFonts w:eastAsia="宋体" w:cs="Times New Roman"/>
          <w:color w:val="000000" w:themeColor="text1"/>
          <w:sz w:val="20"/>
          <w:szCs w:val="20"/>
        </w:rPr>
      </w:pPr>
      <w:r>
        <w:rPr>
          <w:rFonts w:eastAsia="宋体" w:cs="Times New Roman"/>
          <w:color w:val="000000" w:themeColor="text1"/>
          <w:sz w:val="20"/>
          <w:szCs w:val="20"/>
          <w:vertAlign w:val="superscript"/>
        </w:rPr>
        <w:t xml:space="preserve">3 </w:t>
      </w:r>
      <w:r>
        <w:rPr>
          <w:rFonts w:eastAsia="宋体" w:cs="Times New Roman"/>
          <w:color w:val="000000" w:themeColor="text1"/>
          <w:sz w:val="20"/>
          <w:szCs w:val="20"/>
        </w:rPr>
        <w:t>Shanxi Research Institute for Clean Energy, Tsinghua University, Taiyuan 030032, China.</w:t>
      </w:r>
    </w:p>
    <w:p w14:paraId="2DE4249F" w14:textId="77777777" w:rsidR="00F677DB" w:rsidRDefault="00F677DB" w:rsidP="00F677DB">
      <w:pPr>
        <w:spacing w:line="276" w:lineRule="auto"/>
        <w:jc w:val="center"/>
        <w:rPr>
          <w:rFonts w:eastAsia="宋体" w:cs="Times New Roman"/>
          <w:color w:val="000000" w:themeColor="text1"/>
          <w:sz w:val="20"/>
          <w:szCs w:val="20"/>
        </w:rPr>
      </w:pPr>
      <w:r>
        <w:rPr>
          <w:rFonts w:eastAsia="宋体" w:cs="Times New Roman"/>
          <w:color w:val="000000" w:themeColor="text1"/>
          <w:sz w:val="20"/>
          <w:szCs w:val="20"/>
          <w:vertAlign w:val="superscript"/>
        </w:rPr>
        <w:t>4</w:t>
      </w:r>
      <w:r>
        <w:rPr>
          <w:rFonts w:eastAsia="宋体" w:cs="Times New Roman" w:hint="eastAsia"/>
          <w:color w:val="000000" w:themeColor="text1"/>
          <w:sz w:val="20"/>
          <w:szCs w:val="20"/>
          <w:vertAlign w:val="superscript"/>
        </w:rPr>
        <w:t xml:space="preserve"> </w:t>
      </w:r>
      <w:r>
        <w:rPr>
          <w:rFonts w:eastAsia="宋体" w:cs="Times New Roman"/>
          <w:color w:val="000000" w:themeColor="text1"/>
          <w:sz w:val="20"/>
          <w:szCs w:val="20"/>
        </w:rPr>
        <w:t>School of Interdisciplinary Science, Beijing Institute of Technology, Beijing 100081, China</w:t>
      </w:r>
    </w:p>
    <w:p w14:paraId="245DA368" w14:textId="4CAA6B04" w:rsidR="00F677DB" w:rsidRDefault="00F677DB" w:rsidP="00F677DB">
      <w:pPr>
        <w:spacing w:line="276" w:lineRule="auto"/>
        <w:jc w:val="center"/>
        <w:rPr>
          <w:rFonts w:eastAsia="宋体" w:cs="Times New Roman"/>
          <w:color w:val="000000" w:themeColor="text1"/>
          <w:sz w:val="20"/>
          <w:szCs w:val="20"/>
        </w:rPr>
      </w:pPr>
      <w:r>
        <w:rPr>
          <w:rFonts w:eastAsia="宋体" w:cs="Times New Roman"/>
          <w:color w:val="000000" w:themeColor="text1"/>
          <w:sz w:val="20"/>
          <w:szCs w:val="20"/>
          <w:vertAlign w:val="superscript"/>
        </w:rPr>
        <w:t xml:space="preserve">5 </w:t>
      </w:r>
      <w:r>
        <w:rPr>
          <w:rFonts w:eastAsia="宋体" w:cs="Times New Roman"/>
          <w:color w:val="000000" w:themeColor="text1"/>
          <w:sz w:val="20"/>
          <w:szCs w:val="20"/>
        </w:rPr>
        <w:t>Beijing Key Laboratory of Complex Solid State Batteries, Department of Chemical Engineering, Tsinghua University, Beijing 100084, China</w:t>
      </w:r>
    </w:p>
    <w:p w14:paraId="375296BD" w14:textId="77777777" w:rsidR="00F677DB" w:rsidRDefault="00F677DB" w:rsidP="00F677DB">
      <w:pPr>
        <w:widowControl/>
        <w:spacing w:line="480" w:lineRule="auto"/>
        <w:jc w:val="center"/>
        <w:rPr>
          <w:rFonts w:eastAsia="黑体" w:cs="Times New Roman"/>
          <w:b/>
          <w:bCs/>
          <w:color w:val="000000" w:themeColor="text1"/>
          <w:sz w:val="20"/>
          <w:szCs w:val="20"/>
        </w:rPr>
      </w:pPr>
    </w:p>
    <w:p w14:paraId="766D8ED9" w14:textId="77777777" w:rsidR="00F677DB" w:rsidRDefault="00F677DB" w:rsidP="00F677DB">
      <w:pPr>
        <w:widowControl/>
        <w:spacing w:line="480" w:lineRule="auto"/>
        <w:rPr>
          <w:rFonts w:eastAsia="宋体" w:cs="Times New Roman"/>
          <w:b/>
          <w:bCs/>
          <w:sz w:val="20"/>
          <w:szCs w:val="20"/>
        </w:rPr>
      </w:pPr>
    </w:p>
    <w:p w14:paraId="640E11E4" w14:textId="77777777" w:rsidR="00F677DB" w:rsidRDefault="00F677DB" w:rsidP="00F677DB">
      <w:pPr>
        <w:widowControl/>
        <w:spacing w:line="480" w:lineRule="auto"/>
        <w:rPr>
          <w:rFonts w:eastAsia="宋体" w:cs="Times New Roman"/>
          <w:b/>
          <w:bCs/>
          <w:sz w:val="20"/>
          <w:szCs w:val="20"/>
        </w:rPr>
      </w:pPr>
    </w:p>
    <w:p w14:paraId="0AD149CC" w14:textId="77777777" w:rsidR="00F677DB" w:rsidRDefault="00F677DB" w:rsidP="00F677DB">
      <w:pPr>
        <w:widowControl/>
        <w:spacing w:line="480" w:lineRule="auto"/>
        <w:rPr>
          <w:rFonts w:eastAsia="宋体" w:cs="Times New Roman"/>
          <w:b/>
          <w:bCs/>
          <w:sz w:val="20"/>
          <w:szCs w:val="20"/>
        </w:rPr>
      </w:pPr>
    </w:p>
    <w:p w14:paraId="1A08D527" w14:textId="77777777" w:rsidR="00F677DB" w:rsidRDefault="00F677DB" w:rsidP="00F677DB">
      <w:pPr>
        <w:widowControl/>
        <w:spacing w:line="480" w:lineRule="auto"/>
        <w:rPr>
          <w:rFonts w:eastAsia="宋体" w:cs="Times New Roman"/>
          <w:b/>
          <w:bCs/>
          <w:sz w:val="20"/>
          <w:szCs w:val="20"/>
        </w:rPr>
      </w:pPr>
    </w:p>
    <w:p w14:paraId="5FE5FBED" w14:textId="77777777" w:rsidR="00F677DB" w:rsidRDefault="00F677DB" w:rsidP="00F677DB">
      <w:pPr>
        <w:widowControl/>
        <w:spacing w:line="480" w:lineRule="auto"/>
        <w:rPr>
          <w:rFonts w:eastAsia="宋体" w:cs="Times New Roman"/>
          <w:b/>
          <w:bCs/>
          <w:sz w:val="20"/>
          <w:szCs w:val="20"/>
        </w:rPr>
      </w:pPr>
    </w:p>
    <w:p w14:paraId="14FEAD3C" w14:textId="77777777" w:rsidR="00F677DB" w:rsidRDefault="00F677DB" w:rsidP="00F677DB">
      <w:pPr>
        <w:widowControl/>
        <w:spacing w:line="480" w:lineRule="auto"/>
        <w:rPr>
          <w:rFonts w:eastAsia="宋体" w:cs="Times New Roman"/>
          <w:b/>
          <w:bCs/>
          <w:sz w:val="20"/>
          <w:szCs w:val="20"/>
        </w:rPr>
      </w:pPr>
    </w:p>
    <w:p w14:paraId="09488D20" w14:textId="77777777" w:rsidR="00F677DB" w:rsidRDefault="00F677DB" w:rsidP="00F677DB">
      <w:pPr>
        <w:widowControl/>
        <w:spacing w:line="480" w:lineRule="auto"/>
        <w:rPr>
          <w:rFonts w:eastAsia="宋体" w:cs="Times New Roman"/>
          <w:b/>
          <w:bCs/>
          <w:sz w:val="20"/>
          <w:szCs w:val="20"/>
        </w:rPr>
      </w:pPr>
    </w:p>
    <w:p w14:paraId="3F5AAC30" w14:textId="77777777" w:rsidR="00F677DB" w:rsidRDefault="00F677DB" w:rsidP="00F677DB">
      <w:pPr>
        <w:widowControl/>
        <w:spacing w:line="480" w:lineRule="auto"/>
        <w:rPr>
          <w:rFonts w:eastAsia="宋体" w:cs="Times New Roman"/>
          <w:b/>
          <w:bCs/>
          <w:sz w:val="20"/>
          <w:szCs w:val="20"/>
        </w:rPr>
      </w:pPr>
    </w:p>
    <w:p w14:paraId="148C83AF" w14:textId="77777777" w:rsidR="00F677DB" w:rsidRDefault="00F677DB" w:rsidP="00F677DB">
      <w:pPr>
        <w:widowControl/>
        <w:spacing w:line="480" w:lineRule="auto"/>
        <w:rPr>
          <w:rFonts w:eastAsia="宋体" w:cs="Times New Roman"/>
          <w:b/>
          <w:bCs/>
          <w:sz w:val="20"/>
          <w:szCs w:val="20"/>
        </w:rPr>
      </w:pPr>
    </w:p>
    <w:p w14:paraId="6DA486AC" w14:textId="77777777" w:rsidR="00F677DB" w:rsidRDefault="00F677DB" w:rsidP="00F677DB">
      <w:pPr>
        <w:widowControl/>
        <w:spacing w:line="480" w:lineRule="auto"/>
        <w:rPr>
          <w:rFonts w:eastAsia="宋体" w:cs="Times New Roman"/>
          <w:b/>
          <w:bCs/>
          <w:sz w:val="20"/>
          <w:szCs w:val="20"/>
        </w:rPr>
      </w:pPr>
    </w:p>
    <w:p w14:paraId="5BCF53DE" w14:textId="77777777" w:rsidR="00F677DB" w:rsidRDefault="00F677DB" w:rsidP="00F677DB">
      <w:pPr>
        <w:widowControl/>
        <w:spacing w:line="480" w:lineRule="auto"/>
        <w:rPr>
          <w:rFonts w:eastAsia="宋体" w:cs="Times New Roman"/>
          <w:b/>
          <w:bCs/>
          <w:sz w:val="20"/>
          <w:szCs w:val="20"/>
        </w:rPr>
      </w:pPr>
    </w:p>
    <w:p w14:paraId="3BD14E54" w14:textId="77777777" w:rsidR="00F677DB" w:rsidRDefault="00F677DB" w:rsidP="00F677DB">
      <w:pPr>
        <w:widowControl/>
        <w:spacing w:line="480" w:lineRule="auto"/>
        <w:rPr>
          <w:rFonts w:eastAsia="宋体" w:cs="Times New Roman"/>
          <w:b/>
          <w:bCs/>
          <w:sz w:val="20"/>
          <w:szCs w:val="20"/>
        </w:rPr>
      </w:pPr>
    </w:p>
    <w:p w14:paraId="67B6CED2" w14:textId="77777777" w:rsidR="00F677DB" w:rsidRDefault="00F677DB" w:rsidP="00F677DB">
      <w:pPr>
        <w:widowControl/>
        <w:spacing w:line="480" w:lineRule="auto"/>
        <w:rPr>
          <w:rFonts w:eastAsia="宋体" w:cs="Times New Roman"/>
          <w:b/>
          <w:bCs/>
          <w:sz w:val="20"/>
          <w:szCs w:val="20"/>
        </w:rPr>
      </w:pPr>
    </w:p>
    <w:p w14:paraId="6B29341D" w14:textId="77777777" w:rsidR="00F677DB" w:rsidRDefault="00F677DB" w:rsidP="00F677DB">
      <w:pPr>
        <w:widowControl/>
        <w:spacing w:line="480" w:lineRule="auto"/>
        <w:rPr>
          <w:rFonts w:eastAsia="黑体" w:cs="Times New Roman"/>
          <w:b/>
          <w:bCs/>
          <w:color w:val="000000" w:themeColor="text1"/>
          <w:sz w:val="20"/>
          <w:szCs w:val="20"/>
        </w:rPr>
      </w:pPr>
      <w:r>
        <w:rPr>
          <w:rFonts w:eastAsia="黑体" w:cs="Times New Roman" w:hint="eastAsia"/>
          <w:b/>
          <w:bCs/>
          <w:color w:val="000000" w:themeColor="text1"/>
          <w:sz w:val="20"/>
          <w:szCs w:val="20"/>
        </w:rPr>
        <w:lastRenderedPageBreak/>
        <w:t>Supplementary Figures</w:t>
      </w:r>
    </w:p>
    <w:p w14:paraId="26C136F8" w14:textId="77777777" w:rsidR="00F677DB" w:rsidRDefault="00F677DB" w:rsidP="00F677DB">
      <w:pPr>
        <w:widowControl/>
        <w:spacing w:line="480" w:lineRule="auto"/>
        <w:jc w:val="center"/>
        <w:rPr>
          <w:rFonts w:eastAsia="黑体" w:cs="Times New Roman"/>
          <w:b/>
          <w:bCs/>
          <w:color w:val="000000" w:themeColor="text1"/>
          <w:sz w:val="20"/>
          <w:szCs w:val="20"/>
        </w:rPr>
      </w:pPr>
      <w:r>
        <w:rPr>
          <w:rFonts w:eastAsia="黑体" w:cs="Times New Roman"/>
          <w:b/>
          <w:bCs/>
          <w:noProof/>
          <w:color w:val="000000" w:themeColor="text1"/>
          <w:sz w:val="20"/>
          <w:szCs w:val="20"/>
        </w:rPr>
        <w:drawing>
          <wp:inline distT="0" distB="0" distL="0" distR="0" wp14:anchorId="77F7A222" wp14:editId="1A8B281F">
            <wp:extent cx="5499735" cy="2237105"/>
            <wp:effectExtent l="0" t="0" r="571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cstate="print">
                      <a:extLst>
                        <a:ext uri="{28A0092B-C50C-407E-A947-70E740481C1C}">
                          <a14:useLocalDpi xmlns:a14="http://schemas.microsoft.com/office/drawing/2010/main" val="0"/>
                        </a:ext>
                      </a:extLst>
                    </a:blip>
                    <a:srcRect l="3012" t="6989" r="5968" b="4834"/>
                    <a:stretch>
                      <a:fillRect/>
                    </a:stretch>
                  </pic:blipFill>
                  <pic:spPr>
                    <a:xfrm>
                      <a:off x="0" y="0"/>
                      <a:ext cx="5508124" cy="2241026"/>
                    </a:xfrm>
                    <a:prstGeom prst="rect">
                      <a:avLst/>
                    </a:prstGeom>
                    <a:noFill/>
                    <a:ln>
                      <a:noFill/>
                    </a:ln>
                  </pic:spPr>
                </pic:pic>
              </a:graphicData>
            </a:graphic>
          </wp:inline>
        </w:drawing>
      </w:r>
    </w:p>
    <w:p w14:paraId="5D669A70" w14:textId="77777777" w:rsidR="00F677DB" w:rsidRDefault="00F677DB" w:rsidP="00F677DB">
      <w:pPr>
        <w:widowControl/>
        <w:spacing w:line="360" w:lineRule="auto"/>
        <w:rPr>
          <w:rFonts w:cs="Times New Roman"/>
        </w:rPr>
      </w:pPr>
      <w:r>
        <w:rPr>
          <w:rFonts w:cs="Times New Roman"/>
          <w:b/>
          <w:bCs/>
        </w:rPr>
        <w:t xml:space="preserve">Supplementary Fig. </w:t>
      </w:r>
      <w:r>
        <w:rPr>
          <w:rFonts w:cs="Times New Roman" w:hint="eastAsia"/>
          <w:b/>
          <w:bCs/>
        </w:rPr>
        <w:t>1</w:t>
      </w:r>
      <w:r>
        <w:rPr>
          <w:rFonts w:eastAsia="宋体" w:cs="Times New Roman"/>
          <w:b/>
          <w:bCs/>
        </w:rPr>
        <w:t xml:space="preserve"> | </w:t>
      </w:r>
      <w:r>
        <w:rPr>
          <w:rFonts w:eastAsia="宋体" w:cs="Times New Roman" w:hint="eastAsia"/>
          <w:b/>
          <w:bCs/>
        </w:rPr>
        <w:t>Identification of the characteristic frequency for the graphite-anode charge-transfer process. a</w:t>
      </w:r>
      <w:r>
        <w:rPr>
          <w:rFonts w:eastAsia="宋体" w:cs="Times New Roman" w:hint="eastAsia"/>
        </w:rPr>
        <w:t>, -</w:t>
      </w:r>
      <w:r>
        <w:rPr>
          <w:rFonts w:cs="Times New Roman"/>
        </w:rPr>
        <w:t>Z</w:t>
      </w:r>
      <w:r>
        <w:rPr>
          <w:rFonts w:cs="Times New Roman" w:hint="eastAsia"/>
        </w:rPr>
        <w:sym w:font="Symbol" w:char="F0B2"/>
      </w:r>
      <w:r>
        <w:rPr>
          <w:rFonts w:eastAsia="宋体" w:cs="Times New Roman" w:hint="eastAsia"/>
        </w:rPr>
        <w:t xml:space="preserve"> extracted from DEIS spectra of commercial LCO||Gr coin cells with a nominal capacity of 70 </w:t>
      </w:r>
      <w:proofErr w:type="spellStart"/>
      <w:r>
        <w:rPr>
          <w:rFonts w:eastAsia="宋体" w:cs="Times New Roman" w:hint="eastAsia"/>
        </w:rPr>
        <w:t>mAh</w:t>
      </w:r>
      <w:proofErr w:type="spellEnd"/>
      <w:r>
        <w:rPr>
          <w:rFonts w:eastAsia="宋体" w:cs="Times New Roman" w:hint="eastAsia"/>
        </w:rPr>
        <w:t xml:space="preserve">. </w:t>
      </w:r>
      <w:r>
        <w:rPr>
          <w:rFonts w:eastAsia="宋体" w:cs="Times New Roman"/>
        </w:rPr>
        <w:t>The cell was charged at 1C, and DEIS spectra were collected at different SOCs</w:t>
      </w:r>
      <w:r>
        <w:rPr>
          <w:rFonts w:eastAsia="宋体" w:cs="Times New Roman" w:hint="eastAsia"/>
        </w:rPr>
        <w:t xml:space="preserve"> from 20% to 80%</w:t>
      </w:r>
      <w:r>
        <w:rPr>
          <w:rFonts w:eastAsia="宋体" w:cs="Times New Roman"/>
        </w:rPr>
        <w:t>. The frequency range was 1 Hz to 100 kHz, and the AC current amplitude was equivalent to 0.1C.</w:t>
      </w:r>
      <w:r>
        <w:rPr>
          <w:rFonts w:eastAsia="宋体" w:cs="Times New Roman" w:hint="eastAsia"/>
        </w:rPr>
        <w:t xml:space="preserve"> </w:t>
      </w:r>
      <w:r>
        <w:rPr>
          <w:rFonts w:cs="Times New Roman" w:hint="eastAsia"/>
          <w:b/>
          <w:bCs/>
        </w:rPr>
        <w:t>b,</w:t>
      </w:r>
      <w:r>
        <w:rPr>
          <w:rFonts w:cs="Times New Roman" w:hint="eastAsia"/>
        </w:rPr>
        <w:t xml:space="preserve"> </w:t>
      </w:r>
      <w:r>
        <w:rPr>
          <w:rFonts w:eastAsia="宋体" w:cs="Times New Roman" w:hint="eastAsia"/>
        </w:rPr>
        <w:t>-</w:t>
      </w:r>
      <w:r>
        <w:rPr>
          <w:rFonts w:cs="Times New Roman"/>
        </w:rPr>
        <w:t>Z</w:t>
      </w:r>
      <w:r>
        <w:rPr>
          <w:rFonts w:cs="Times New Roman" w:hint="eastAsia"/>
        </w:rPr>
        <w:sym w:font="Symbol" w:char="F0B2"/>
      </w:r>
      <w:r>
        <w:rPr>
          <w:rFonts w:cs="Times New Roman" w:hint="eastAsia"/>
        </w:rPr>
        <w:t xml:space="preserve"> </w:t>
      </w:r>
      <w:r>
        <w:rPr>
          <w:rFonts w:cs="Times New Roman"/>
        </w:rPr>
        <w:t xml:space="preserve">extracted from static EIS spectra of a three-electrode LFP||Gr pouch cell with a capacity of 43.8 </w:t>
      </w:r>
      <w:proofErr w:type="spellStart"/>
      <w:r>
        <w:rPr>
          <w:rFonts w:cs="Times New Roman"/>
        </w:rPr>
        <w:t>mAh</w:t>
      </w:r>
      <w:proofErr w:type="spellEnd"/>
      <w:r>
        <w:rPr>
          <w:rFonts w:cs="Times New Roman"/>
        </w:rPr>
        <w:t>.</w:t>
      </w:r>
      <w:r>
        <w:rPr>
          <w:rFonts w:cs="Times New Roman" w:hint="eastAsia"/>
        </w:rPr>
        <w:t xml:space="preserve"> </w:t>
      </w:r>
      <w:r>
        <w:rPr>
          <w:rFonts w:cs="Times New Roman"/>
        </w:rPr>
        <w:t>The cell was charged at 0.5C, followed by a 3 h relaxation period at every 20% SOC increment before static EIS measurement. Static EIS spectra were collected from 0.1 Hz to 100 kHz with a voltage amplitude of 10 mV. The three-electrode configuration enabled separation of the impedance contributions from the graphite anode and the LFP cathode.</w:t>
      </w:r>
    </w:p>
    <w:p w14:paraId="443FAC6E" w14:textId="77777777" w:rsidR="00F677DB" w:rsidRDefault="00F677DB" w:rsidP="00F677DB">
      <w:pPr>
        <w:widowControl/>
        <w:spacing w:line="480" w:lineRule="auto"/>
        <w:rPr>
          <w:rFonts w:eastAsia="黑体" w:cs="Times New Roman"/>
          <w:b/>
          <w:bCs/>
          <w:color w:val="000000" w:themeColor="text1"/>
          <w:sz w:val="20"/>
          <w:szCs w:val="20"/>
        </w:rPr>
      </w:pPr>
    </w:p>
    <w:p w14:paraId="59C6C775" w14:textId="77777777" w:rsidR="00F677DB" w:rsidRDefault="00F677DB" w:rsidP="00F677DB">
      <w:pPr>
        <w:widowControl/>
        <w:spacing w:line="480" w:lineRule="auto"/>
        <w:rPr>
          <w:rFonts w:eastAsia="黑体" w:cs="Times New Roman"/>
          <w:b/>
          <w:bCs/>
          <w:color w:val="000000" w:themeColor="text1"/>
          <w:sz w:val="20"/>
          <w:szCs w:val="20"/>
        </w:rPr>
      </w:pPr>
    </w:p>
    <w:p w14:paraId="39DEC8FE" w14:textId="77777777" w:rsidR="00F677DB" w:rsidRDefault="00F677DB" w:rsidP="00F677DB">
      <w:pPr>
        <w:widowControl/>
        <w:spacing w:line="480" w:lineRule="auto"/>
        <w:rPr>
          <w:rFonts w:eastAsia="黑体" w:cs="Times New Roman"/>
          <w:b/>
          <w:bCs/>
          <w:color w:val="000000" w:themeColor="text1"/>
          <w:sz w:val="20"/>
          <w:szCs w:val="20"/>
        </w:rPr>
      </w:pPr>
    </w:p>
    <w:p w14:paraId="32D18AEC" w14:textId="77777777" w:rsidR="00F677DB" w:rsidRDefault="00F677DB" w:rsidP="00F677DB">
      <w:pPr>
        <w:pStyle w:val="ae"/>
        <w:spacing w:line="480" w:lineRule="auto"/>
        <w:rPr>
          <w:rFonts w:ascii="Times New Roman" w:hAnsi="Times New Roman" w:cs="Times New Roman"/>
          <w:b/>
          <w:bCs/>
        </w:rPr>
      </w:pPr>
    </w:p>
    <w:p w14:paraId="2BCB40A0" w14:textId="77777777" w:rsidR="00F677DB" w:rsidRDefault="00F677DB" w:rsidP="00F677DB">
      <w:pPr>
        <w:pStyle w:val="ae"/>
        <w:spacing w:line="480" w:lineRule="auto"/>
        <w:rPr>
          <w:rFonts w:ascii="Times New Roman" w:hAnsi="Times New Roman" w:cs="Times New Roman"/>
          <w:b/>
          <w:bCs/>
        </w:rPr>
      </w:pPr>
    </w:p>
    <w:p w14:paraId="2F7AF924" w14:textId="77777777" w:rsidR="00F677DB" w:rsidRDefault="00F677DB" w:rsidP="00F677DB">
      <w:pPr>
        <w:pStyle w:val="ae"/>
        <w:spacing w:line="480" w:lineRule="auto"/>
        <w:rPr>
          <w:rFonts w:ascii="Times New Roman" w:hAnsi="Times New Roman" w:cs="Times New Roman"/>
          <w:b/>
          <w:bCs/>
        </w:rPr>
      </w:pPr>
    </w:p>
    <w:p w14:paraId="1BB4AAB4" w14:textId="77777777" w:rsidR="00F677DB" w:rsidRDefault="00F677DB" w:rsidP="00F677DB">
      <w:pPr>
        <w:pStyle w:val="ae"/>
        <w:rPr>
          <w:rFonts w:ascii="Times New Roman" w:hAnsi="Times New Roman" w:cs="Times New Roman"/>
          <w:b/>
          <w:bCs/>
        </w:rPr>
      </w:pPr>
    </w:p>
    <w:p w14:paraId="7D057FF2" w14:textId="77777777" w:rsidR="00F677DB" w:rsidRDefault="00F677DB" w:rsidP="00F677DB">
      <w:pPr>
        <w:pStyle w:val="ae"/>
        <w:rPr>
          <w:rFonts w:ascii="Times New Roman" w:hAnsi="Times New Roman" w:cs="Times New Roman"/>
          <w:b/>
          <w:bCs/>
        </w:rPr>
      </w:pPr>
    </w:p>
    <w:p w14:paraId="570A6ED5" w14:textId="77777777" w:rsidR="00F677DB" w:rsidRDefault="00F677DB" w:rsidP="00F677DB">
      <w:pPr>
        <w:pStyle w:val="ae"/>
        <w:rPr>
          <w:rFonts w:ascii="Times New Roman" w:hAnsi="Times New Roman" w:cs="Times New Roman"/>
          <w:b/>
          <w:bCs/>
        </w:rPr>
      </w:pPr>
    </w:p>
    <w:p w14:paraId="464ACE66" w14:textId="77777777" w:rsidR="00F677DB" w:rsidRDefault="00F677DB" w:rsidP="00F677DB">
      <w:pPr>
        <w:pStyle w:val="ae"/>
        <w:rPr>
          <w:rFonts w:ascii="Times New Roman" w:hAnsi="Times New Roman" w:cs="Times New Roman"/>
          <w:b/>
          <w:bCs/>
        </w:rPr>
      </w:pPr>
    </w:p>
    <w:p w14:paraId="3EDD03E9" w14:textId="77777777" w:rsidR="00F677DB" w:rsidRDefault="00F677DB" w:rsidP="00F677DB">
      <w:pPr>
        <w:pStyle w:val="ae"/>
        <w:spacing w:line="360" w:lineRule="auto"/>
        <w:rPr>
          <w:rFonts w:ascii="Times New Roman" w:hAnsi="Times New Roman" w:cs="Times New Roman"/>
        </w:rPr>
      </w:pPr>
      <w:r>
        <w:rPr>
          <w:noProof/>
        </w:rPr>
        <w:lastRenderedPageBreak/>
        <w:drawing>
          <wp:inline distT="0" distB="0" distL="114300" distR="114300" wp14:anchorId="7F8FA2E2" wp14:editId="4468C6FD">
            <wp:extent cx="6169660" cy="4010660"/>
            <wp:effectExtent l="0" t="0" r="2540" b="12700"/>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7"/>
                    <a:stretch>
                      <a:fillRect/>
                    </a:stretch>
                  </pic:blipFill>
                  <pic:spPr>
                    <a:xfrm>
                      <a:off x="0" y="0"/>
                      <a:ext cx="6169660" cy="4010660"/>
                    </a:xfrm>
                    <a:prstGeom prst="rect">
                      <a:avLst/>
                    </a:prstGeom>
                    <a:noFill/>
                    <a:ln>
                      <a:noFill/>
                    </a:ln>
                  </pic:spPr>
                </pic:pic>
              </a:graphicData>
            </a:graphic>
          </wp:inline>
        </w:drawing>
      </w:r>
      <w:r>
        <w:rPr>
          <w:rFonts w:ascii="Times New Roman" w:hAnsi="Times New Roman" w:cs="Times New Roman"/>
          <w:b/>
          <w:bCs/>
        </w:rPr>
        <w:t xml:space="preserve">Supplementary Fig. </w:t>
      </w:r>
      <w:r>
        <w:rPr>
          <w:rFonts w:ascii="Times New Roman" w:hAnsi="Times New Roman" w:cs="Times New Roman" w:hint="eastAsia"/>
          <w:b/>
          <w:bCs/>
        </w:rPr>
        <w:t xml:space="preserve">2 </w:t>
      </w:r>
      <w:r>
        <w:rPr>
          <w:rFonts w:ascii="Times New Roman" w:eastAsia="等线" w:hAnsi="Times New Roman" w:cs="Times New Roman"/>
          <w:b/>
          <w:bCs/>
          <w:color w:val="000000" w:themeColor="text1"/>
        </w:rPr>
        <w:t>|</w:t>
      </w:r>
      <w:r>
        <w:rPr>
          <w:rFonts w:ascii="Times New Roman" w:eastAsia="宋体" w:hAnsi="Times New Roman" w:cs="Times New Roman"/>
          <w:b/>
          <w:bCs/>
        </w:rPr>
        <w:t xml:space="preserve"> </w:t>
      </w:r>
      <w:r>
        <w:rPr>
          <w:rFonts w:ascii="Times New Roman" w:hAnsi="Times New Roman" w:cs="Times New Roman" w:hint="eastAsia"/>
          <w:b/>
          <w:bCs/>
        </w:rPr>
        <w:t xml:space="preserve">Confidence- and availability-gated VLM assistance for baseline </w:t>
      </w:r>
      <w:r>
        <w:rPr>
          <w:rFonts w:ascii="Times New Roman" w:hAnsi="Times New Roman" w:cs="Times New Roman"/>
          <w:b/>
          <w:bCs/>
        </w:rPr>
        <w:t>localization</w:t>
      </w:r>
      <w:r>
        <w:rPr>
          <w:rFonts w:ascii="Times New Roman" w:hAnsi="Times New Roman" w:cs="Times New Roman" w:hint="eastAsia"/>
          <w:b/>
          <w:bCs/>
        </w:rPr>
        <w:t xml:space="preserve"> in operando </w:t>
      </w:r>
      <w:r>
        <w:rPr>
          <w:rFonts w:ascii="Times New Roman" w:hAnsi="Times New Roman" w:cs="Times New Roman"/>
          <w:b/>
          <w:bCs/>
        </w:rPr>
        <w:t>C</w:t>
      </w:r>
      <w:r>
        <w:rPr>
          <w:rFonts w:ascii="Times New Roman" w:hAnsi="Times New Roman" w:cs="Times New Roman"/>
          <w:b/>
          <w:bCs/>
          <w:vertAlign w:val="subscript"/>
        </w:rPr>
        <w:t>s</w:t>
      </w:r>
      <w:r>
        <w:rPr>
          <w:rFonts w:ascii="Times New Roman" w:hAnsi="Times New Roman" w:cs="Times New Roman" w:hint="eastAsia"/>
          <w:b/>
          <w:bCs/>
        </w:rPr>
        <w:t xml:space="preserve"> analysis.</w:t>
      </w:r>
      <w:r>
        <w:rPr>
          <w:rFonts w:ascii="Times New Roman" w:hAnsi="Times New Roman" w:cs="Times New Roman" w:hint="eastAsia"/>
        </w:rPr>
        <w:t xml:space="preserve"> High-confidence trajectories retain the deterministic local baseline, whereas atypical low-confidence trajectories undergo a one-time image-based VLM audit. The accepted baseline from either route enters the same deterministic thresholding and consecutive-exceedance procedure. The lower panels compare a regular trajectory retained by local fitting with an atypical trajectory requiring VLM-assisted </w:t>
      </w:r>
      <w:r>
        <w:rPr>
          <w:rFonts w:ascii="Times New Roman" w:hAnsi="Times New Roman" w:cs="Times New Roman"/>
        </w:rPr>
        <w:t>localization</w:t>
      </w:r>
      <w:r>
        <w:rPr>
          <w:rFonts w:ascii="Times New Roman" w:hAnsi="Times New Roman" w:cs="Times New Roman" w:hint="eastAsia"/>
        </w:rPr>
        <w:t>. Routing parameters, timeout fallback and long-cycle implementation are described in Methods.</w:t>
      </w:r>
    </w:p>
    <w:p w14:paraId="3FEBC7DA" w14:textId="77777777" w:rsidR="00F677DB" w:rsidRDefault="00F677DB" w:rsidP="00F677DB">
      <w:pPr>
        <w:rPr>
          <w:rFonts w:cs="Times New Roman"/>
        </w:rPr>
      </w:pPr>
      <w:r>
        <w:rPr>
          <w:rFonts w:cs="Times New Roman" w:hint="eastAsia"/>
        </w:rPr>
        <w:br w:type="page"/>
      </w:r>
    </w:p>
    <w:p w14:paraId="535ED79A" w14:textId="77777777" w:rsidR="00F677DB" w:rsidRDefault="00F677DB" w:rsidP="00F677DB">
      <w:pPr>
        <w:widowControl/>
        <w:spacing w:line="480" w:lineRule="auto"/>
        <w:jc w:val="center"/>
        <w:rPr>
          <w:rFonts w:eastAsia="黑体" w:cs="Times New Roman"/>
          <w:b/>
          <w:bCs/>
          <w:color w:val="000000" w:themeColor="text1"/>
          <w:sz w:val="20"/>
          <w:szCs w:val="20"/>
        </w:rPr>
      </w:pPr>
      <w:r>
        <w:rPr>
          <w:rFonts w:eastAsia="黑体" w:cs="Times New Roman"/>
          <w:b/>
          <w:bCs/>
          <w:noProof/>
          <w:color w:val="000000" w:themeColor="text1"/>
          <w:sz w:val="20"/>
          <w:szCs w:val="20"/>
          <w14:ligatures w14:val="none"/>
        </w:rPr>
        <w:lastRenderedPageBreak/>
        <w:drawing>
          <wp:inline distT="0" distB="0" distL="0" distR="0" wp14:anchorId="02A6C0BD" wp14:editId="523CCA8E">
            <wp:extent cx="6227445" cy="2586990"/>
            <wp:effectExtent l="0" t="0" r="1905" b="381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
                    <a:stretch>
                      <a:fillRect/>
                    </a:stretch>
                  </pic:blipFill>
                  <pic:spPr>
                    <a:xfrm>
                      <a:off x="0" y="0"/>
                      <a:ext cx="6228000" cy="2587349"/>
                    </a:xfrm>
                    <a:prstGeom prst="rect">
                      <a:avLst/>
                    </a:prstGeom>
                  </pic:spPr>
                </pic:pic>
              </a:graphicData>
            </a:graphic>
          </wp:inline>
        </w:drawing>
      </w:r>
    </w:p>
    <w:p w14:paraId="78820DE0" w14:textId="29AEFBA8" w:rsidR="00F677DB" w:rsidRDefault="00F677DB" w:rsidP="00F677DB">
      <w:pPr>
        <w:pStyle w:val="ae"/>
        <w:spacing w:line="360" w:lineRule="auto"/>
        <w:rPr>
          <w:rFonts w:ascii="Times New Roman" w:hAnsi="Times New Roman" w:cs="Times New Roman"/>
        </w:rPr>
      </w:pPr>
      <w:r>
        <w:rPr>
          <w:rFonts w:ascii="Times New Roman" w:hAnsi="Times New Roman" w:cs="Times New Roman"/>
          <w:b/>
          <w:bCs/>
        </w:rPr>
        <w:t xml:space="preserve">Supplementary Fig. </w:t>
      </w:r>
      <w:r w:rsidR="00C1076A">
        <w:rPr>
          <w:rFonts w:ascii="Times New Roman" w:hAnsi="Times New Roman" w:cs="Times New Roman" w:hint="eastAsia"/>
          <w:b/>
          <w:bCs/>
        </w:rPr>
        <w:t>3</w:t>
      </w:r>
      <w:r>
        <w:rPr>
          <w:rFonts w:ascii="Times New Roman" w:eastAsia="宋体" w:hAnsi="Times New Roman" w:cs="Times New Roman"/>
          <w:b/>
          <w:bCs/>
        </w:rPr>
        <w:t xml:space="preserve"> | </w:t>
      </w:r>
      <w:r>
        <w:rPr>
          <w:rFonts w:ascii="Times New Roman" w:hAnsi="Times New Roman" w:cs="Times New Roman"/>
          <w:b/>
          <w:bCs/>
        </w:rPr>
        <w:t xml:space="preserve">Algorithmic logic and statistical evaluation of </w:t>
      </w:r>
      <w:r>
        <w:rPr>
          <w:rFonts w:ascii="Times New Roman" w:hAnsi="Times New Roman" w:cs="Times New Roman" w:hint="eastAsia"/>
          <w:b/>
          <w:bCs/>
        </w:rPr>
        <w:t>C</w:t>
      </w:r>
      <w:r>
        <w:rPr>
          <w:rFonts w:ascii="Times New Roman" w:hAnsi="Times New Roman" w:cs="Times New Roman" w:hint="eastAsia"/>
          <w:b/>
          <w:bCs/>
          <w:vertAlign w:val="subscript"/>
        </w:rPr>
        <w:t>s</w:t>
      </w:r>
      <w:r>
        <w:rPr>
          <w:rFonts w:ascii="Times New Roman" w:hAnsi="Times New Roman" w:cs="Times New Roman" w:hint="eastAsia"/>
          <w:b/>
          <w:bCs/>
        </w:rPr>
        <w:t xml:space="preserve"> knee</w:t>
      </w:r>
      <w:r>
        <w:rPr>
          <w:rFonts w:ascii="Times New Roman" w:hAnsi="Times New Roman" w:cs="Times New Roman"/>
          <w:b/>
          <w:bCs/>
        </w:rPr>
        <w:t xml:space="preserve"> point detection within the AI driven closed-loop system.</w:t>
      </w:r>
      <w:r>
        <w:rPr>
          <w:rFonts w:ascii="Times New Roman" w:hAnsi="Times New Roman" w:cs="Times New Roman"/>
        </w:rPr>
        <w:t xml:space="preserve"> </w:t>
      </w:r>
      <w:r>
        <w:rPr>
          <w:rFonts w:ascii="Times New Roman" w:hAnsi="Times New Roman" w:cs="Times New Roman" w:hint="eastAsia"/>
          <w:b/>
          <w:bCs/>
        </w:rPr>
        <w:t>a</w:t>
      </w:r>
      <w:r>
        <w:rPr>
          <w:rFonts w:ascii="Times New Roman" w:hAnsi="Times New Roman" w:cs="Times New Roman"/>
          <w:b/>
          <w:bCs/>
        </w:rPr>
        <w:t>,</w:t>
      </w:r>
      <w:r>
        <w:rPr>
          <w:rFonts w:ascii="Times New Roman" w:hAnsi="Times New Roman" w:cs="Times New Roman"/>
        </w:rPr>
        <w:t xml:space="preserve"> Decision logic of the analysis layer engineered to detect lithium plating-relevant C</w:t>
      </w:r>
      <w:r>
        <w:rPr>
          <w:rFonts w:ascii="Times New Roman" w:hAnsi="Times New Roman" w:cs="Times New Roman"/>
          <w:vertAlign w:val="subscript"/>
        </w:rPr>
        <w:t>s</w:t>
      </w:r>
      <w:r>
        <w:rPr>
          <w:rFonts w:ascii="Times New Roman" w:hAnsi="Times New Roman" w:cs="Times New Roman" w:hint="eastAsia"/>
        </w:rPr>
        <w:t xml:space="preserve"> knee</w:t>
      </w:r>
      <w:r>
        <w:rPr>
          <w:rFonts w:ascii="Times New Roman" w:hAnsi="Times New Roman" w:cs="Times New Roman"/>
        </w:rPr>
        <w:t xml:space="preserve"> point</w:t>
      </w:r>
      <w:r>
        <w:rPr>
          <w:rFonts w:ascii="Times New Roman" w:hAnsi="Times New Roman" w:cs="Times New Roman" w:hint="eastAsia"/>
        </w:rPr>
        <w:t>s (fixed baseline 200-600</w:t>
      </w:r>
      <w:r>
        <w:rPr>
          <w:rFonts w:ascii="Times New Roman" w:hAnsi="Times New Roman" w:cs="Times New Roman"/>
        </w:rPr>
        <w:t xml:space="preserve"> </w:t>
      </w:r>
      <w:r>
        <w:rPr>
          <w:rFonts w:ascii="Times New Roman" w:hAnsi="Times New Roman" w:cs="Times New Roman" w:hint="eastAsia"/>
        </w:rPr>
        <w:t>s for single cycle repetition)</w:t>
      </w:r>
      <w:r>
        <w:rPr>
          <w:rFonts w:ascii="Times New Roman" w:hAnsi="Times New Roman" w:cs="Times New Roman"/>
        </w:rPr>
        <w:t>.</w:t>
      </w:r>
      <w:r>
        <w:rPr>
          <w:rFonts w:ascii="Times New Roman" w:hAnsi="Times New Roman" w:cs="Times New Roman"/>
          <w:b/>
          <w:bCs/>
        </w:rPr>
        <w:t xml:space="preserve"> </w:t>
      </w:r>
      <w:r>
        <w:rPr>
          <w:rFonts w:ascii="Times New Roman" w:hAnsi="Times New Roman" w:cs="Times New Roman" w:hint="eastAsia"/>
          <w:b/>
          <w:bCs/>
        </w:rPr>
        <w:t>b</w:t>
      </w:r>
      <w:r>
        <w:rPr>
          <w:rFonts w:ascii="Times New Roman" w:hAnsi="Times New Roman" w:cs="Times New Roman"/>
          <w:b/>
          <w:bCs/>
        </w:rPr>
        <w:t>,</w:t>
      </w:r>
      <w:r>
        <w:rPr>
          <w:rFonts w:ascii="Times New Roman" w:hAnsi="Times New Roman" w:cs="Times New Roman"/>
        </w:rPr>
        <w:t xml:space="preserve"> C</w:t>
      </w:r>
      <w:r>
        <w:rPr>
          <w:rFonts w:ascii="Times New Roman" w:hAnsi="Times New Roman" w:cs="Times New Roman"/>
          <w:vertAlign w:val="subscript"/>
        </w:rPr>
        <w:t>s</w:t>
      </w:r>
      <w:r>
        <w:rPr>
          <w:rFonts w:ascii="Times New Roman" w:hAnsi="Times New Roman" w:cs="Times New Roman"/>
        </w:rPr>
        <w:t xml:space="preserve"> trajectories </w:t>
      </w:r>
      <w:r>
        <w:rPr>
          <w:rFonts w:ascii="Times New Roman" w:hAnsi="Times New Roman" w:cs="Times New Roman" w:hint="eastAsia"/>
        </w:rPr>
        <w:t>of</w:t>
      </w:r>
      <w:r>
        <w:rPr>
          <w:rFonts w:ascii="Times New Roman" w:hAnsi="Times New Roman" w:cs="Times New Roman"/>
        </w:rPr>
        <w:t xml:space="preserve"> 16 LFP||Gr coin</w:t>
      </w:r>
      <w:r>
        <w:rPr>
          <w:rFonts w:ascii="Times New Roman" w:hAnsi="Times New Roman" w:cs="Times New Roman" w:hint="eastAsia"/>
        </w:rPr>
        <w:t xml:space="preserve"> </w:t>
      </w:r>
      <w:r>
        <w:rPr>
          <w:rFonts w:ascii="Times New Roman" w:hAnsi="Times New Roman" w:cs="Times New Roman"/>
        </w:rPr>
        <w:t xml:space="preserve">cells charged at 2C to 95% SOC under open-loop operation, showing offline identification of candidate knee points. </w:t>
      </w:r>
      <w:r>
        <w:rPr>
          <w:rFonts w:ascii="Times New Roman" w:hAnsi="Times New Roman" w:cs="Times New Roman" w:hint="eastAsia"/>
          <w:b/>
          <w:bCs/>
        </w:rPr>
        <w:t>c</w:t>
      </w:r>
      <w:r>
        <w:rPr>
          <w:rFonts w:ascii="Times New Roman" w:hAnsi="Times New Roman" w:cs="Times New Roman"/>
          <w:b/>
          <w:bCs/>
        </w:rPr>
        <w:t>,</w:t>
      </w:r>
      <w:r>
        <w:rPr>
          <w:rFonts w:ascii="Times New Roman" w:hAnsi="Times New Roman" w:cs="Times New Roman"/>
        </w:rPr>
        <w:t xml:space="preserve"> C</w:t>
      </w:r>
      <w:r>
        <w:rPr>
          <w:rFonts w:ascii="Times New Roman" w:hAnsi="Times New Roman" w:cs="Times New Roman"/>
          <w:vertAlign w:val="subscript"/>
        </w:rPr>
        <w:t>s</w:t>
      </w:r>
      <w:r>
        <w:rPr>
          <w:rFonts w:ascii="Times New Roman" w:hAnsi="Times New Roman" w:cs="Times New Roman"/>
        </w:rPr>
        <w:t xml:space="preserve"> trajectories for 40 LFP||Gr coin</w:t>
      </w:r>
      <w:r>
        <w:rPr>
          <w:rFonts w:ascii="Times New Roman" w:hAnsi="Times New Roman" w:cs="Times New Roman" w:hint="eastAsia"/>
        </w:rPr>
        <w:t xml:space="preserve"> </w:t>
      </w:r>
      <w:r>
        <w:rPr>
          <w:rFonts w:ascii="Times New Roman" w:hAnsi="Times New Roman" w:cs="Times New Roman"/>
        </w:rPr>
        <w:t>cells charged at 2C under closed-loop regulation, in which the fast-charge segment was switched to the low-current mitigation step at the online-detected C</w:t>
      </w:r>
      <w:r>
        <w:rPr>
          <w:rFonts w:ascii="Times New Roman" w:hAnsi="Times New Roman" w:cs="Times New Roman"/>
          <w:vertAlign w:val="subscript"/>
        </w:rPr>
        <w:t>s</w:t>
      </w:r>
      <w:r>
        <w:rPr>
          <w:rFonts w:ascii="Times New Roman" w:hAnsi="Times New Roman" w:cs="Times New Roman"/>
        </w:rPr>
        <w:t xml:space="preserve"> knee point. </w:t>
      </w:r>
      <w:r>
        <w:rPr>
          <w:rFonts w:ascii="Times New Roman" w:hAnsi="Times New Roman" w:cs="Times New Roman" w:hint="eastAsia"/>
          <w:b/>
          <w:bCs/>
        </w:rPr>
        <w:t>d</w:t>
      </w:r>
      <w:r>
        <w:rPr>
          <w:rFonts w:ascii="Times New Roman" w:hAnsi="Times New Roman" w:cs="Times New Roman"/>
          <w:b/>
          <w:bCs/>
        </w:rPr>
        <w:t xml:space="preserve">, </w:t>
      </w:r>
      <w:r>
        <w:rPr>
          <w:rFonts w:ascii="Times New Roman" w:hAnsi="Times New Roman" w:cs="Times New Roman"/>
        </w:rPr>
        <w:t>Statistical distributions of the detected C</w:t>
      </w:r>
      <w:r>
        <w:rPr>
          <w:rFonts w:ascii="Times New Roman" w:hAnsi="Times New Roman" w:cs="Times New Roman"/>
          <w:vertAlign w:val="subscript"/>
        </w:rPr>
        <w:t>s</w:t>
      </w:r>
      <w:r>
        <w:rPr>
          <w:rFonts w:ascii="Times New Roman" w:hAnsi="Times New Roman" w:cs="Times New Roman" w:hint="eastAsia"/>
        </w:rPr>
        <w:t xml:space="preserve"> knee</w:t>
      </w:r>
      <w:r>
        <w:rPr>
          <w:rFonts w:ascii="Times New Roman" w:hAnsi="Times New Roman" w:cs="Times New Roman"/>
        </w:rPr>
        <w:t xml:space="preserve"> point position and the corresponding first-derivative threshold for the open-loop and closed-loop groups. </w:t>
      </w:r>
      <w:r>
        <w:rPr>
          <w:rFonts w:ascii="Times New Roman" w:hAnsi="Times New Roman" w:cs="Times New Roman" w:hint="eastAsia"/>
          <w:b/>
          <w:bCs/>
        </w:rPr>
        <w:t>e</w:t>
      </w:r>
      <w:r>
        <w:rPr>
          <w:rFonts w:ascii="Times New Roman" w:hAnsi="Times New Roman" w:cs="Times New Roman"/>
          <w:b/>
          <w:bCs/>
        </w:rPr>
        <w:t>,</w:t>
      </w:r>
      <w:r>
        <w:rPr>
          <w:rFonts w:ascii="Times New Roman" w:hAnsi="Times New Roman" w:cs="Times New Roman"/>
        </w:rPr>
        <w:t xml:space="preserve"> Histogram of the maximum number of consecutive suprathreshold points outside the true knee-point region, used to evaluate the false-triggering tendency of the consecutive-point confirmation rule.</w:t>
      </w:r>
    </w:p>
    <w:p w14:paraId="305B4FE6" w14:textId="77777777" w:rsidR="00F677DB" w:rsidRDefault="00F677DB" w:rsidP="00F677DB">
      <w:pPr>
        <w:widowControl/>
        <w:jc w:val="left"/>
        <w:rPr>
          <w:rFonts w:eastAsia="黑体" w:cs="Times New Roman"/>
          <w:b/>
          <w:bCs/>
          <w:color w:val="000000" w:themeColor="text1"/>
          <w:sz w:val="20"/>
          <w:szCs w:val="20"/>
        </w:rPr>
      </w:pPr>
      <w:r>
        <w:rPr>
          <w:rFonts w:eastAsia="黑体" w:cs="Times New Roman"/>
          <w:b/>
          <w:bCs/>
          <w:color w:val="000000" w:themeColor="text1"/>
          <w:sz w:val="20"/>
          <w:szCs w:val="20"/>
        </w:rPr>
        <w:br w:type="page"/>
      </w:r>
    </w:p>
    <w:p w14:paraId="3A14F868" w14:textId="77777777" w:rsidR="00F677DB" w:rsidRDefault="00F677DB" w:rsidP="00F677DB">
      <w:pPr>
        <w:widowControl/>
        <w:jc w:val="left"/>
        <w:rPr>
          <w:rFonts w:eastAsia="黑体" w:cs="Times New Roman"/>
          <w:b/>
          <w:bCs/>
          <w:color w:val="000000" w:themeColor="text1"/>
          <w:sz w:val="20"/>
          <w:szCs w:val="20"/>
        </w:rPr>
      </w:pPr>
    </w:p>
    <w:p w14:paraId="518A7D0E" w14:textId="77777777" w:rsidR="00F677DB" w:rsidRDefault="00F677DB" w:rsidP="00F677DB">
      <w:pPr>
        <w:keepNext/>
        <w:jc w:val="center"/>
      </w:pPr>
      <w:r>
        <w:rPr>
          <w:rFonts w:cs="Times New Roman"/>
          <w:noProof/>
          <w:sz w:val="20"/>
          <w:szCs w:val="20"/>
        </w:rPr>
        <w:drawing>
          <wp:inline distT="0" distB="0" distL="0" distR="0" wp14:anchorId="013396C3" wp14:editId="332B73E8">
            <wp:extent cx="5781370" cy="2856016"/>
            <wp:effectExtent l="0" t="0" r="0" b="190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9"/>
                    <a:srcRect l="507" r="507"/>
                    <a:stretch>
                      <a:fillRect/>
                    </a:stretch>
                  </pic:blipFill>
                  <pic:spPr>
                    <a:xfrm>
                      <a:off x="0" y="0"/>
                      <a:ext cx="5787707" cy="2859146"/>
                    </a:xfrm>
                    <a:prstGeom prst="rect">
                      <a:avLst/>
                    </a:prstGeom>
                    <a:noFill/>
                    <a:ln>
                      <a:noFill/>
                    </a:ln>
                  </pic:spPr>
                </pic:pic>
              </a:graphicData>
            </a:graphic>
          </wp:inline>
        </w:drawing>
      </w:r>
    </w:p>
    <w:p w14:paraId="48EC62AB" w14:textId="433FEFEF" w:rsidR="00F677DB" w:rsidRDefault="00F677DB" w:rsidP="00F677DB">
      <w:pPr>
        <w:pStyle w:val="ae"/>
        <w:spacing w:line="360" w:lineRule="auto"/>
        <w:rPr>
          <w:rFonts w:ascii="Times New Roman" w:hAnsi="Times New Roman" w:cs="Times New Roman"/>
          <w:b/>
          <w:bCs/>
        </w:rPr>
      </w:pPr>
      <w:r>
        <w:rPr>
          <w:rFonts w:ascii="Times New Roman" w:hAnsi="Times New Roman" w:cs="Times New Roman"/>
          <w:b/>
          <w:bCs/>
        </w:rPr>
        <w:t xml:space="preserve">Supplementary Fig. </w:t>
      </w:r>
      <w:r w:rsidR="00C1076A">
        <w:rPr>
          <w:rFonts w:ascii="Times New Roman" w:hAnsi="Times New Roman" w:cs="Times New Roman" w:hint="eastAsia"/>
          <w:b/>
          <w:bCs/>
        </w:rPr>
        <w:t xml:space="preserve">4 </w:t>
      </w:r>
      <w:r>
        <w:rPr>
          <w:rFonts w:ascii="Times New Roman" w:eastAsia="等线" w:hAnsi="Times New Roman" w:cs="Times New Roman"/>
          <w:b/>
          <w:bCs/>
          <w:color w:val="000000" w:themeColor="text1"/>
        </w:rPr>
        <w:t xml:space="preserve">| </w:t>
      </w:r>
      <w:r>
        <w:rPr>
          <w:rFonts w:ascii="Times New Roman" w:eastAsia="等线 Light" w:hAnsi="Times New Roman" w:cs="Times New Roman"/>
          <w:b/>
          <w:bCs/>
          <w:color w:val="000000"/>
        </w:rPr>
        <w:t>Discharge-stage morphology of commercial LCO||Gr coin cells after open-loop and closed-loop regulation</w:t>
      </w:r>
      <w:r>
        <w:rPr>
          <w:rFonts w:ascii="Times New Roman" w:eastAsia="等线 Light" w:hAnsi="Times New Roman" w:cs="Times New Roman" w:hint="eastAsia"/>
          <w:b/>
          <w:bCs/>
          <w:color w:val="000000"/>
        </w:rPr>
        <w:t>s</w:t>
      </w:r>
      <w:r>
        <w:rPr>
          <w:rFonts w:ascii="Times New Roman" w:eastAsia="等线 Light" w:hAnsi="Times New Roman" w:cs="Times New Roman"/>
          <w:b/>
          <w:bCs/>
          <w:color w:val="000000"/>
        </w:rPr>
        <w:t xml:space="preserve">. a, </w:t>
      </w:r>
      <w:r>
        <w:rPr>
          <w:rFonts w:ascii="Times New Roman" w:eastAsia="等线 Light" w:hAnsi="Times New Roman" w:cs="Times New Roman"/>
          <w:color w:val="000000"/>
        </w:rPr>
        <w:t>C</w:t>
      </w:r>
      <w:r>
        <w:rPr>
          <w:rFonts w:ascii="Times New Roman" w:eastAsia="等线 Light" w:hAnsi="Times New Roman" w:cs="Times New Roman"/>
          <w:color w:val="000000"/>
          <w:position w:val="-4"/>
          <w:vertAlign w:val="subscript"/>
        </w:rPr>
        <w:t>s</w:t>
      </w:r>
      <w:r>
        <w:rPr>
          <w:rFonts w:ascii="Times New Roman" w:eastAsia="等线 Light" w:hAnsi="Times New Roman" w:cs="Times New Roman"/>
          <w:color w:val="000000"/>
        </w:rPr>
        <w:t xml:space="preserve"> and voltage profiles during discharge at 0.2C</w:t>
      </w:r>
      <w:r>
        <w:rPr>
          <w:rFonts w:ascii="Times New Roman" w:eastAsia="等线 Light" w:hAnsi="Times New Roman" w:cs="Times New Roman" w:hint="eastAsia"/>
          <w:color w:val="000000"/>
        </w:rPr>
        <w:t xml:space="preserve"> </w:t>
      </w:r>
      <w:r>
        <w:rPr>
          <w:rFonts w:ascii="Times New Roman" w:eastAsia="等线 Light" w:hAnsi="Times New Roman" w:cs="Times New Roman"/>
          <w:color w:val="000000"/>
        </w:rPr>
        <w:t>to 2.5 V after open-loop operation (</w:t>
      </w:r>
      <w:proofErr w:type="spellStart"/>
      <w:r>
        <w:rPr>
          <w:rFonts w:ascii="Times New Roman" w:eastAsia="等线 Light" w:hAnsi="Times New Roman" w:cs="Times New Roman"/>
          <w:color w:val="000000"/>
        </w:rPr>
        <w:t>Unreg</w:t>
      </w:r>
      <w:proofErr w:type="spellEnd"/>
      <w:r>
        <w:rPr>
          <w:rFonts w:ascii="Times New Roman" w:eastAsia="等线 Light" w:hAnsi="Times New Roman" w:cs="Times New Roman"/>
          <w:color w:val="000000"/>
        </w:rPr>
        <w:t xml:space="preserve">.). </w:t>
      </w:r>
      <w:r>
        <w:rPr>
          <w:rFonts w:ascii="Times New Roman" w:eastAsia="等线 Light" w:hAnsi="Times New Roman" w:cs="Times New Roman"/>
          <w:b/>
          <w:bCs/>
          <w:color w:val="000000"/>
        </w:rPr>
        <w:t>b</w:t>
      </w:r>
      <w:r>
        <w:rPr>
          <w:rFonts w:ascii="Times New Roman" w:eastAsia="等线 Light" w:hAnsi="Times New Roman" w:cs="Times New Roman"/>
          <w:color w:val="000000"/>
        </w:rPr>
        <w:t xml:space="preserve">, SEM image of the graphite anode after discharge. </w:t>
      </w:r>
      <w:r>
        <w:rPr>
          <w:rFonts w:ascii="Times New Roman" w:eastAsia="等线 Light" w:hAnsi="Times New Roman" w:cs="Times New Roman"/>
          <w:b/>
          <w:bCs/>
          <w:color w:val="000000"/>
        </w:rPr>
        <w:t>c</w:t>
      </w:r>
      <w:r>
        <w:rPr>
          <w:rFonts w:ascii="Times New Roman" w:eastAsia="等线 Light" w:hAnsi="Times New Roman" w:cs="Times New Roman"/>
          <w:color w:val="000000"/>
        </w:rPr>
        <w:t xml:space="preserve">, </w:t>
      </w:r>
      <w:r>
        <w:rPr>
          <w:rFonts w:ascii="Times New Roman" w:hAnsi="Times New Roman" w:cs="Times New Roman" w:hint="eastAsia"/>
        </w:rPr>
        <w:t>M</w:t>
      </w:r>
      <w:r>
        <w:rPr>
          <w:rFonts w:ascii="Times New Roman" w:hAnsi="Times New Roman" w:cs="Times New Roman"/>
        </w:rPr>
        <w:t xml:space="preserve">agnified </w:t>
      </w:r>
      <w:r>
        <w:rPr>
          <w:rFonts w:ascii="Times New Roman" w:eastAsia="等线 Light" w:hAnsi="Times New Roman" w:cs="Times New Roman"/>
          <w:color w:val="000000"/>
        </w:rPr>
        <w:t>SEM image</w:t>
      </w:r>
      <w:r>
        <w:rPr>
          <w:rFonts w:ascii="Times New Roman" w:hAnsi="Times New Roman" w:cs="Times New Roman"/>
        </w:rPr>
        <w:t xml:space="preserve"> of the orange-boxed region in </w:t>
      </w:r>
      <w:r>
        <w:rPr>
          <w:rFonts w:ascii="Times New Roman" w:hAnsi="Times New Roman" w:cs="Times New Roman"/>
          <w:b/>
          <w:bCs/>
        </w:rPr>
        <w:t>(b)</w:t>
      </w:r>
      <w:r>
        <w:rPr>
          <w:rFonts w:ascii="Times New Roman" w:hAnsi="Times New Roman" w:cs="Times New Roman"/>
        </w:rPr>
        <w:t xml:space="preserve">. </w:t>
      </w:r>
      <w:r>
        <w:rPr>
          <w:rFonts w:ascii="Times New Roman" w:hAnsi="Times New Roman" w:cs="Times New Roman"/>
          <w:b/>
          <w:bCs/>
        </w:rPr>
        <w:t>d</w:t>
      </w:r>
      <w:r>
        <w:rPr>
          <w:rFonts w:ascii="Times New Roman" w:hAnsi="Times New Roman" w:cs="Times New Roman"/>
        </w:rPr>
        <w:t xml:space="preserve">, </w:t>
      </w:r>
      <w:r>
        <w:rPr>
          <w:rFonts w:ascii="Times New Roman" w:eastAsia="等线 Light" w:hAnsi="Times New Roman" w:cs="Times New Roman"/>
          <w:color w:val="000000"/>
        </w:rPr>
        <w:t>C</w:t>
      </w:r>
      <w:r>
        <w:rPr>
          <w:rFonts w:ascii="Times New Roman" w:eastAsia="等线 Light" w:hAnsi="Times New Roman" w:cs="Times New Roman"/>
          <w:color w:val="000000"/>
          <w:position w:val="-4"/>
          <w:vertAlign w:val="subscript"/>
        </w:rPr>
        <w:t>s</w:t>
      </w:r>
      <w:r>
        <w:rPr>
          <w:rFonts w:ascii="Times New Roman" w:eastAsia="等线 Light" w:hAnsi="Times New Roman" w:cs="Times New Roman"/>
          <w:color w:val="000000"/>
        </w:rPr>
        <w:t xml:space="preserve"> and voltage profiles during discharge at 0.2C to 2.5 V after active closed-loop regulation. </w:t>
      </w:r>
      <w:r>
        <w:rPr>
          <w:rFonts w:ascii="Times New Roman" w:eastAsia="等线 Light" w:hAnsi="Times New Roman" w:cs="Times New Roman"/>
          <w:b/>
          <w:bCs/>
          <w:color w:val="000000"/>
        </w:rPr>
        <w:t>e</w:t>
      </w:r>
      <w:r>
        <w:rPr>
          <w:rFonts w:ascii="Times New Roman" w:eastAsia="等线 Light" w:hAnsi="Times New Roman" w:cs="Times New Roman"/>
          <w:color w:val="000000"/>
        </w:rPr>
        <w:t xml:space="preserve">, SEM image of the graphite anode after discharge. </w:t>
      </w:r>
      <w:r>
        <w:rPr>
          <w:rFonts w:ascii="Times New Roman" w:eastAsia="等线 Light" w:hAnsi="Times New Roman" w:cs="Times New Roman"/>
          <w:b/>
          <w:bCs/>
          <w:color w:val="000000"/>
        </w:rPr>
        <w:t>f</w:t>
      </w:r>
      <w:r>
        <w:rPr>
          <w:rFonts w:ascii="Times New Roman" w:eastAsia="等线 Light" w:hAnsi="Times New Roman" w:cs="Times New Roman"/>
          <w:color w:val="000000"/>
        </w:rPr>
        <w:t xml:space="preserve">, </w:t>
      </w:r>
      <w:r>
        <w:rPr>
          <w:rFonts w:ascii="Times New Roman" w:hAnsi="Times New Roman" w:cs="Times New Roman" w:hint="eastAsia"/>
        </w:rPr>
        <w:t>M</w:t>
      </w:r>
      <w:r>
        <w:rPr>
          <w:rFonts w:ascii="Times New Roman" w:hAnsi="Times New Roman" w:cs="Times New Roman"/>
        </w:rPr>
        <w:t xml:space="preserve">agnified </w:t>
      </w:r>
      <w:r>
        <w:rPr>
          <w:rFonts w:ascii="Times New Roman" w:eastAsia="等线 Light" w:hAnsi="Times New Roman" w:cs="Times New Roman"/>
          <w:color w:val="000000"/>
        </w:rPr>
        <w:t>SEM image</w:t>
      </w:r>
      <w:r>
        <w:rPr>
          <w:rFonts w:ascii="Times New Roman" w:hAnsi="Times New Roman" w:cs="Times New Roman"/>
        </w:rPr>
        <w:t xml:space="preserve"> of the orange-boxed region in </w:t>
      </w:r>
      <w:r>
        <w:rPr>
          <w:rFonts w:ascii="Times New Roman" w:hAnsi="Times New Roman" w:cs="Times New Roman"/>
          <w:b/>
          <w:bCs/>
        </w:rPr>
        <w:t>(e)</w:t>
      </w:r>
      <w:r>
        <w:rPr>
          <w:rFonts w:ascii="Times New Roman" w:hAnsi="Times New Roman" w:cs="Times New Roman"/>
        </w:rPr>
        <w:t>.</w:t>
      </w:r>
      <w:r>
        <w:rPr>
          <w:rFonts w:ascii="Times New Roman" w:hAnsi="Times New Roman" w:cs="Times New Roman"/>
        </w:rPr>
        <w:br w:type="page"/>
      </w:r>
    </w:p>
    <w:p w14:paraId="2F921922" w14:textId="77777777" w:rsidR="00F677DB" w:rsidRDefault="00F677DB" w:rsidP="00F677DB">
      <w:pPr>
        <w:keepNext/>
        <w:widowControl/>
        <w:spacing w:line="480" w:lineRule="auto"/>
        <w:jc w:val="center"/>
      </w:pPr>
      <w:r>
        <w:rPr>
          <w:rFonts w:eastAsia="宋体" w:cs="Times New Roman" w:hint="eastAsia"/>
          <w:noProof/>
          <w:sz w:val="20"/>
          <w:szCs w:val="20"/>
        </w:rPr>
        <w:lastRenderedPageBreak/>
        <w:drawing>
          <wp:inline distT="0" distB="0" distL="0" distR="0" wp14:anchorId="250A668C" wp14:editId="1B0CD0FB">
            <wp:extent cx="4859655" cy="2108835"/>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60000" cy="2108881"/>
                    </a:xfrm>
                    <a:prstGeom prst="rect">
                      <a:avLst/>
                    </a:prstGeom>
                  </pic:spPr>
                </pic:pic>
              </a:graphicData>
            </a:graphic>
          </wp:inline>
        </w:drawing>
      </w:r>
    </w:p>
    <w:p w14:paraId="12DAED1E" w14:textId="53F9C3FA" w:rsidR="00F677DB" w:rsidRDefault="00F677DB" w:rsidP="00F677DB">
      <w:pPr>
        <w:pStyle w:val="ae"/>
        <w:spacing w:line="360" w:lineRule="auto"/>
        <w:rPr>
          <w:rFonts w:ascii="Times New Roman" w:eastAsia="宋体" w:hAnsi="Times New Roman" w:cs="Times New Roman"/>
          <w:b/>
          <w:bCs/>
        </w:rPr>
      </w:pPr>
      <w:r>
        <w:rPr>
          <w:rFonts w:ascii="Times New Roman" w:hAnsi="Times New Roman" w:cs="Times New Roman"/>
          <w:b/>
          <w:bCs/>
        </w:rPr>
        <w:t xml:space="preserve">Supplementary Fig. </w:t>
      </w:r>
      <w:r w:rsidR="00C1076A">
        <w:rPr>
          <w:rFonts w:ascii="Times New Roman" w:hAnsi="Times New Roman" w:cs="Times New Roman" w:hint="eastAsia"/>
          <w:b/>
          <w:bCs/>
          <w:noProof/>
        </w:rPr>
        <w:t>5</w:t>
      </w:r>
      <w:r>
        <w:rPr>
          <w:rFonts w:ascii="Times New Roman" w:hAnsi="Times New Roman" w:cs="Times New Roman" w:hint="eastAsia"/>
          <w:b/>
          <w:bCs/>
        </w:rPr>
        <w:t xml:space="preserve"> </w:t>
      </w:r>
      <w:r>
        <w:rPr>
          <w:rFonts w:ascii="Times New Roman" w:hAnsi="Times New Roman" w:cs="Times New Roman"/>
          <w:b/>
          <w:bCs/>
        </w:rPr>
        <w:t>| Schematic illustration of the isotope-labeled titration mass spectrometry apparatus and</w:t>
      </w:r>
      <w:r>
        <w:rPr>
          <w:rFonts w:ascii="Times New Roman" w:eastAsia="宋体" w:hAnsi="Times New Roman" w:cs="Times New Roman"/>
          <w:b/>
          <w:bCs/>
        </w:rPr>
        <w:t xml:space="preserve"> analytical protocol.</w:t>
      </w:r>
    </w:p>
    <w:p w14:paraId="73C7617A" w14:textId="77777777" w:rsidR="00F677DB" w:rsidRDefault="00F677DB" w:rsidP="00F677DB">
      <w:pPr>
        <w:widowControl/>
        <w:jc w:val="left"/>
      </w:pPr>
      <w:r>
        <w:br w:type="page"/>
      </w:r>
    </w:p>
    <w:p w14:paraId="42F36D65" w14:textId="77777777" w:rsidR="00F677DB" w:rsidRDefault="00F677DB" w:rsidP="00F677DB">
      <w:pPr>
        <w:keepNext/>
        <w:widowControl/>
        <w:spacing w:line="480" w:lineRule="auto"/>
        <w:jc w:val="center"/>
      </w:pPr>
      <w:r>
        <w:rPr>
          <w:rFonts w:eastAsia="宋体" w:cs="Times New Roman"/>
          <w:noProof/>
          <w:sz w:val="20"/>
          <w:szCs w:val="20"/>
        </w:rPr>
        <w:lastRenderedPageBreak/>
        <w:drawing>
          <wp:inline distT="0" distB="0" distL="0" distR="0" wp14:anchorId="55B9ED49" wp14:editId="58D0DF46">
            <wp:extent cx="2159635" cy="213423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0000" cy="2134848"/>
                    </a:xfrm>
                    <a:prstGeom prst="rect">
                      <a:avLst/>
                    </a:prstGeom>
                  </pic:spPr>
                </pic:pic>
              </a:graphicData>
            </a:graphic>
          </wp:inline>
        </w:drawing>
      </w:r>
    </w:p>
    <w:p w14:paraId="0FB8A113" w14:textId="52620454" w:rsidR="00F677DB" w:rsidRDefault="00F677DB" w:rsidP="00F677DB">
      <w:pPr>
        <w:pStyle w:val="ae"/>
        <w:spacing w:line="360" w:lineRule="auto"/>
        <w:rPr>
          <w:rFonts w:ascii="Times New Roman" w:hAnsi="Times New Roman" w:cs="Times New Roman"/>
          <w:b/>
          <w:bCs/>
        </w:rPr>
      </w:pPr>
      <w:r>
        <w:rPr>
          <w:rFonts w:ascii="Times New Roman" w:hAnsi="Times New Roman" w:cs="Times New Roman"/>
          <w:b/>
          <w:bCs/>
        </w:rPr>
        <w:t xml:space="preserve">Supplementary Fig. </w:t>
      </w:r>
      <w:r w:rsidR="00C1076A">
        <w:rPr>
          <w:rFonts w:ascii="Times New Roman" w:hAnsi="Times New Roman" w:cs="Times New Roman" w:hint="eastAsia"/>
          <w:b/>
          <w:bCs/>
          <w:noProof/>
        </w:rPr>
        <w:t>6</w:t>
      </w:r>
      <w:r>
        <w:rPr>
          <w:rFonts w:ascii="Times New Roman" w:hAnsi="Times New Roman" w:cs="Times New Roman"/>
          <w:b/>
          <w:bCs/>
        </w:rPr>
        <w:t xml:space="preserve"> | Standard calibration curve correlating the mass of metallic lithium with the integrated peak area of the evolved D</w:t>
      </w:r>
      <w:r>
        <w:rPr>
          <w:rFonts w:ascii="Times New Roman" w:hAnsi="Times New Roman" w:cs="Times New Roman"/>
          <w:b/>
          <w:bCs/>
          <w:vertAlign w:val="subscript"/>
        </w:rPr>
        <w:t>2</w:t>
      </w:r>
      <w:r>
        <w:rPr>
          <w:rFonts w:ascii="Times New Roman" w:hAnsi="Times New Roman" w:cs="Times New Roman"/>
          <w:b/>
          <w:bCs/>
        </w:rPr>
        <w:t xml:space="preserve"> gas (</w:t>
      </w:r>
      <w:r>
        <w:rPr>
          <w:rFonts w:ascii="Times New Roman" w:hAnsi="Times New Roman" w:cs="Times New Roman"/>
          <w:b/>
          <w:bCs/>
          <w:i/>
          <w:iCs/>
        </w:rPr>
        <w:t>m/z</w:t>
      </w:r>
      <w:r>
        <w:rPr>
          <w:rFonts w:ascii="Times New Roman" w:hAnsi="Times New Roman" w:cs="Times New Roman"/>
          <w:b/>
          <w:bCs/>
        </w:rPr>
        <w:t xml:space="preserve"> = 4).</w:t>
      </w:r>
      <w:r>
        <w:rPr>
          <w:rFonts w:ascii="Times New Roman" w:hAnsi="Times New Roman" w:cs="Times New Roman" w:hint="eastAsia"/>
          <w:b/>
          <w:bCs/>
        </w:rPr>
        <w:t xml:space="preserve"> </w:t>
      </w:r>
      <w:r>
        <w:rPr>
          <w:rFonts w:ascii="Times New Roman" w:hAnsi="Times New Roman" w:cs="Times New Roman"/>
        </w:rPr>
        <w:t>Each calibration point was measured in triplicate (n = 3).</w:t>
      </w:r>
    </w:p>
    <w:p w14:paraId="3908002A" w14:textId="77777777" w:rsidR="00F677DB" w:rsidRDefault="00F677DB" w:rsidP="00F677DB">
      <w:pPr>
        <w:widowControl/>
        <w:jc w:val="left"/>
        <w:rPr>
          <w:rFonts w:eastAsia="黑体" w:cs="Times New Roman"/>
          <w:b/>
          <w:bCs/>
          <w:sz w:val="20"/>
          <w:szCs w:val="20"/>
        </w:rPr>
      </w:pPr>
      <w:r>
        <w:rPr>
          <w:rFonts w:eastAsia="黑体" w:cs="Times New Roman"/>
          <w:b/>
          <w:bCs/>
          <w:sz w:val="20"/>
          <w:szCs w:val="20"/>
        </w:rPr>
        <w:br w:type="page"/>
      </w:r>
    </w:p>
    <w:p w14:paraId="02FB0FD2" w14:textId="77777777" w:rsidR="00F677DB" w:rsidRDefault="00F677DB" w:rsidP="00F677DB">
      <w:pPr>
        <w:keepNext/>
        <w:tabs>
          <w:tab w:val="left" w:pos="1290"/>
        </w:tabs>
        <w:jc w:val="center"/>
      </w:pPr>
      <w:r>
        <w:rPr>
          <w:noProof/>
        </w:rPr>
        <w:lastRenderedPageBreak/>
        <w:drawing>
          <wp:inline distT="0" distB="0" distL="0" distR="0" wp14:anchorId="6012692E" wp14:editId="3D59E101">
            <wp:extent cx="4463415" cy="196215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12"/>
                    <a:stretch>
                      <a:fillRect/>
                    </a:stretch>
                  </pic:blipFill>
                  <pic:spPr>
                    <a:xfrm>
                      <a:off x="0" y="0"/>
                      <a:ext cx="4464000" cy="1962783"/>
                    </a:xfrm>
                    <a:prstGeom prst="rect">
                      <a:avLst/>
                    </a:prstGeom>
                    <a:noFill/>
                  </pic:spPr>
                </pic:pic>
              </a:graphicData>
            </a:graphic>
          </wp:inline>
        </w:drawing>
      </w:r>
    </w:p>
    <w:p w14:paraId="749AA67B" w14:textId="5B37DEC0" w:rsidR="00F677DB" w:rsidRDefault="00F677DB" w:rsidP="00F677DB">
      <w:pPr>
        <w:pStyle w:val="ae"/>
        <w:spacing w:line="360" w:lineRule="auto"/>
        <w:rPr>
          <w:rFonts w:ascii="Times New Roman" w:eastAsia="宋体" w:hAnsi="Times New Roman" w:cs="Times New Roman"/>
        </w:rPr>
      </w:pPr>
      <w:r>
        <w:rPr>
          <w:rFonts w:ascii="Times New Roman" w:hAnsi="Times New Roman" w:cs="Times New Roman"/>
          <w:b/>
          <w:bCs/>
        </w:rPr>
        <w:t xml:space="preserve">Supplementary Fig. </w:t>
      </w:r>
      <w:r w:rsidR="00C1076A">
        <w:rPr>
          <w:rFonts w:ascii="Times New Roman" w:hAnsi="Times New Roman" w:cs="Times New Roman" w:hint="eastAsia"/>
          <w:b/>
          <w:bCs/>
          <w:noProof/>
        </w:rPr>
        <w:t>7</w:t>
      </w:r>
      <w:r>
        <w:rPr>
          <w:rFonts w:ascii="Times New Roman" w:hAnsi="Times New Roman" w:cs="Times New Roman"/>
          <w:b/>
          <w:bCs/>
        </w:rPr>
        <w:t xml:space="preserve"> | Electrochemical profiles of commercial LCO||Gr coin cells prepared for TMS quantification. </w:t>
      </w:r>
      <w:r>
        <w:rPr>
          <w:rFonts w:ascii="Times New Roman" w:eastAsia="宋体" w:hAnsi="Times New Roman" w:cs="Times New Roman"/>
          <w:b/>
          <w:bCs/>
        </w:rPr>
        <w:t xml:space="preserve">a, b, </w:t>
      </w:r>
      <w:r>
        <w:rPr>
          <w:rFonts w:ascii="Times New Roman" w:eastAsia="宋体" w:hAnsi="Times New Roman" w:cs="Times New Roman"/>
        </w:rPr>
        <w:t>C</w:t>
      </w:r>
      <w:r>
        <w:rPr>
          <w:rFonts w:ascii="Times New Roman" w:eastAsia="宋体" w:hAnsi="Times New Roman" w:cs="Times New Roman"/>
          <w:vertAlign w:val="subscript"/>
        </w:rPr>
        <w:t>s</w:t>
      </w:r>
      <w:r>
        <w:rPr>
          <w:rFonts w:ascii="Times New Roman" w:eastAsia="宋体" w:hAnsi="Times New Roman" w:cs="Times New Roman"/>
        </w:rPr>
        <w:t xml:space="preserve"> and voltage profiles of the unregulated open-loop group (blue) and AI-LOMAC-regulated closed-loop group (red) during</w:t>
      </w:r>
      <w:r>
        <w:rPr>
          <w:rFonts w:ascii="Times New Roman" w:eastAsia="宋体" w:hAnsi="Times New Roman" w:cs="Times New Roman"/>
          <w:b/>
          <w:bCs/>
        </w:rPr>
        <w:t xml:space="preserve"> (a) </w:t>
      </w:r>
      <w:r>
        <w:rPr>
          <w:rFonts w:ascii="Times New Roman" w:eastAsia="宋体" w:hAnsi="Times New Roman" w:cs="Times New Roman"/>
        </w:rPr>
        <w:t>charging and</w:t>
      </w:r>
      <w:r>
        <w:rPr>
          <w:rFonts w:ascii="Times New Roman" w:eastAsia="宋体" w:hAnsi="Times New Roman" w:cs="Times New Roman"/>
          <w:b/>
          <w:bCs/>
        </w:rPr>
        <w:t xml:space="preserve"> (b) </w:t>
      </w:r>
      <w:r>
        <w:rPr>
          <w:rFonts w:ascii="Times New Roman" w:eastAsia="宋体" w:hAnsi="Times New Roman" w:cs="Times New Roman"/>
        </w:rPr>
        <w:t>discharging. Each group contained three parallel cells (n = 3).</w:t>
      </w:r>
    </w:p>
    <w:p w14:paraId="6BF1A98E" w14:textId="77777777" w:rsidR="00F677DB" w:rsidRDefault="00F677DB">
      <w:pPr>
        <w:rPr>
          <w:rFonts w:eastAsia="宋体" w:cs="Times New Roman" w:hint="eastAsia"/>
        </w:rPr>
        <w:pPrChange w:id="0" w:author="贺老儿" w:date="2026-08-07T12:25:00Z">
          <w:pPr>
            <w:pStyle w:val="ae"/>
            <w:spacing w:line="480" w:lineRule="auto"/>
          </w:pPr>
        </w:pPrChange>
      </w:pPr>
      <w:r>
        <w:rPr>
          <w:rFonts w:eastAsia="宋体" w:cs="Times New Roman"/>
        </w:rPr>
        <w:br w:type="page"/>
      </w:r>
    </w:p>
    <w:p w14:paraId="31029A82" w14:textId="1FF2B143" w:rsidR="00F677DB" w:rsidRDefault="00F1762D" w:rsidP="00F677DB">
      <w:pPr>
        <w:jc w:val="center"/>
      </w:pPr>
      <w:r>
        <w:rPr>
          <w:noProof/>
        </w:rPr>
        <w:lastRenderedPageBreak/>
        <w:drawing>
          <wp:inline distT="0" distB="0" distL="0" distR="0" wp14:anchorId="1E4AFD12" wp14:editId="66F8A79A">
            <wp:extent cx="4572000" cy="383156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87660" cy="3844687"/>
                    </a:xfrm>
                    <a:prstGeom prst="rect">
                      <a:avLst/>
                    </a:prstGeom>
                    <a:noFill/>
                  </pic:spPr>
                </pic:pic>
              </a:graphicData>
            </a:graphic>
          </wp:inline>
        </w:drawing>
      </w:r>
    </w:p>
    <w:p w14:paraId="4BEE32AF" w14:textId="094E8A16" w:rsidR="00F677DB" w:rsidRDefault="00F677DB" w:rsidP="00F677DB">
      <w:pPr>
        <w:spacing w:line="360" w:lineRule="auto"/>
      </w:pPr>
      <w:r>
        <w:rPr>
          <w:b/>
          <w:bCs/>
        </w:rPr>
        <w:t xml:space="preserve">Supplementary Fig. </w:t>
      </w:r>
      <w:r>
        <w:rPr>
          <w:rFonts w:hint="eastAsia"/>
          <w:b/>
          <w:bCs/>
        </w:rPr>
        <w:t>8</w:t>
      </w:r>
      <w:r>
        <w:rPr>
          <w:b/>
          <w:bCs/>
        </w:rPr>
        <w:t xml:space="preserve"> | Long-term closed-loop cycling of LCO||Gr cell under </w:t>
      </w:r>
      <w:r w:rsidR="00F1762D">
        <w:rPr>
          <w:rFonts w:hint="eastAsia"/>
          <w:b/>
          <w:bCs/>
        </w:rPr>
        <w:t>real time</w:t>
      </w:r>
      <w:r>
        <w:rPr>
          <w:b/>
          <w:bCs/>
        </w:rPr>
        <w:t xml:space="preserve"> </w:t>
      </w:r>
      <w:r w:rsidR="003D004B">
        <w:rPr>
          <w:rFonts w:hint="eastAsia"/>
          <w:b/>
          <w:bCs/>
        </w:rPr>
        <w:t xml:space="preserve">active </w:t>
      </w:r>
      <w:r>
        <w:rPr>
          <w:b/>
          <w:bCs/>
        </w:rPr>
        <w:t>control</w:t>
      </w:r>
      <w:r w:rsidR="00F96190">
        <w:rPr>
          <w:rFonts w:hint="eastAsia"/>
          <w:b/>
          <w:bCs/>
        </w:rPr>
        <w:t xml:space="preserve"> with AI-LOMAC</w:t>
      </w:r>
      <w:r>
        <w:rPr>
          <w:b/>
          <w:bCs/>
        </w:rPr>
        <w:t xml:space="preserve">. </w:t>
      </w:r>
      <w:r>
        <w:rPr>
          <w:rFonts w:hint="eastAsia"/>
          <w:b/>
          <w:bCs/>
        </w:rPr>
        <w:t xml:space="preserve">a,b,c, </w:t>
      </w:r>
      <w:r>
        <w:t>The cell was charged at 2C, with the current reduced to 0.1C upon triggering of the regulation protocol, and discharged at 2C. Before the first cycle, the cell was discharged to the lower cut-off voltage.</w:t>
      </w:r>
    </w:p>
    <w:p w14:paraId="0C1B4C07" w14:textId="77777777" w:rsidR="00F677DB" w:rsidRDefault="00F677DB" w:rsidP="00F677DB"/>
    <w:p w14:paraId="0E4063F7" w14:textId="77777777" w:rsidR="00F677DB" w:rsidRDefault="00F677DB" w:rsidP="00F677DB">
      <w:r>
        <w:br w:type="page"/>
      </w:r>
    </w:p>
    <w:p w14:paraId="5747AFC7" w14:textId="77777777" w:rsidR="00F677DB" w:rsidRDefault="00F677DB" w:rsidP="00F677DB">
      <w:pPr>
        <w:jc w:val="center"/>
        <w:rPr>
          <w:b/>
          <w:bCs/>
        </w:rPr>
      </w:pPr>
      <w:r>
        <w:rPr>
          <w:b/>
          <w:bCs/>
          <w:noProof/>
        </w:rPr>
        <w:lastRenderedPageBreak/>
        <w:drawing>
          <wp:inline distT="0" distB="0" distL="0" distR="0" wp14:anchorId="7BC92E75" wp14:editId="70083543">
            <wp:extent cx="5012712" cy="3752611"/>
            <wp:effectExtent l="0" t="0" r="0"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18034" cy="3756595"/>
                    </a:xfrm>
                    <a:prstGeom prst="rect">
                      <a:avLst/>
                    </a:prstGeom>
                    <a:noFill/>
                  </pic:spPr>
                </pic:pic>
              </a:graphicData>
            </a:graphic>
          </wp:inline>
        </w:drawing>
      </w:r>
    </w:p>
    <w:p w14:paraId="742F5635" w14:textId="129254F9" w:rsidR="00F677DB" w:rsidRDefault="00F677DB" w:rsidP="00F677DB">
      <w:r>
        <w:rPr>
          <w:b/>
          <w:bCs/>
        </w:rPr>
        <w:t>Supplementary Fig.</w:t>
      </w:r>
      <w:r>
        <w:rPr>
          <w:rFonts w:cs="Times New Roman"/>
          <w:b/>
          <w:bCs/>
        </w:rPr>
        <w:t xml:space="preserve"> </w:t>
      </w:r>
      <w:r>
        <w:rPr>
          <w:rFonts w:cs="Times New Roman" w:hint="eastAsia"/>
          <w:b/>
          <w:bCs/>
        </w:rPr>
        <w:t xml:space="preserve">9 </w:t>
      </w:r>
      <w:r>
        <w:rPr>
          <w:rFonts w:hint="eastAsia"/>
          <w:b/>
          <w:bCs/>
        </w:rPr>
        <w:t xml:space="preserve">| Cycling stability and charging-time benefits of closed-loop fast-charging regulation. </w:t>
      </w:r>
      <w:proofErr w:type="spellStart"/>
      <w:r>
        <w:rPr>
          <w:rFonts w:hint="eastAsia"/>
          <w:b/>
          <w:bCs/>
        </w:rPr>
        <w:t>a,c</w:t>
      </w:r>
      <w:proofErr w:type="spellEnd"/>
      <w:r>
        <w:rPr>
          <w:rFonts w:hint="eastAsia"/>
          <w:b/>
          <w:bCs/>
        </w:rPr>
        <w:t xml:space="preserve">, </w:t>
      </w:r>
      <w:r>
        <w:rPr>
          <w:rFonts w:hint="eastAsia"/>
        </w:rPr>
        <w:t xml:space="preserve">Capacity retention over 100 cycles under constant fast charging (2C in </w:t>
      </w:r>
      <w:r w:rsidRPr="00A85726">
        <w:rPr>
          <w:rFonts w:hint="eastAsia"/>
          <w:b/>
          <w:bCs/>
        </w:rPr>
        <w:t>a</w:t>
      </w:r>
      <w:r>
        <w:rPr>
          <w:rFonts w:hint="eastAsia"/>
        </w:rPr>
        <w:t xml:space="preserve"> and 1C in </w:t>
      </w:r>
      <w:r w:rsidRPr="00A85726">
        <w:rPr>
          <w:rFonts w:hint="eastAsia"/>
          <w:b/>
          <w:bCs/>
        </w:rPr>
        <w:t>c</w:t>
      </w:r>
      <w:r>
        <w:rPr>
          <w:rFonts w:hint="eastAsia"/>
        </w:rPr>
        <w:t>), AI-LOMAC-regulated charging (2.0C-C</w:t>
      </w:r>
      <w:r w:rsidRPr="003F57A6">
        <w:rPr>
          <w:rFonts w:hint="eastAsia"/>
          <w:vertAlign w:val="subscript"/>
        </w:rPr>
        <w:t>s</w:t>
      </w:r>
      <w:r>
        <w:rPr>
          <w:rFonts w:hint="eastAsia"/>
        </w:rPr>
        <w:t>-0.5C or 1.0C-C</w:t>
      </w:r>
      <w:r w:rsidRPr="003F57A6">
        <w:rPr>
          <w:rFonts w:hint="eastAsia"/>
          <w:vertAlign w:val="subscript"/>
        </w:rPr>
        <w:t>s</w:t>
      </w:r>
      <w:r>
        <w:rPr>
          <w:rFonts w:hint="eastAsia"/>
        </w:rPr>
        <w:t xml:space="preserve">-0.5C), 0.5C, 1.0C or 2.0C charging, the </w:t>
      </w:r>
      <w:r>
        <w:t>discharg</w:t>
      </w:r>
      <w:r>
        <w:rPr>
          <w:rFonts w:hint="eastAsia"/>
        </w:rPr>
        <w:t xml:space="preserve">ing rates are 0.5C for all </w:t>
      </w:r>
      <w:r>
        <w:t>the</w:t>
      </w:r>
      <w:r>
        <w:rPr>
          <w:rFonts w:hint="eastAsia"/>
        </w:rPr>
        <w:t xml:space="preserve"> tested </w:t>
      </w:r>
      <w:r>
        <w:t>batteries</w:t>
      </w:r>
      <w:r>
        <w:rPr>
          <w:rFonts w:hint="eastAsia"/>
        </w:rPr>
        <w:t xml:space="preserve">. </w:t>
      </w:r>
      <w:proofErr w:type="spellStart"/>
      <w:r w:rsidRPr="004B6A64">
        <w:rPr>
          <w:b/>
          <w:bCs/>
        </w:rPr>
        <w:t>b,d</w:t>
      </w:r>
      <w:proofErr w:type="spellEnd"/>
      <w:r w:rsidRPr="004B6A64">
        <w:rPr>
          <w:b/>
          <w:bCs/>
        </w:rPr>
        <w:t>,</w:t>
      </w:r>
      <w:r>
        <w:rPr>
          <w:rFonts w:hint="eastAsia"/>
        </w:rPr>
        <w:t xml:space="preserve"> Capacity retention (top) and cumulative charging time (bottom) for the regulated and 0.5C protocols corresponding to </w:t>
      </w:r>
      <w:r w:rsidRPr="00A85726">
        <w:rPr>
          <w:rFonts w:hint="eastAsia"/>
          <w:b/>
          <w:bCs/>
        </w:rPr>
        <w:t>a</w:t>
      </w:r>
      <w:r>
        <w:rPr>
          <w:rFonts w:hint="eastAsia"/>
        </w:rPr>
        <w:t xml:space="preserve"> and </w:t>
      </w:r>
      <w:r w:rsidRPr="00A85726">
        <w:rPr>
          <w:rFonts w:hint="eastAsia"/>
          <w:b/>
          <w:bCs/>
        </w:rPr>
        <w:t>c</w:t>
      </w:r>
      <w:r>
        <w:rPr>
          <w:rFonts w:hint="eastAsia"/>
        </w:rPr>
        <w:t>. The regulated protocols reduced cumulative charging time by 65.9 h (38.3%) and 76.0 h (44.</w:t>
      </w:r>
      <w:r w:rsidR="000E756F">
        <w:rPr>
          <w:rFonts w:hint="eastAsia"/>
        </w:rPr>
        <w:t>1</w:t>
      </w:r>
      <w:r>
        <w:rPr>
          <w:rFonts w:hint="eastAsia"/>
        </w:rPr>
        <w:t xml:space="preserve">%), </w:t>
      </w:r>
      <w:bookmarkStart w:id="1" w:name="OLE_LINK4"/>
      <w:r>
        <w:rPr>
          <w:rFonts w:hint="eastAsia"/>
        </w:rPr>
        <w:t>with capacity retention after 100 cycles lower by 3.</w:t>
      </w:r>
      <w:r w:rsidR="00B93AAF">
        <w:rPr>
          <w:rFonts w:hint="eastAsia"/>
        </w:rPr>
        <w:t>2</w:t>
      </w:r>
      <w:r>
        <w:rPr>
          <w:rFonts w:hint="eastAsia"/>
        </w:rPr>
        <w:t xml:space="preserve"> and 3.9</w:t>
      </w:r>
      <w:r w:rsidR="00B93AAF">
        <w:rPr>
          <w:rFonts w:hint="eastAsia"/>
        </w:rPr>
        <w:t xml:space="preserve"> </w:t>
      </w:r>
      <w:r w:rsidR="00B93AAF" w:rsidRPr="00B93AAF">
        <w:t>percentage points</w:t>
      </w:r>
      <w:r>
        <w:rPr>
          <w:rFonts w:hint="eastAsia"/>
        </w:rPr>
        <w:t>, respectively</w:t>
      </w:r>
      <w:bookmarkEnd w:id="1"/>
      <w:r>
        <w:rPr>
          <w:rFonts w:hint="eastAsia"/>
        </w:rPr>
        <w:t>.</w:t>
      </w:r>
    </w:p>
    <w:p w14:paraId="570B2531" w14:textId="77777777" w:rsidR="00F677DB" w:rsidRPr="00E846ED" w:rsidRDefault="00F677DB" w:rsidP="00F677DB"/>
    <w:p w14:paraId="619E9F0B" w14:textId="77777777" w:rsidR="00F677DB" w:rsidRDefault="00F677DB" w:rsidP="00F677DB"/>
    <w:p w14:paraId="1D484576" w14:textId="77777777" w:rsidR="00F677DB" w:rsidRDefault="00F677DB" w:rsidP="00F677DB"/>
    <w:p w14:paraId="789D78E2" w14:textId="77777777" w:rsidR="00F677DB" w:rsidRDefault="00F677DB" w:rsidP="00F677DB"/>
    <w:p w14:paraId="4C337F12" w14:textId="77777777" w:rsidR="00F677DB" w:rsidRDefault="00F677DB" w:rsidP="00F677DB"/>
    <w:p w14:paraId="6E9EB0E0" w14:textId="77777777" w:rsidR="00F677DB" w:rsidRDefault="00F677DB" w:rsidP="00F677DB">
      <w:pPr>
        <w:widowControl/>
        <w:jc w:val="left"/>
        <w:rPr>
          <w:rFonts w:eastAsia="宋体" w:cs="Times New Roman"/>
        </w:rPr>
      </w:pPr>
      <w:r>
        <w:rPr>
          <w:rFonts w:eastAsia="宋体" w:cs="Times New Roman"/>
        </w:rPr>
        <w:br w:type="page"/>
      </w:r>
    </w:p>
    <w:p w14:paraId="58F46B53" w14:textId="77777777" w:rsidR="00F677DB" w:rsidRDefault="00F677DB" w:rsidP="00F677DB">
      <w:pPr>
        <w:keepNext/>
        <w:widowControl/>
        <w:spacing w:line="480" w:lineRule="auto"/>
        <w:jc w:val="center"/>
      </w:pPr>
      <w:r>
        <w:rPr>
          <w:rFonts w:eastAsia="宋体" w:cs="Times New Roman"/>
          <w:b/>
          <w:bCs/>
          <w:noProof/>
          <w:sz w:val="20"/>
          <w:szCs w:val="20"/>
        </w:rPr>
        <w:lastRenderedPageBreak/>
        <w:drawing>
          <wp:inline distT="0" distB="0" distL="0" distR="0" wp14:anchorId="05F047CD" wp14:editId="6DFF2BB5">
            <wp:extent cx="6083935" cy="4163060"/>
            <wp:effectExtent l="0" t="0" r="0" b="889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noChangeArrowheads="1"/>
                    </pic:cNvPicPr>
                  </pic:nvPicPr>
                  <pic:blipFill>
                    <a:blip r:embed="rId15"/>
                    <a:srcRect l="286" r="286"/>
                    <a:stretch>
                      <a:fillRect/>
                    </a:stretch>
                  </pic:blipFill>
                  <pic:spPr>
                    <a:xfrm>
                      <a:off x="0" y="0"/>
                      <a:ext cx="6084000" cy="4163288"/>
                    </a:xfrm>
                    <a:prstGeom prst="rect">
                      <a:avLst/>
                    </a:prstGeom>
                    <a:noFill/>
                    <a:ln>
                      <a:noFill/>
                    </a:ln>
                  </pic:spPr>
                </pic:pic>
              </a:graphicData>
            </a:graphic>
          </wp:inline>
        </w:drawing>
      </w:r>
    </w:p>
    <w:p w14:paraId="33C62300" w14:textId="77777777" w:rsidR="00F677DB" w:rsidRDefault="00F677DB" w:rsidP="00F677DB">
      <w:pPr>
        <w:pStyle w:val="ae"/>
        <w:spacing w:line="360" w:lineRule="auto"/>
        <w:rPr>
          <w:rFonts w:ascii="Times New Roman" w:eastAsia="宋体" w:hAnsi="Times New Roman" w:cs="Times New Roman"/>
          <w:b/>
          <w:bCs/>
        </w:rPr>
      </w:pPr>
      <w:r>
        <w:rPr>
          <w:rFonts w:ascii="Times New Roman" w:hAnsi="Times New Roman" w:cs="Times New Roman"/>
          <w:b/>
          <w:bCs/>
        </w:rPr>
        <w:t xml:space="preserve">Supplementary Fig. </w:t>
      </w:r>
      <w:r>
        <w:rPr>
          <w:rFonts w:ascii="Times New Roman" w:hAnsi="Times New Roman" w:cs="Times New Roman" w:hint="eastAsia"/>
          <w:b/>
          <w:bCs/>
        </w:rPr>
        <w:t>10</w:t>
      </w:r>
      <w:r>
        <w:rPr>
          <w:rFonts w:ascii="Times New Roman" w:hAnsi="Times New Roman" w:cs="Times New Roman"/>
          <w:b/>
          <w:bCs/>
        </w:rPr>
        <w:t xml:space="preserve"> | Morphological characterization of LFP||Gr coin cells under open-loop and closed-loop regulation</w:t>
      </w:r>
      <w:r>
        <w:rPr>
          <w:rFonts w:ascii="Times New Roman" w:hAnsi="Times New Roman" w:cs="Times New Roman" w:hint="eastAsia"/>
          <w:b/>
          <w:bCs/>
        </w:rPr>
        <w:t>s</w:t>
      </w:r>
      <w:r>
        <w:rPr>
          <w:rFonts w:ascii="Times New Roman" w:hAnsi="Times New Roman" w:cs="Times New Roman"/>
          <w:b/>
          <w:bCs/>
        </w:rPr>
        <w:t>.</w:t>
      </w:r>
      <w:r>
        <w:rPr>
          <w:rFonts w:ascii="Times New Roman" w:eastAsia="等线 Light" w:hAnsi="Times New Roman" w:cs="Times New Roman"/>
          <w:b/>
          <w:bCs/>
          <w:color w:val="000000"/>
        </w:rPr>
        <w:t xml:space="preserve"> </w:t>
      </w:r>
      <w:r>
        <w:rPr>
          <w:rFonts w:ascii="Times New Roman" w:hAnsi="Times New Roman" w:cs="Times New Roman"/>
          <w:b/>
          <w:bCs/>
        </w:rPr>
        <w:t xml:space="preserve">a, b, </w:t>
      </w:r>
      <w:bookmarkStart w:id="2" w:name="_Hlk237024806"/>
      <w:r>
        <w:rPr>
          <w:rFonts w:ascii="Times New Roman" w:hAnsi="Times New Roman" w:cs="Times New Roman"/>
        </w:rPr>
        <w:t>C</w:t>
      </w:r>
      <w:r>
        <w:rPr>
          <w:rFonts w:ascii="Times New Roman" w:hAnsi="Times New Roman" w:cs="Times New Roman"/>
          <w:vertAlign w:val="subscript"/>
        </w:rPr>
        <w:t>s</w:t>
      </w:r>
      <w:r>
        <w:rPr>
          <w:rFonts w:ascii="Times New Roman" w:hAnsi="Times New Roman" w:cs="Times New Roman"/>
        </w:rPr>
        <w:t xml:space="preserve"> and voltage profiles of LFP||Gr coin cells under open-loop without regulation during</w:t>
      </w:r>
      <w:r>
        <w:rPr>
          <w:rFonts w:ascii="Times New Roman" w:hAnsi="Times New Roman" w:cs="Times New Roman"/>
          <w:b/>
          <w:bCs/>
        </w:rPr>
        <w:t xml:space="preserve"> (a)</w:t>
      </w:r>
      <w:r>
        <w:rPr>
          <w:rFonts w:ascii="Times New Roman" w:hAnsi="Times New Roman" w:cs="Times New Roman"/>
        </w:rPr>
        <w:t xml:space="preserve"> charging and </w:t>
      </w:r>
      <w:r>
        <w:rPr>
          <w:rFonts w:ascii="Times New Roman" w:hAnsi="Times New Roman" w:cs="Times New Roman"/>
          <w:b/>
          <w:bCs/>
        </w:rPr>
        <w:t>(b)</w:t>
      </w:r>
      <w:r>
        <w:rPr>
          <w:rFonts w:ascii="Times New Roman" w:hAnsi="Times New Roman" w:cs="Times New Roman"/>
        </w:rPr>
        <w:t xml:space="preserve"> discharging. </w:t>
      </w:r>
      <w:r>
        <w:rPr>
          <w:rFonts w:ascii="Times New Roman" w:hAnsi="Times New Roman" w:cs="Times New Roman"/>
          <w:b/>
          <w:bCs/>
        </w:rPr>
        <w:t>c</w:t>
      </w:r>
      <w:r>
        <w:rPr>
          <w:rFonts w:ascii="Times New Roman" w:hAnsi="Times New Roman" w:cs="Times New Roman"/>
        </w:rPr>
        <w:t>, SEM morphologies of the graphite anode surface at distinct stages</w:t>
      </w:r>
      <w:bookmarkEnd w:id="2"/>
      <w:r>
        <w:rPr>
          <w:rFonts w:ascii="Times New Roman" w:hAnsi="Times New Roman" w:cs="Times New Roman"/>
        </w:rPr>
        <w:t>: pristine state (pristine), after charging to 95% SOC at 2C</w:t>
      </w:r>
      <w:r>
        <w:rPr>
          <w:rFonts w:ascii="Times New Roman" w:hAnsi="Times New Roman" w:cs="Times New Roman" w:hint="eastAsia"/>
        </w:rPr>
        <w:t xml:space="preserve"> </w:t>
      </w:r>
      <w:r>
        <w:rPr>
          <w:rFonts w:ascii="Times New Roman" w:hAnsi="Times New Roman" w:cs="Times New Roman"/>
        </w:rPr>
        <w:t xml:space="preserve">(point 1, </w:t>
      </w:r>
      <w:proofErr w:type="spellStart"/>
      <w:r>
        <w:rPr>
          <w:rFonts w:ascii="Times New Roman" w:hAnsi="Times New Roman" w:cs="Times New Roman"/>
        </w:rPr>
        <w:t>Unreg</w:t>
      </w:r>
      <w:proofErr w:type="spellEnd"/>
      <w:r>
        <w:rPr>
          <w:rFonts w:ascii="Times New Roman" w:hAnsi="Times New Roman" w:cs="Times New Roman"/>
        </w:rPr>
        <w:t xml:space="preserve">. 1), and after discharging to 2.5 V at 0.2C (point 2, </w:t>
      </w:r>
      <w:proofErr w:type="spellStart"/>
      <w:r>
        <w:rPr>
          <w:rFonts w:ascii="Times New Roman" w:hAnsi="Times New Roman" w:cs="Times New Roman"/>
        </w:rPr>
        <w:t>Unreg</w:t>
      </w:r>
      <w:proofErr w:type="spellEnd"/>
      <w:r>
        <w:rPr>
          <w:rFonts w:ascii="Times New Roman" w:hAnsi="Times New Roman" w:cs="Times New Roman"/>
        </w:rPr>
        <w:t xml:space="preserve">. 2). </w:t>
      </w:r>
      <w:r>
        <w:rPr>
          <w:rFonts w:ascii="Times New Roman" w:hAnsi="Times New Roman" w:cs="Times New Roman"/>
          <w:b/>
          <w:bCs/>
        </w:rPr>
        <w:t xml:space="preserve">d, e, </w:t>
      </w:r>
      <w:r>
        <w:rPr>
          <w:rFonts w:ascii="Times New Roman" w:hAnsi="Times New Roman" w:cs="Times New Roman"/>
        </w:rPr>
        <w:t>C</w:t>
      </w:r>
      <w:r>
        <w:rPr>
          <w:rFonts w:ascii="Times New Roman" w:hAnsi="Times New Roman" w:cs="Times New Roman"/>
          <w:vertAlign w:val="subscript"/>
        </w:rPr>
        <w:t>s</w:t>
      </w:r>
      <w:r>
        <w:rPr>
          <w:rFonts w:ascii="Times New Roman" w:hAnsi="Times New Roman" w:cs="Times New Roman"/>
        </w:rPr>
        <w:t xml:space="preserve"> and voltage profiles of LFP||Gr coin cells under close-loop regulation during</w:t>
      </w:r>
      <w:r>
        <w:rPr>
          <w:rFonts w:ascii="Times New Roman" w:hAnsi="Times New Roman" w:cs="Times New Roman"/>
          <w:b/>
          <w:bCs/>
        </w:rPr>
        <w:t xml:space="preserve"> (</w:t>
      </w:r>
      <w:r>
        <w:rPr>
          <w:rFonts w:ascii="Times New Roman" w:hAnsi="Times New Roman" w:cs="Times New Roman" w:hint="eastAsia"/>
          <w:b/>
          <w:bCs/>
        </w:rPr>
        <w:t>d</w:t>
      </w:r>
      <w:r>
        <w:rPr>
          <w:rFonts w:ascii="Times New Roman" w:hAnsi="Times New Roman" w:cs="Times New Roman"/>
          <w:b/>
          <w:bCs/>
        </w:rPr>
        <w:t>)</w:t>
      </w:r>
      <w:r>
        <w:rPr>
          <w:rFonts w:ascii="Times New Roman" w:hAnsi="Times New Roman" w:cs="Times New Roman"/>
        </w:rPr>
        <w:t xml:space="preserve"> charging and </w:t>
      </w:r>
      <w:r>
        <w:rPr>
          <w:rFonts w:ascii="Times New Roman" w:hAnsi="Times New Roman" w:cs="Times New Roman"/>
          <w:b/>
          <w:bCs/>
        </w:rPr>
        <w:t>(</w:t>
      </w:r>
      <w:r>
        <w:rPr>
          <w:rFonts w:ascii="Times New Roman" w:hAnsi="Times New Roman" w:cs="Times New Roman" w:hint="eastAsia"/>
          <w:b/>
          <w:bCs/>
        </w:rPr>
        <w:t>e</w:t>
      </w:r>
      <w:r>
        <w:rPr>
          <w:rFonts w:ascii="Times New Roman" w:hAnsi="Times New Roman" w:cs="Times New Roman"/>
          <w:b/>
          <w:bCs/>
        </w:rPr>
        <w:t>)</w:t>
      </w:r>
      <w:r>
        <w:rPr>
          <w:rFonts w:ascii="Times New Roman" w:hAnsi="Times New Roman" w:cs="Times New Roman"/>
        </w:rPr>
        <w:t xml:space="preserve"> discharging. </w:t>
      </w:r>
      <w:r>
        <w:rPr>
          <w:rFonts w:ascii="Times New Roman" w:hAnsi="Times New Roman" w:cs="Times New Roman"/>
          <w:b/>
          <w:bCs/>
        </w:rPr>
        <w:t>f</w:t>
      </w:r>
      <w:r>
        <w:rPr>
          <w:rFonts w:ascii="Times New Roman" w:hAnsi="Times New Roman" w:cs="Times New Roman"/>
        </w:rPr>
        <w:t>, SEM morphologies of the graphite anode surface at specific electrochemical states: post-</w:t>
      </w:r>
      <w:r>
        <w:rPr>
          <w:rFonts w:ascii="Times New Roman" w:hAnsi="Times New Roman" w:cs="Times New Roman" w:hint="eastAsia"/>
        </w:rPr>
        <w:t xml:space="preserve">cell </w:t>
      </w:r>
      <w:r>
        <w:rPr>
          <w:rFonts w:ascii="Times New Roman" w:hAnsi="Times New Roman" w:cs="Times New Roman"/>
        </w:rPr>
        <w:t>formation state before cycling</w:t>
      </w:r>
      <w:r>
        <w:rPr>
          <w:rFonts w:ascii="Times New Roman" w:hAnsi="Times New Roman" w:cs="Times New Roman" w:hint="eastAsia"/>
        </w:rPr>
        <w:t xml:space="preserve"> (</w:t>
      </w:r>
      <w:r>
        <w:rPr>
          <w:rFonts w:ascii="Times New Roman" w:hAnsi="Times New Roman" w:cs="Times New Roman"/>
        </w:rPr>
        <w:t>point 1, Reg. 1), after charging at 2C for 800 s (point 2, Reg. 2), after charging at 2C for 1200 s (point 3, Reg. 3), at the C</w:t>
      </w:r>
      <w:r>
        <w:rPr>
          <w:rFonts w:ascii="Times New Roman" w:hAnsi="Times New Roman" w:cs="Times New Roman"/>
          <w:vertAlign w:val="subscript"/>
        </w:rPr>
        <w:t>s</w:t>
      </w:r>
      <w:r>
        <w:rPr>
          <w:rFonts w:ascii="Times New Roman" w:hAnsi="Times New Roman" w:cs="Times New Roman"/>
        </w:rPr>
        <w:t xml:space="preserve"> knee point (point 4, Reg. 4), after subsequent 0.1C charging to 95% SOC (point 5, Reg. 5), and </w:t>
      </w:r>
      <w:r>
        <w:rPr>
          <w:rFonts w:ascii="Times New Roman" w:hAnsi="Times New Roman" w:cs="Times New Roman" w:hint="eastAsia"/>
        </w:rPr>
        <w:t xml:space="preserve">after </w:t>
      </w:r>
      <w:r>
        <w:rPr>
          <w:rFonts w:ascii="Times New Roman" w:hAnsi="Times New Roman" w:cs="Times New Roman"/>
        </w:rPr>
        <w:t>discharg</w:t>
      </w:r>
      <w:r>
        <w:rPr>
          <w:rFonts w:ascii="Times New Roman" w:hAnsi="Times New Roman" w:cs="Times New Roman" w:hint="eastAsia"/>
        </w:rPr>
        <w:t>ing</w:t>
      </w:r>
      <w:r>
        <w:rPr>
          <w:rFonts w:ascii="Times New Roman" w:hAnsi="Times New Roman" w:cs="Times New Roman"/>
        </w:rPr>
        <w:t xml:space="preserve"> to 2.5 V at 0.2C (point 6, Reg. 6)</w:t>
      </w:r>
      <w:r>
        <w:rPr>
          <w:rFonts w:ascii="Times New Roman" w:eastAsia="等线 Light" w:hAnsi="Times New Roman" w:cs="Times New Roman"/>
          <w:color w:val="000000"/>
        </w:rPr>
        <w:t>.</w:t>
      </w:r>
      <w:r>
        <w:rPr>
          <w:rFonts w:ascii="Times New Roman" w:eastAsia="宋体" w:hAnsi="Times New Roman" w:cs="Times New Roman"/>
          <w:b/>
          <w:bCs/>
        </w:rPr>
        <w:br w:type="page"/>
      </w:r>
    </w:p>
    <w:p w14:paraId="5339744A" w14:textId="77777777" w:rsidR="00F677DB" w:rsidRDefault="00F677DB" w:rsidP="00F677DB">
      <w:pPr>
        <w:keepNext/>
        <w:widowControl/>
        <w:spacing w:line="480" w:lineRule="auto"/>
        <w:jc w:val="center"/>
        <w:rPr>
          <w:rFonts w:eastAsia="宋体" w:cs="Times New Roman"/>
          <w:sz w:val="20"/>
          <w:szCs w:val="20"/>
        </w:rPr>
      </w:pPr>
      <w:r>
        <w:rPr>
          <w:rFonts w:eastAsia="宋体" w:cs="Times New Roman"/>
          <w:noProof/>
          <w:sz w:val="20"/>
          <w:szCs w:val="20"/>
        </w:rPr>
        <w:lastRenderedPageBreak/>
        <w:drawing>
          <wp:inline distT="0" distB="0" distL="0" distR="0" wp14:anchorId="713CAD58" wp14:editId="3FD30D11">
            <wp:extent cx="5643245" cy="1685925"/>
            <wp:effectExtent l="0" t="0" r="0" b="952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noChangeArrowheads="1"/>
                    </pic:cNvPicPr>
                  </pic:nvPicPr>
                  <pic:blipFill>
                    <a:blip r:embed="rId16"/>
                    <a:stretch>
                      <a:fillRect/>
                    </a:stretch>
                  </pic:blipFill>
                  <pic:spPr>
                    <a:xfrm>
                      <a:off x="0" y="0"/>
                      <a:ext cx="5643781" cy="1686284"/>
                    </a:xfrm>
                    <a:prstGeom prst="rect">
                      <a:avLst/>
                    </a:prstGeom>
                    <a:noFill/>
                  </pic:spPr>
                </pic:pic>
              </a:graphicData>
            </a:graphic>
          </wp:inline>
        </w:drawing>
      </w:r>
    </w:p>
    <w:p w14:paraId="5E2F2B0D" w14:textId="77777777" w:rsidR="00F677DB" w:rsidRDefault="00F677DB" w:rsidP="00F677DB">
      <w:pPr>
        <w:pStyle w:val="ae"/>
        <w:spacing w:line="360" w:lineRule="auto"/>
        <w:rPr>
          <w:rFonts w:ascii="Times New Roman" w:eastAsia="宋体" w:hAnsi="Times New Roman" w:cs="Times New Roman"/>
          <w:b/>
          <w:bCs/>
        </w:rPr>
      </w:pPr>
      <w:bookmarkStart w:id="3" w:name="_Hlk233983380"/>
      <w:r>
        <w:rPr>
          <w:rFonts w:ascii="Times New Roman" w:hAnsi="Times New Roman" w:cs="Times New Roman"/>
          <w:b/>
          <w:bCs/>
        </w:rPr>
        <w:t xml:space="preserve">Supplementary Fig. </w:t>
      </w:r>
      <w:r>
        <w:rPr>
          <w:rFonts w:ascii="Times New Roman" w:hAnsi="Times New Roman" w:cs="Times New Roman" w:hint="eastAsia"/>
          <w:b/>
          <w:bCs/>
        </w:rPr>
        <w:t>11</w:t>
      </w:r>
      <w:r>
        <w:rPr>
          <w:rFonts w:ascii="Times New Roman" w:eastAsia="宋体" w:hAnsi="Times New Roman" w:cs="Times New Roman"/>
          <w:b/>
          <w:bCs/>
        </w:rPr>
        <w:t xml:space="preserve"> | </w:t>
      </w:r>
      <w:bookmarkEnd w:id="3"/>
      <w:r>
        <w:rPr>
          <w:rFonts w:ascii="Times New Roman" w:eastAsia="宋体" w:hAnsi="Times New Roman" w:cs="Times New Roman"/>
          <w:b/>
          <w:bCs/>
        </w:rPr>
        <w:t xml:space="preserve">Electrochemical profiles of LFP||Gr coin cells prepared for TMS quantification. a, b, </w:t>
      </w:r>
      <w:bookmarkStart w:id="4" w:name="OLE_LINK14"/>
      <w:r>
        <w:rPr>
          <w:rFonts w:ascii="Times New Roman" w:eastAsia="宋体" w:hAnsi="Times New Roman" w:cs="Times New Roman"/>
        </w:rPr>
        <w:t>C</w:t>
      </w:r>
      <w:r>
        <w:rPr>
          <w:rFonts w:ascii="Times New Roman" w:eastAsia="宋体" w:hAnsi="Times New Roman" w:cs="Times New Roman"/>
          <w:vertAlign w:val="subscript"/>
        </w:rPr>
        <w:t>s</w:t>
      </w:r>
      <w:bookmarkEnd w:id="4"/>
      <w:r>
        <w:rPr>
          <w:rFonts w:ascii="Times New Roman" w:eastAsia="宋体" w:hAnsi="Times New Roman" w:cs="Times New Roman"/>
        </w:rPr>
        <w:t xml:space="preserve"> and voltage profiles of the unregulated open-loop group</w:t>
      </w:r>
      <w:r>
        <w:rPr>
          <w:rFonts w:ascii="Times New Roman" w:eastAsia="宋体" w:hAnsi="Times New Roman" w:cs="Times New Roman" w:hint="eastAsia"/>
        </w:rPr>
        <w:t xml:space="preserve"> </w:t>
      </w:r>
      <w:r>
        <w:rPr>
          <w:rFonts w:ascii="Times New Roman" w:eastAsia="宋体" w:hAnsi="Times New Roman" w:cs="Times New Roman"/>
        </w:rPr>
        <w:t>(blue) and AI-LOMAC-regulated closed-loop group (</w:t>
      </w:r>
      <w:r>
        <w:rPr>
          <w:rFonts w:ascii="Times New Roman" w:eastAsia="宋体" w:hAnsi="Times New Roman" w:cs="Times New Roman" w:hint="eastAsia"/>
        </w:rPr>
        <w:t>red</w:t>
      </w:r>
      <w:r>
        <w:rPr>
          <w:rFonts w:ascii="Times New Roman" w:eastAsia="宋体" w:hAnsi="Times New Roman" w:cs="Times New Roman"/>
        </w:rPr>
        <w:t>) during</w:t>
      </w:r>
      <w:r>
        <w:rPr>
          <w:rFonts w:ascii="Times New Roman" w:eastAsia="宋体" w:hAnsi="Times New Roman" w:cs="Times New Roman"/>
          <w:b/>
          <w:bCs/>
        </w:rPr>
        <w:t xml:space="preserve"> (a) </w:t>
      </w:r>
      <w:r>
        <w:rPr>
          <w:rFonts w:ascii="Times New Roman" w:eastAsia="宋体" w:hAnsi="Times New Roman" w:cs="Times New Roman"/>
        </w:rPr>
        <w:t>charging and</w:t>
      </w:r>
      <w:r>
        <w:rPr>
          <w:rFonts w:ascii="Times New Roman" w:eastAsia="宋体" w:hAnsi="Times New Roman" w:cs="Times New Roman"/>
          <w:b/>
          <w:bCs/>
        </w:rPr>
        <w:t xml:space="preserve"> (b) </w:t>
      </w:r>
      <w:r>
        <w:rPr>
          <w:rFonts w:ascii="Times New Roman" w:eastAsia="宋体" w:hAnsi="Times New Roman" w:cs="Times New Roman"/>
        </w:rPr>
        <w:t>discharging.</w:t>
      </w:r>
      <w:r>
        <w:rPr>
          <w:rFonts w:ascii="Times New Roman" w:eastAsia="宋体" w:hAnsi="Times New Roman" w:cs="Times New Roman" w:hint="eastAsia"/>
        </w:rPr>
        <w:t xml:space="preserve"> </w:t>
      </w:r>
      <w:r>
        <w:rPr>
          <w:rFonts w:ascii="Times New Roman" w:hAnsi="Times New Roman" w:cs="Times New Roman" w:hint="eastAsia"/>
          <w:b/>
          <w:bCs/>
        </w:rPr>
        <w:t>c,</w:t>
      </w:r>
      <w:r>
        <w:rPr>
          <w:rFonts w:ascii="Times New Roman" w:hAnsi="Times New Roman" w:cs="Times New Roman" w:hint="eastAsia"/>
        </w:rPr>
        <w:t xml:space="preserve"> </w:t>
      </w:r>
      <w:r>
        <w:rPr>
          <w:rFonts w:ascii="Times New Roman" w:hAnsi="Times New Roman" w:cs="Times New Roman"/>
        </w:rPr>
        <w:t>Areal density of residual inactive metallic Li in the unregulated and regulated groups measured by TMS. Each group contained three parallel cells (n=3), and the values in c were obtained from these three measurements.</w:t>
      </w:r>
    </w:p>
    <w:p w14:paraId="52936857" w14:textId="77777777" w:rsidR="00F677DB" w:rsidRDefault="00F677DB" w:rsidP="00F677DB">
      <w:pPr>
        <w:widowControl/>
        <w:jc w:val="left"/>
        <w:rPr>
          <w:rFonts w:eastAsia="宋体" w:cs="Times New Roman"/>
          <w:b/>
          <w:bCs/>
          <w:sz w:val="20"/>
          <w:szCs w:val="20"/>
        </w:rPr>
      </w:pPr>
      <w:r>
        <w:rPr>
          <w:rFonts w:eastAsia="宋体" w:cs="Times New Roman"/>
          <w:b/>
          <w:bCs/>
          <w:sz w:val="20"/>
          <w:szCs w:val="20"/>
        </w:rPr>
        <w:br w:type="page"/>
      </w:r>
    </w:p>
    <w:p w14:paraId="7C16AA8B" w14:textId="77777777" w:rsidR="00F677DB" w:rsidRDefault="00F677DB" w:rsidP="00F677DB">
      <w:pPr>
        <w:pStyle w:val="ae"/>
        <w:spacing w:line="480" w:lineRule="auto"/>
        <w:jc w:val="center"/>
        <w:rPr>
          <w:rFonts w:ascii="Times New Roman" w:hAnsi="Times New Roman" w:cs="Times New Roman"/>
          <w:b/>
          <w:bCs/>
          <w:color w:val="000000" w:themeColor="text1"/>
        </w:rPr>
      </w:pPr>
      <w:r>
        <w:rPr>
          <w:rFonts w:ascii="Times New Roman" w:hAnsi="Times New Roman" w:cs="Times New Roman"/>
          <w:b/>
          <w:bCs/>
          <w:noProof/>
          <w:color w:val="000000" w:themeColor="text1"/>
          <w14:ligatures w14:val="none"/>
        </w:rPr>
        <w:lastRenderedPageBreak/>
        <w:drawing>
          <wp:inline distT="0" distB="0" distL="0" distR="0" wp14:anchorId="1EA92802" wp14:editId="5A709E9B">
            <wp:extent cx="5759450" cy="389445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7"/>
                    <a:stretch>
                      <a:fillRect/>
                    </a:stretch>
                  </pic:blipFill>
                  <pic:spPr>
                    <a:xfrm>
                      <a:off x="0" y="0"/>
                      <a:ext cx="5760000" cy="3894694"/>
                    </a:xfrm>
                    <a:prstGeom prst="rect">
                      <a:avLst/>
                    </a:prstGeom>
                  </pic:spPr>
                </pic:pic>
              </a:graphicData>
            </a:graphic>
          </wp:inline>
        </w:drawing>
      </w:r>
    </w:p>
    <w:p w14:paraId="0C9987A4" w14:textId="25D7C865" w:rsidR="00F677DB" w:rsidRDefault="00F677DB" w:rsidP="00F677DB">
      <w:pPr>
        <w:pStyle w:val="ae"/>
        <w:spacing w:line="360" w:lineRule="auto"/>
        <w:rPr>
          <w:rFonts w:ascii="Times New Roman" w:hAnsi="Times New Roman" w:cs="Times New Roman"/>
          <w:b/>
          <w:bCs/>
          <w:color w:val="000000" w:themeColor="text1"/>
        </w:rPr>
      </w:pPr>
      <w:r>
        <w:rPr>
          <w:rFonts w:ascii="Times New Roman" w:hAnsi="Times New Roman" w:cs="Times New Roman"/>
          <w:b/>
          <w:bCs/>
        </w:rPr>
        <w:t xml:space="preserve">Supplementary Fig. </w:t>
      </w:r>
      <w:r w:rsidR="00C1076A">
        <w:rPr>
          <w:rFonts w:ascii="Times New Roman" w:hAnsi="Times New Roman" w:cs="Times New Roman" w:hint="eastAsia"/>
          <w:b/>
          <w:bCs/>
          <w:noProof/>
        </w:rPr>
        <w:t>12</w:t>
      </w:r>
      <w:r>
        <w:rPr>
          <w:rFonts w:ascii="Times New Roman" w:eastAsia="宋体" w:hAnsi="Times New Roman" w:cs="Times New Roman"/>
          <w:b/>
          <w:bCs/>
        </w:rPr>
        <w:t xml:space="preserve"> |</w:t>
      </w:r>
      <w:r>
        <w:rPr>
          <w:rFonts w:ascii="Times New Roman" w:hAnsi="Times New Roman" w:cs="Times New Roman"/>
          <w:b/>
          <w:bCs/>
        </w:rPr>
        <w:t xml:space="preserve"> </w:t>
      </w:r>
      <w:r>
        <w:rPr>
          <w:rFonts w:ascii="Times New Roman" w:eastAsia="等线" w:hAnsi="Times New Roman" w:cs="+mn-cs"/>
          <w:b/>
          <w:bCs/>
          <w:i/>
          <w:iCs/>
          <w:color w:val="000000"/>
        </w:rPr>
        <w:t>In situ</w:t>
      </w:r>
      <w:r>
        <w:rPr>
          <w:rFonts w:ascii="Times New Roman" w:eastAsia="等线" w:hAnsi="Times New Roman" w:cs="+mn-cs"/>
          <w:b/>
          <w:bCs/>
          <w:color w:val="000000"/>
        </w:rPr>
        <w:t xml:space="preserve"> optical observation of LFP||Gr coin cells</w:t>
      </w:r>
      <w:r>
        <w:rPr>
          <w:rFonts w:ascii="Times New Roman" w:eastAsia="等线" w:hAnsi="Times New Roman" w:cs="+mn-cs" w:hint="eastAsia"/>
          <w:b/>
          <w:bCs/>
          <w:color w:val="000000"/>
        </w:rPr>
        <w:t xml:space="preserve"> </w:t>
      </w:r>
      <w:r>
        <w:rPr>
          <w:rFonts w:ascii="Times New Roman" w:eastAsia="等线" w:hAnsi="Times New Roman" w:cs="+mn-cs"/>
          <w:b/>
          <w:bCs/>
          <w:color w:val="000000"/>
        </w:rPr>
        <w:t xml:space="preserve">under open-loop </w:t>
      </w:r>
      <w:r>
        <w:rPr>
          <w:rFonts w:ascii="Times New Roman" w:eastAsia="等线" w:hAnsi="Times New Roman" w:cs="+mn-cs" w:hint="eastAsia"/>
          <w:b/>
          <w:bCs/>
          <w:color w:val="000000"/>
        </w:rPr>
        <w:t>regulation.</w:t>
      </w:r>
      <w:r>
        <w:rPr>
          <w:rFonts w:ascii="Times New Roman" w:eastAsia="等线" w:hAnsi="Times New Roman" w:cs="+mn-cs"/>
          <w:b/>
          <w:bCs/>
          <w:color w:val="000000"/>
        </w:rPr>
        <w:t xml:space="preserve"> </w:t>
      </w:r>
      <w:r>
        <w:rPr>
          <w:rFonts w:ascii="Times New Roman" w:eastAsia="等线" w:hAnsi="Times New Roman" w:cs="+mn-cs" w:hint="eastAsia"/>
          <w:b/>
          <w:bCs/>
          <w:color w:val="000000"/>
        </w:rPr>
        <w:t>a</w:t>
      </w:r>
      <w:r>
        <w:rPr>
          <w:rFonts w:ascii="Times New Roman" w:eastAsia="等线" w:hAnsi="Times New Roman" w:cs="+mn-cs"/>
          <w:b/>
          <w:bCs/>
          <w:color w:val="000000"/>
        </w:rPr>
        <w:t xml:space="preserve">, </w:t>
      </w:r>
      <w:r>
        <w:rPr>
          <w:rFonts w:ascii="Times New Roman" w:eastAsia="等线" w:hAnsi="Times New Roman" w:cs="+mn-cs"/>
          <w:color w:val="000000"/>
        </w:rPr>
        <w:t>C</w:t>
      </w:r>
      <w:r>
        <w:rPr>
          <w:rFonts w:ascii="Times New Roman" w:eastAsia="等线" w:hAnsi="Times New Roman" w:cs="+mn-cs"/>
          <w:color w:val="000000"/>
          <w:vertAlign w:val="subscript"/>
        </w:rPr>
        <w:t>s</w:t>
      </w:r>
      <w:r>
        <w:rPr>
          <w:rFonts w:ascii="Times New Roman" w:eastAsia="等线" w:hAnsi="Times New Roman" w:cs="+mn-cs"/>
          <w:color w:val="000000"/>
        </w:rPr>
        <w:t xml:space="preserve"> profiles under close-loop regulation during charging</w:t>
      </w:r>
      <w:r>
        <w:rPr>
          <w:rFonts w:ascii="Times New Roman" w:eastAsia="等线" w:hAnsi="Times New Roman" w:cs="+mn-cs" w:hint="eastAsia"/>
          <w:color w:val="000000"/>
        </w:rPr>
        <w:t xml:space="preserve">. </w:t>
      </w:r>
      <w:r>
        <w:rPr>
          <w:rFonts w:ascii="Times New Roman" w:eastAsia="等线" w:hAnsi="Times New Roman" w:cs="+mn-cs" w:hint="eastAsia"/>
          <w:b/>
          <w:bCs/>
          <w:color w:val="000000"/>
        </w:rPr>
        <w:t>b</w:t>
      </w:r>
      <w:r>
        <w:rPr>
          <w:rFonts w:ascii="Times New Roman" w:eastAsia="等线" w:hAnsi="Times New Roman" w:cs="+mn-cs" w:hint="eastAsia"/>
          <w:color w:val="000000"/>
        </w:rPr>
        <w:t xml:space="preserve">, The optical images </w:t>
      </w:r>
      <w:r>
        <w:rPr>
          <w:rFonts w:ascii="Times New Roman" w:eastAsia="等线" w:hAnsi="Times New Roman" w:cs="+mn-cs"/>
          <w:color w:val="000000"/>
        </w:rPr>
        <w:t xml:space="preserve">correspond to point 1 and the two adjacent </w:t>
      </w:r>
      <w:r>
        <w:rPr>
          <w:rFonts w:ascii="Times New Roman" w:hAnsi="Times New Roman" w:cs="+mn-cs"/>
          <w:color w:val="000000"/>
        </w:rPr>
        <w:t>C</w:t>
      </w:r>
      <w:r>
        <w:rPr>
          <w:rFonts w:ascii="Times New Roman" w:hAnsi="Times New Roman" w:cs="+mn-cs"/>
          <w:color w:val="000000"/>
          <w:position w:val="-4"/>
          <w:vertAlign w:val="subscript"/>
        </w:rPr>
        <w:t>s</w:t>
      </w:r>
      <w:r>
        <w:rPr>
          <w:rFonts w:ascii="Times New Roman" w:eastAsia="等线" w:hAnsi="Times New Roman" w:cs="+mn-cs"/>
          <w:color w:val="000000"/>
        </w:rPr>
        <w:t xml:space="preserve"> points in the </w:t>
      </w:r>
      <w:r>
        <w:rPr>
          <w:rFonts w:ascii="Times New Roman" w:hAnsi="Times New Roman" w:cs="+mn-cs"/>
          <w:color w:val="000000"/>
        </w:rPr>
        <w:t>C</w:t>
      </w:r>
      <w:r>
        <w:rPr>
          <w:rFonts w:ascii="Times New Roman" w:hAnsi="Times New Roman" w:cs="+mn-cs"/>
          <w:color w:val="000000"/>
          <w:position w:val="-4"/>
          <w:vertAlign w:val="subscript"/>
        </w:rPr>
        <w:t>s</w:t>
      </w:r>
      <w:r>
        <w:rPr>
          <w:rFonts w:ascii="Times New Roman" w:eastAsia="等线" w:hAnsi="Times New Roman" w:cs="+mn-cs"/>
          <w:color w:val="000000"/>
        </w:rPr>
        <w:t xml:space="preserve"> profile</w:t>
      </w:r>
      <w:r>
        <w:rPr>
          <w:rFonts w:ascii="Times New Roman" w:eastAsia="等线" w:hAnsi="Times New Roman" w:cs="+mn-cs" w:hint="eastAsia"/>
          <w:color w:val="000000"/>
        </w:rPr>
        <w:t xml:space="preserve"> in (a),</w:t>
      </w:r>
      <w:r>
        <w:rPr>
          <w:rFonts w:ascii="Times New Roman" w:eastAsia="等线" w:hAnsi="Times New Roman" w:cs="+mn-cs"/>
          <w:color w:val="000000"/>
        </w:rPr>
        <w:t xml:space="preserve"> </w:t>
      </w:r>
      <w:r>
        <w:rPr>
          <w:rFonts w:ascii="Times New Roman" w:eastAsia="等线" w:hAnsi="Times New Roman" w:cs="+mn-cs" w:hint="eastAsia"/>
          <w:color w:val="000000"/>
        </w:rPr>
        <w:t>t</w:t>
      </w:r>
      <w:r>
        <w:rPr>
          <w:rFonts w:ascii="Times New Roman" w:eastAsia="等线" w:hAnsi="Times New Roman" w:cs="+mn-cs"/>
          <w:color w:val="000000"/>
        </w:rPr>
        <w:t>he central image corresponds to point 1, whereas the left and right images correspond to the neighboring SOC states.</w:t>
      </w:r>
    </w:p>
    <w:p w14:paraId="78F55CD7" w14:textId="0893571E" w:rsidR="00F677DB" w:rsidRDefault="00F677DB" w:rsidP="00F677DB">
      <w:pPr>
        <w:widowControl/>
        <w:spacing w:line="360" w:lineRule="auto"/>
        <w:jc w:val="left"/>
        <w:rPr>
          <w:rFonts w:cs="Times New Roman"/>
          <w:b/>
          <w:bCs/>
        </w:rPr>
      </w:pPr>
      <w:r>
        <w:rPr>
          <w:rFonts w:eastAsia="宋体" w:cs="Times New Roman"/>
          <w:sz w:val="20"/>
          <w:szCs w:val="20"/>
        </w:rPr>
        <w:br w:type="page"/>
      </w:r>
      <w:r>
        <w:rPr>
          <w:rFonts w:cs="Times New Roman"/>
          <w:b/>
          <w:bCs/>
          <w:noProof/>
          <w14:ligatures w14:val="none"/>
        </w:rPr>
        <w:lastRenderedPageBreak/>
        <w:drawing>
          <wp:anchor distT="0" distB="0" distL="114300" distR="114300" simplePos="0" relativeHeight="251659264" behindDoc="0" locked="0" layoutInCell="1" allowOverlap="1" wp14:anchorId="2D817DE5" wp14:editId="5BC78F02">
            <wp:simplePos x="0" y="0"/>
            <wp:positionH relativeFrom="column">
              <wp:posOffset>1117600</wp:posOffset>
            </wp:positionH>
            <wp:positionV relativeFrom="paragraph">
              <wp:posOffset>38735</wp:posOffset>
            </wp:positionV>
            <wp:extent cx="3609975" cy="1377950"/>
            <wp:effectExtent l="0" t="0" r="9525" b="0"/>
            <wp:wrapTopAndBottom/>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8"/>
                    <a:stretch>
                      <a:fillRect/>
                    </a:stretch>
                  </pic:blipFill>
                  <pic:spPr>
                    <a:xfrm>
                      <a:off x="0" y="0"/>
                      <a:ext cx="3609975" cy="1377950"/>
                    </a:xfrm>
                    <a:prstGeom prst="rect">
                      <a:avLst/>
                    </a:prstGeom>
                  </pic:spPr>
                </pic:pic>
              </a:graphicData>
            </a:graphic>
          </wp:anchor>
        </w:drawing>
      </w:r>
      <w:r>
        <w:rPr>
          <w:rFonts w:cs="Times New Roman"/>
          <w:b/>
          <w:bCs/>
        </w:rPr>
        <w:t xml:space="preserve">Supplementary Fig. </w:t>
      </w:r>
      <w:r w:rsidR="00C1076A">
        <w:rPr>
          <w:rFonts w:cs="Times New Roman" w:hint="eastAsia"/>
          <w:b/>
          <w:bCs/>
          <w:noProof/>
        </w:rPr>
        <w:t>13</w:t>
      </w:r>
      <w:r>
        <w:rPr>
          <w:rFonts w:eastAsia="宋体" w:cs="Times New Roman"/>
          <w:b/>
          <w:bCs/>
        </w:rPr>
        <w:t xml:space="preserve"> | </w:t>
      </w:r>
      <w:r>
        <w:rPr>
          <w:rFonts w:eastAsia="等线 Light" w:cs="Times New Roman"/>
          <w:b/>
          <w:bCs/>
          <w:color w:val="000000"/>
        </w:rPr>
        <w:t>SEM morphology of the pristine</w:t>
      </w:r>
      <w:r>
        <w:rPr>
          <w:rFonts w:eastAsia="等线 Light" w:cs="Times New Roman" w:hint="eastAsia"/>
          <w:b/>
          <w:bCs/>
          <w:color w:val="000000"/>
        </w:rPr>
        <w:t xml:space="preserve"> </w:t>
      </w:r>
      <w:r>
        <w:rPr>
          <w:rFonts w:eastAsia="等线 Light" w:cs="Times New Roman"/>
          <w:b/>
          <w:bCs/>
          <w:color w:val="000000"/>
        </w:rPr>
        <w:t xml:space="preserve">graphite anode </w:t>
      </w:r>
      <w:r>
        <w:rPr>
          <w:rFonts w:eastAsia="等线 Light" w:cs="Times New Roman" w:hint="eastAsia"/>
          <w:b/>
          <w:bCs/>
          <w:color w:val="000000"/>
        </w:rPr>
        <w:t>from a</w:t>
      </w:r>
      <w:r>
        <w:rPr>
          <w:rFonts w:eastAsia="等线 Light" w:cs="Times New Roman"/>
          <w:b/>
          <w:bCs/>
          <w:color w:val="000000"/>
        </w:rPr>
        <w:t xml:space="preserve"> 314 Ah prismatic cells. a, </w:t>
      </w:r>
      <w:r>
        <w:rPr>
          <w:rFonts w:eastAsia="等线 Light" w:cs="Times New Roman"/>
          <w:color w:val="000000"/>
        </w:rPr>
        <w:t>SEM image of the pristine graphite anode surface.</w:t>
      </w:r>
      <w:r>
        <w:rPr>
          <w:rFonts w:eastAsia="等线 Light" w:cs="Times New Roman"/>
          <w:b/>
          <w:bCs/>
          <w:color w:val="000000"/>
        </w:rPr>
        <w:t xml:space="preserve"> b, </w:t>
      </w:r>
      <w:r>
        <w:rPr>
          <w:rFonts w:eastAsia="等线 Light" w:cs="Times New Roman" w:hint="eastAsia"/>
          <w:color w:val="000000"/>
        </w:rPr>
        <w:t>M</w:t>
      </w:r>
      <w:r>
        <w:rPr>
          <w:rFonts w:eastAsia="等线 Light" w:cs="Times New Roman"/>
          <w:color w:val="000000"/>
        </w:rPr>
        <w:t xml:space="preserve">agnified view of the orange-boxed region in </w:t>
      </w:r>
      <w:r>
        <w:rPr>
          <w:rFonts w:eastAsia="等线 Light" w:cs="Times New Roman" w:hint="eastAsia"/>
          <w:b/>
          <w:bCs/>
          <w:color w:val="000000"/>
        </w:rPr>
        <w:t>(</w:t>
      </w:r>
      <w:r>
        <w:rPr>
          <w:rFonts w:eastAsia="等线 Light" w:cs="Times New Roman"/>
          <w:b/>
          <w:bCs/>
          <w:color w:val="000000"/>
        </w:rPr>
        <w:t>a</w:t>
      </w:r>
      <w:r>
        <w:rPr>
          <w:rFonts w:eastAsia="等线 Light" w:cs="Times New Roman" w:hint="eastAsia"/>
          <w:b/>
          <w:bCs/>
          <w:color w:val="000000"/>
        </w:rPr>
        <w:t>)</w:t>
      </w:r>
      <w:r>
        <w:rPr>
          <w:rFonts w:eastAsia="等线 Light" w:cs="Times New Roman"/>
          <w:color w:val="000000"/>
        </w:rPr>
        <w:t>.</w:t>
      </w:r>
    </w:p>
    <w:p w14:paraId="29F54282" w14:textId="77777777" w:rsidR="004B6D7B" w:rsidRPr="00F677DB" w:rsidRDefault="004B6D7B"/>
    <w:sectPr w:rsidR="004B6D7B" w:rsidRPr="00F677DB" w:rsidSect="00F677DB">
      <w:footerReference w:type="default" r:id="rId19"/>
      <w:pgSz w:w="11906" w:h="16838"/>
      <w:pgMar w:top="720" w:right="1094" w:bottom="720" w:left="1094" w:header="227" w:footer="227"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8CF06" w14:textId="77777777" w:rsidR="002F7DF7" w:rsidRDefault="002F7DF7">
      <w:r>
        <w:separator/>
      </w:r>
    </w:p>
  </w:endnote>
  <w:endnote w:type="continuationSeparator" w:id="0">
    <w:p w14:paraId="7AACA9B4" w14:textId="77777777" w:rsidR="002F7DF7" w:rsidRDefault="002F7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n-cs">
    <w:altName w:val="Liberation Mon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231447"/>
    </w:sdtPr>
    <w:sdtContent>
      <w:p w14:paraId="11C6313F" w14:textId="77777777" w:rsidR="00AF7AA3" w:rsidRDefault="00000000">
        <w:pPr>
          <w:pStyle w:val="af"/>
          <w:jc w:val="center"/>
        </w:pPr>
        <w:r>
          <w:fldChar w:fldCharType="begin"/>
        </w:r>
        <w:r>
          <w:instrText>PAGE   \* MERGEFORMAT</w:instrText>
        </w:r>
        <w:r>
          <w:fldChar w:fldCharType="separate"/>
        </w:r>
        <w:r>
          <w:rPr>
            <w:lang w:val="zh-CN"/>
          </w:rPr>
          <w:t>2</w:t>
        </w:r>
        <w:r>
          <w:fldChar w:fldCharType="end"/>
        </w:r>
      </w:p>
    </w:sdtContent>
  </w:sdt>
  <w:p w14:paraId="7B5BF87A" w14:textId="77777777" w:rsidR="00AF7AA3" w:rsidRDefault="00AF7AA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F7423" w14:textId="77777777" w:rsidR="002F7DF7" w:rsidRDefault="002F7DF7">
      <w:r>
        <w:separator/>
      </w:r>
    </w:p>
  </w:footnote>
  <w:footnote w:type="continuationSeparator" w:id="0">
    <w:p w14:paraId="3609EC80" w14:textId="77777777" w:rsidR="002F7DF7" w:rsidRDefault="002F7D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7DB"/>
    <w:rsid w:val="000E756F"/>
    <w:rsid w:val="002F7DF7"/>
    <w:rsid w:val="003D004B"/>
    <w:rsid w:val="00497440"/>
    <w:rsid w:val="004B6D7B"/>
    <w:rsid w:val="005D1F71"/>
    <w:rsid w:val="005F2137"/>
    <w:rsid w:val="006B10C9"/>
    <w:rsid w:val="00830EAE"/>
    <w:rsid w:val="009627FD"/>
    <w:rsid w:val="00AF7AA3"/>
    <w:rsid w:val="00B90EA5"/>
    <w:rsid w:val="00B93AAF"/>
    <w:rsid w:val="00C1076A"/>
    <w:rsid w:val="00CE7EDE"/>
    <w:rsid w:val="00D57AF5"/>
    <w:rsid w:val="00DE4718"/>
    <w:rsid w:val="00E756AF"/>
    <w:rsid w:val="00EF56A5"/>
    <w:rsid w:val="00F1762D"/>
    <w:rsid w:val="00F677DB"/>
    <w:rsid w:val="00F96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306B1"/>
  <w15:chartTrackingRefBased/>
  <w15:docId w15:val="{1F6175E8-106E-43DB-ABB6-520ADDE16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77DB"/>
    <w:pPr>
      <w:widowControl w:val="0"/>
      <w:jc w:val="both"/>
    </w:pPr>
    <w:rPr>
      <w:rFonts w:ascii="Times New Roman" w:hAnsi="Times New Roman"/>
    </w:rPr>
  </w:style>
  <w:style w:type="paragraph" w:styleId="1">
    <w:name w:val="heading 1"/>
    <w:basedOn w:val="a"/>
    <w:next w:val="a"/>
    <w:link w:val="10"/>
    <w:uiPriority w:val="9"/>
    <w:qFormat/>
    <w:rsid w:val="00F677D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677D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677D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677D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677D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F677D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677D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677D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677D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677D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677D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677D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677DB"/>
    <w:rPr>
      <w:rFonts w:cstheme="majorBidi"/>
      <w:color w:val="0F4761" w:themeColor="accent1" w:themeShade="BF"/>
      <w:sz w:val="28"/>
      <w:szCs w:val="28"/>
    </w:rPr>
  </w:style>
  <w:style w:type="character" w:customStyle="1" w:styleId="50">
    <w:name w:val="标题 5 字符"/>
    <w:basedOn w:val="a0"/>
    <w:link w:val="5"/>
    <w:uiPriority w:val="9"/>
    <w:semiHidden/>
    <w:rsid w:val="00F677DB"/>
    <w:rPr>
      <w:rFonts w:cstheme="majorBidi"/>
      <w:color w:val="0F4761" w:themeColor="accent1" w:themeShade="BF"/>
      <w:sz w:val="24"/>
      <w:szCs w:val="24"/>
    </w:rPr>
  </w:style>
  <w:style w:type="character" w:customStyle="1" w:styleId="60">
    <w:name w:val="标题 6 字符"/>
    <w:basedOn w:val="a0"/>
    <w:link w:val="6"/>
    <w:uiPriority w:val="9"/>
    <w:semiHidden/>
    <w:rsid w:val="00F677DB"/>
    <w:rPr>
      <w:rFonts w:cstheme="majorBidi"/>
      <w:b/>
      <w:bCs/>
      <w:color w:val="0F4761" w:themeColor="accent1" w:themeShade="BF"/>
    </w:rPr>
  </w:style>
  <w:style w:type="character" w:customStyle="1" w:styleId="70">
    <w:name w:val="标题 7 字符"/>
    <w:basedOn w:val="a0"/>
    <w:link w:val="7"/>
    <w:uiPriority w:val="9"/>
    <w:semiHidden/>
    <w:rsid w:val="00F677DB"/>
    <w:rPr>
      <w:rFonts w:cstheme="majorBidi"/>
      <w:b/>
      <w:bCs/>
      <w:color w:val="595959" w:themeColor="text1" w:themeTint="A6"/>
    </w:rPr>
  </w:style>
  <w:style w:type="character" w:customStyle="1" w:styleId="80">
    <w:name w:val="标题 8 字符"/>
    <w:basedOn w:val="a0"/>
    <w:link w:val="8"/>
    <w:uiPriority w:val="9"/>
    <w:semiHidden/>
    <w:rsid w:val="00F677DB"/>
    <w:rPr>
      <w:rFonts w:cstheme="majorBidi"/>
      <w:color w:val="595959" w:themeColor="text1" w:themeTint="A6"/>
    </w:rPr>
  </w:style>
  <w:style w:type="character" w:customStyle="1" w:styleId="90">
    <w:name w:val="标题 9 字符"/>
    <w:basedOn w:val="a0"/>
    <w:link w:val="9"/>
    <w:uiPriority w:val="9"/>
    <w:semiHidden/>
    <w:rsid w:val="00F677DB"/>
    <w:rPr>
      <w:rFonts w:eastAsiaTheme="majorEastAsia" w:cstheme="majorBidi"/>
      <w:color w:val="595959" w:themeColor="text1" w:themeTint="A6"/>
    </w:rPr>
  </w:style>
  <w:style w:type="paragraph" w:styleId="a3">
    <w:name w:val="Title"/>
    <w:basedOn w:val="a"/>
    <w:next w:val="a"/>
    <w:link w:val="a4"/>
    <w:uiPriority w:val="10"/>
    <w:qFormat/>
    <w:rsid w:val="00F677D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677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77D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677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77DB"/>
    <w:pPr>
      <w:spacing w:before="160" w:after="160"/>
      <w:jc w:val="center"/>
    </w:pPr>
    <w:rPr>
      <w:i/>
      <w:iCs/>
      <w:color w:val="404040" w:themeColor="text1" w:themeTint="BF"/>
    </w:rPr>
  </w:style>
  <w:style w:type="character" w:customStyle="1" w:styleId="a8">
    <w:name w:val="引用 字符"/>
    <w:basedOn w:val="a0"/>
    <w:link w:val="a7"/>
    <w:uiPriority w:val="29"/>
    <w:rsid w:val="00F677DB"/>
    <w:rPr>
      <w:i/>
      <w:iCs/>
      <w:color w:val="404040" w:themeColor="text1" w:themeTint="BF"/>
    </w:rPr>
  </w:style>
  <w:style w:type="paragraph" w:styleId="a9">
    <w:name w:val="List Paragraph"/>
    <w:basedOn w:val="a"/>
    <w:uiPriority w:val="34"/>
    <w:qFormat/>
    <w:rsid w:val="00F677DB"/>
    <w:pPr>
      <w:ind w:left="720"/>
      <w:contextualSpacing/>
    </w:pPr>
  </w:style>
  <w:style w:type="character" w:styleId="aa">
    <w:name w:val="Intense Emphasis"/>
    <w:basedOn w:val="a0"/>
    <w:uiPriority w:val="21"/>
    <w:qFormat/>
    <w:rsid w:val="00F677DB"/>
    <w:rPr>
      <w:i/>
      <w:iCs/>
      <w:color w:val="0F4761" w:themeColor="accent1" w:themeShade="BF"/>
    </w:rPr>
  </w:style>
  <w:style w:type="paragraph" w:styleId="ab">
    <w:name w:val="Intense Quote"/>
    <w:basedOn w:val="a"/>
    <w:next w:val="a"/>
    <w:link w:val="ac"/>
    <w:uiPriority w:val="30"/>
    <w:qFormat/>
    <w:rsid w:val="00F67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677DB"/>
    <w:rPr>
      <w:i/>
      <w:iCs/>
      <w:color w:val="0F4761" w:themeColor="accent1" w:themeShade="BF"/>
    </w:rPr>
  </w:style>
  <w:style w:type="character" w:styleId="ad">
    <w:name w:val="Intense Reference"/>
    <w:basedOn w:val="a0"/>
    <w:uiPriority w:val="32"/>
    <w:qFormat/>
    <w:rsid w:val="00F677DB"/>
    <w:rPr>
      <w:b/>
      <w:bCs/>
      <w:smallCaps/>
      <w:color w:val="0F4761" w:themeColor="accent1" w:themeShade="BF"/>
      <w:spacing w:val="5"/>
    </w:rPr>
  </w:style>
  <w:style w:type="paragraph" w:styleId="ae">
    <w:name w:val="caption"/>
    <w:basedOn w:val="a"/>
    <w:next w:val="a"/>
    <w:uiPriority w:val="35"/>
    <w:unhideWhenUsed/>
    <w:qFormat/>
    <w:rsid w:val="00F677DB"/>
    <w:rPr>
      <w:rFonts w:asciiTheme="majorHAnsi" w:eastAsia="黑体" w:hAnsiTheme="majorHAnsi" w:cstheme="majorBidi"/>
      <w:sz w:val="20"/>
      <w:szCs w:val="20"/>
    </w:rPr>
  </w:style>
  <w:style w:type="paragraph" w:styleId="af">
    <w:name w:val="footer"/>
    <w:basedOn w:val="a"/>
    <w:link w:val="af0"/>
    <w:uiPriority w:val="99"/>
    <w:unhideWhenUsed/>
    <w:qFormat/>
    <w:rsid w:val="00F677DB"/>
    <w:pPr>
      <w:tabs>
        <w:tab w:val="center" w:pos="4153"/>
        <w:tab w:val="right" w:pos="8306"/>
      </w:tabs>
      <w:snapToGrid w:val="0"/>
      <w:jc w:val="left"/>
    </w:pPr>
    <w:rPr>
      <w:sz w:val="18"/>
      <w:szCs w:val="18"/>
    </w:rPr>
  </w:style>
  <w:style w:type="character" w:customStyle="1" w:styleId="af0">
    <w:name w:val="页脚 字符"/>
    <w:basedOn w:val="a0"/>
    <w:link w:val="af"/>
    <w:uiPriority w:val="99"/>
    <w:qFormat/>
    <w:rsid w:val="00F677DB"/>
    <w:rPr>
      <w:rFonts w:ascii="Times New Roman" w:hAnsi="Times New Roman"/>
      <w:sz w:val="18"/>
      <w:szCs w:val="18"/>
    </w:rPr>
  </w:style>
  <w:style w:type="character" w:styleId="af1">
    <w:name w:val="line number"/>
    <w:basedOn w:val="a0"/>
    <w:uiPriority w:val="99"/>
    <w:semiHidden/>
    <w:unhideWhenUsed/>
    <w:rsid w:val="00F677DB"/>
  </w:style>
  <w:style w:type="paragraph" w:styleId="af2">
    <w:name w:val="header"/>
    <w:basedOn w:val="a"/>
    <w:link w:val="af3"/>
    <w:uiPriority w:val="99"/>
    <w:unhideWhenUsed/>
    <w:rsid w:val="006B10C9"/>
    <w:pPr>
      <w:tabs>
        <w:tab w:val="center" w:pos="4153"/>
        <w:tab w:val="right" w:pos="8306"/>
      </w:tabs>
      <w:snapToGrid w:val="0"/>
      <w:jc w:val="center"/>
    </w:pPr>
    <w:rPr>
      <w:sz w:val="18"/>
      <w:szCs w:val="18"/>
    </w:rPr>
  </w:style>
  <w:style w:type="character" w:customStyle="1" w:styleId="af3">
    <w:name w:val="页眉 字符"/>
    <w:basedOn w:val="a0"/>
    <w:link w:val="af2"/>
    <w:uiPriority w:val="99"/>
    <w:rsid w:val="006B10C9"/>
    <w:rPr>
      <w:rFonts w:ascii="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14</Pages>
  <Words>1174</Words>
  <Characters>6695</Characters>
  <Application>Microsoft Office Word</Application>
  <DocSecurity>0</DocSecurity>
  <Lines>55</Lines>
  <Paragraphs>15</Paragraphs>
  <ScaleCrop>false</ScaleCrop>
  <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景华 田</dc:creator>
  <cp:keywords/>
  <dc:description/>
  <cp:lastModifiedBy>景华 田</cp:lastModifiedBy>
  <cp:revision>14</cp:revision>
  <cp:lastPrinted>2026-08-12T14:37:00Z</cp:lastPrinted>
  <dcterms:created xsi:type="dcterms:W3CDTF">2026-08-11T12:42:00Z</dcterms:created>
  <dcterms:modified xsi:type="dcterms:W3CDTF">2026-08-13T07:37:00Z</dcterms:modified>
</cp:coreProperties>
</file>