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2FA2A">
      <w:pPr>
        <w:jc w:val="center"/>
      </w:pPr>
      <w:r>
        <w:rPr>
          <w:b/>
          <w:color w:val="000000"/>
          <w:sz w:val="26"/>
        </w:rPr>
        <w:t>Additional file 1: Supplementary Tables S1–S6</w:t>
      </w:r>
    </w:p>
    <w:p w14:paraId="00E31FD2">
      <w:pPr>
        <w:jc w:val="center"/>
      </w:pPr>
      <w:r>
        <w:rPr>
          <w:rFonts w:hint="eastAsia"/>
          <w:i/>
          <w:color w:val="000000"/>
          <w:sz w:val="18"/>
        </w:rPr>
        <w:t>Accelerometer-Measured Physical Activity Changes After Transitions to Concern About Falling, a Recent Fall, or Both in Older Adults: A Longitudinal NHATS Study</w:t>
      </w:r>
      <w:bookmarkStart w:id="0" w:name="_GoBack"/>
      <w:bookmarkEnd w:id="0"/>
    </w:p>
    <w:p w14:paraId="42E56564">
      <w:pPr>
        <w:keepNext/>
      </w:pPr>
      <w:r>
        <w:rPr>
          <w:b/>
          <w:color w:val="000000"/>
          <w:sz w:val="20"/>
        </w:rPr>
        <w:t>Supplementary Table S1. Weighted baseline, follow-up, and change in physical activity measures by transition state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5"/>
        <w:gridCol w:w="3055"/>
        <w:gridCol w:w="3056"/>
        <w:gridCol w:w="3056"/>
        <w:gridCol w:w="3056"/>
      </w:tblGrid>
      <w:tr w14:paraId="754F5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  <w:jc w:val="center"/>
        </w:trPr>
        <w:tc>
          <w:tcPr>
            <w:tcW w:w="308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16184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Outcome / transition state</w:t>
            </w:r>
          </w:p>
        </w:tc>
        <w:tc>
          <w:tcPr>
            <w:tcW w:w="308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82B8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Person-intervals</w:t>
            </w:r>
          </w:p>
        </w:tc>
        <w:tc>
          <w:tcPr>
            <w:tcW w:w="308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4BFB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Baseline weighted mean (95% CI)</w:t>
            </w:r>
          </w:p>
        </w:tc>
        <w:tc>
          <w:tcPr>
            <w:tcW w:w="308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A6A7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Follow-up weighted mean (95% CI)</w:t>
            </w:r>
          </w:p>
        </w:tc>
        <w:tc>
          <w:tcPr>
            <w:tcW w:w="308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2D7A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Weighted change (95% CI)</w:t>
            </w:r>
          </w:p>
        </w:tc>
      </w:tr>
      <w:tr w14:paraId="451E3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415" w:type="dxa"/>
            <w:gridSpan w:val="5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1A9E7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A. Activity volume (log total activity counts)</w:t>
            </w:r>
          </w:p>
        </w:tc>
      </w:tr>
      <w:tr w14:paraId="09BAD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20CEC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Stable neither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43018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670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AD70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14.39 (14.35 to 14.42)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E0C4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14.35 (14.32 to 14.39)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14013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-0.03 (-0.05 to -0.02)</w:t>
            </w:r>
          </w:p>
        </w:tc>
      </w:tr>
      <w:tr w14:paraId="40624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74D37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Concern only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422A6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140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6CC8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14.21 (14.13 to 14.30)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913A4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14.16 (14.08 to 14.24)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AC80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-0.05 (-0.10 to -0.01)</w:t>
            </w:r>
          </w:p>
        </w:tc>
      </w:tr>
      <w:tr w14:paraId="0D631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12F71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Fall only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2CEBE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36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C9853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14.22 (14.09 to 14.36)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55911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14.14 (13.99 to 14.29)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25B01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-0.08 (-0.16 to 0.00)</w:t>
            </w:r>
          </w:p>
        </w:tc>
      </w:tr>
      <w:tr w14:paraId="19F0D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1FD50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Both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FBD4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27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6DF3C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14.34 (14.22 to 14.46)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02E7E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14.17 (14.05 to 14.29)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F81F9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-0.17 (-0.28 to -0.06)</w:t>
            </w:r>
          </w:p>
        </w:tc>
      </w:tr>
      <w:tr w14:paraId="5437C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15" w:type="dxa"/>
            <w:gridSpan w:val="5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8AFDF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B. Activity fragmentation (%)</w:t>
            </w:r>
          </w:p>
        </w:tc>
      </w:tr>
      <w:tr w14:paraId="4795E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8AF86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Stable neither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03F0E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670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7E2C1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25.74 (25.01 to 26.47)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AEDDF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26.35 (25.55 to 27.16)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9B58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0.61 (0.23 to 0.99)</w:t>
            </w:r>
          </w:p>
        </w:tc>
      </w:tr>
      <w:tr w14:paraId="1ED83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1FF2C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Concern only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BFC8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140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31270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29.58 (27.60 to 31.56)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31C3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31.03 (28.91 to 33.14)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4CA5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1.45 (0.35 to 2.55)</w:t>
            </w:r>
          </w:p>
        </w:tc>
      </w:tr>
      <w:tr w14:paraId="329BE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5B5C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Fall only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8E6F5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36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EC4E6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27.72 (24.68 to 30.77)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8725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29.69 (25.83 to 33.54)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57E20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1.96 (-0.35 to 4.27)</w:t>
            </w:r>
          </w:p>
        </w:tc>
      </w:tr>
      <w:tr w14:paraId="69C88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D602B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Both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7F2BB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27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E85D4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26.70 (24.46 to 28.93)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DA3A8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29.45 (26.48 to 32.42)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73076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2.75 (0.31 to 5.19)</w:t>
            </w:r>
          </w:p>
        </w:tc>
      </w:tr>
      <w:tr w14:paraId="05A00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15" w:type="dxa"/>
            <w:gridSpan w:val="5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BC9B1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C. Active minutes/day</w:t>
            </w:r>
          </w:p>
        </w:tc>
      </w:tr>
      <w:tr w14:paraId="42C7E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36039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Stable neither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F50FD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670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1B92B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376.91 (364.77 to 389.04)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D1CFB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368.11 (355.79 to 380.43)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98866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-8.80 (-13.17 to -4.42)</w:t>
            </w:r>
          </w:p>
        </w:tc>
      </w:tr>
      <w:tr w14:paraId="5835D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02178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Concern only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1C42E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140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48A25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335.26 (310.76 to 359.76)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9B0BC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318.84 (295.80 to 341.88)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800BA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-16.42 (-30.29 to -2.54)</w:t>
            </w:r>
          </w:p>
        </w:tc>
      </w:tr>
      <w:tr w14:paraId="128D2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9DE07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Fall only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A2E6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36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20AAB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330.59 (285.47 to 375.72)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E14C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309.51 (267.89 to 351.12)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031E9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-21.09 (-47.06 to 4.88)</w:t>
            </w:r>
          </w:p>
        </w:tc>
      </w:tr>
      <w:tr w14:paraId="5A3F1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83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2090A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Both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63287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27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27024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364.46 (324.59 to 404.34)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EFA65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313.53 (276.41 to 350.65)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3807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-50.93 (-83.77 to -18.10)</w:t>
            </w:r>
          </w:p>
        </w:tc>
      </w:tr>
    </w:tbl>
    <w:p w14:paraId="29F9C403">
      <w:r>
        <w:rPr>
          <w:color w:val="000000"/>
          <w:sz w:val="17"/>
        </w:rPr>
        <w:t>Notes: Survey-weighted descriptive estimates are shown with 95% confidence intervals. They are presented to show the observed longitudinal pattern and should not be interpreted as adjusted effects.</w:t>
      </w:r>
    </w:p>
    <w:p w14:paraId="74AE5FED">
      <w:r>
        <w:rPr>
          <w:color w:val="000000"/>
        </w:rPr>
        <w:br w:type="page"/>
      </w:r>
    </w:p>
    <w:p w14:paraId="4D34022E">
      <w:pPr>
        <w:keepNext/>
      </w:pPr>
      <w:r>
        <w:rPr>
          <w:b/>
          <w:color w:val="000000"/>
          <w:sz w:val="20"/>
        </w:rPr>
        <w:t>Supplementary Table S2. Prespecified secondary contrast between concern-only and fall-only transitions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4"/>
        <w:gridCol w:w="5090"/>
        <w:gridCol w:w="5094"/>
      </w:tblGrid>
      <w:tr w14:paraId="72D53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513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82CF4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Outcome</w:t>
            </w:r>
          </w:p>
        </w:tc>
        <w:tc>
          <w:tcPr>
            <w:tcW w:w="513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DE756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Concern only vs fall only, estimate (95% CI)</w:t>
            </w:r>
          </w:p>
        </w:tc>
        <w:tc>
          <w:tcPr>
            <w:tcW w:w="513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6D5E0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Reporting scale</w:t>
            </w:r>
          </w:p>
        </w:tc>
      </w:tr>
      <w:tr w14:paraId="11DEB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39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BDDB4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Activity volume</w:t>
            </w:r>
          </w:p>
        </w:tc>
        <w:tc>
          <w:tcPr>
            <w:tcW w:w="5139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E456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4.06 (-5.05 to 14.04)</w:t>
            </w:r>
          </w:p>
        </w:tc>
        <w:tc>
          <w:tcPr>
            <w:tcW w:w="5139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D7A0B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% difference in total activity counts</w:t>
            </w:r>
          </w:p>
        </w:tc>
      </w:tr>
      <w:tr w14:paraId="33629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F066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Activity fragmentation</w:t>
            </w: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7E73A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-0.45 (-3.08 to 2.18)</w:t>
            </w: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4DFE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percentage points</w:t>
            </w:r>
          </w:p>
        </w:tc>
      </w:tr>
      <w:tr w14:paraId="72BA7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0AED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Active minutes/day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E4D7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9.97 (-16.94 to 36.87)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7136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minutes/day</w:t>
            </w:r>
          </w:p>
        </w:tc>
      </w:tr>
    </w:tbl>
    <w:p w14:paraId="602B4A07">
      <w:r>
        <w:rPr>
          <w:color w:val="000000"/>
          <w:sz w:val="17"/>
        </w:rPr>
        <w:t>Notes: This contrast was prespecified as secondary; interpretation focuses on the estimate and 95% confidence interval.</w:t>
      </w:r>
    </w:p>
    <w:p w14:paraId="23727BC6">
      <w:r>
        <w:rPr>
          <w:color w:val="000000"/>
        </w:rPr>
        <w:br w:type="page"/>
      </w:r>
    </w:p>
    <w:p w14:paraId="73666FF2">
      <w:pPr>
        <w:keepNext/>
      </w:pPr>
      <w:r>
        <w:rPr>
          <w:b/>
          <w:color w:val="000000"/>
          <w:sz w:val="20"/>
        </w:rPr>
        <w:t>Supplementary Table S3. Sensitivity analyses for activity volume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4"/>
        <w:gridCol w:w="1909"/>
        <w:gridCol w:w="1912"/>
        <w:gridCol w:w="1909"/>
        <w:gridCol w:w="1908"/>
        <w:gridCol w:w="1909"/>
        <w:gridCol w:w="1908"/>
        <w:gridCol w:w="1909"/>
      </w:tblGrid>
      <w:tr w14:paraId="3F22E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3B2643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Analysis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E2346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Person-intervals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2CBFD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Unique participants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FA51A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Kish effective N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6FA05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Global P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B011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Concern only vs stable neither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71BD1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Fall only vs stable neither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D943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Both vs stable neither</w:t>
            </w:r>
          </w:p>
        </w:tc>
      </w:tr>
      <w:tr w14:paraId="76F75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2773E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Primary (≥4 valid days)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EB96B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873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5DAA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437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1106A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829.3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E4A1F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0.011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F6003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-3.18 (-7.47 to 1.32)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DFBC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-6.95 (-14.16 to 0.86)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4DD6A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-12.41 (-20.80 to -3.14)</w:t>
            </w:r>
          </w:p>
        </w:tc>
      </w:tr>
      <w:tr w14:paraId="3CDF2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119964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≥3 valid days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F8087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889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15C13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444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45A76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844.5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9CB6E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0.012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FE3F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-3.23 (-7.48 to 1.21)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680C5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-6.40 (-13.47 to 1.25)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1E4A1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-11.88 (-19.95 to -3.00)</w:t>
            </w:r>
          </w:p>
        </w:tc>
      </w:tr>
      <w:tr w14:paraId="487B8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BC007E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Direct change-score model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20BCB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873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2746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437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D87B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829.3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86547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0.052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60D6A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-1.47 (-6.00 to 3.28)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CFF06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-4.96 (-12.44 to 3.16)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86B2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-12.38 (-21.30 to -2.45)</w:t>
            </w:r>
          </w:p>
        </w:tc>
      </w:tr>
      <w:tr w14:paraId="605D8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80DC97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Leave out R11→R12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898A7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512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8A281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336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97A23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487.4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E7B8A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0.116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107F4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-1.02 (-5.21 to 3.36)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A401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-1.38 (-8.64 to 6.46)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E3B5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-15.42 (-26.29 to -2.95)</w:t>
            </w:r>
          </w:p>
        </w:tc>
      </w:tr>
      <w:tr w14:paraId="5ACDF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A9980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Leave out R12→R13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B60A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601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DBCA0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412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0D05D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570.3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BB443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0.118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9868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-4.73 (-10.15 to 1.02)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998A6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-8.48 (-19.33 to 3.84)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6D90B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-7.40 (-16.82 to 3.08)</w:t>
            </w:r>
          </w:p>
        </w:tc>
      </w:tr>
      <w:tr w14:paraId="3E4B4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E03C2E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Leave out R13→R14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5FE1A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633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18A7B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408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EDF58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602.6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1E4F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0.004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43D4B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-3.21 (-8.90 to 2.83)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8798A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-10.49 (-18.10 to -2.17)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C9BE1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-14.95 (-24.72 to -3.92)</w:t>
            </w:r>
          </w:p>
        </w:tc>
      </w:tr>
      <w:tr w14:paraId="0691D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6A52C5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Geographic varunit cluster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9DDD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873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BE18F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437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78EAE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829.3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458D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0.051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7DF45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-3.18 (-7.25 to 1.08)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1E02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-6.95 (-14.69 to 1.48)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1397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-12.41 (-21.50 to -2.28)</w:t>
            </w:r>
          </w:p>
        </w:tc>
      </w:tr>
      <w:tr w14:paraId="34E06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C7DE9D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Add race/ethnicity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9DA04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854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00EDC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428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43C5E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811.8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1B99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0.014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19FFE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-3.16 (-7.49 to 1.37)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BFF27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-6.41 (-13.88 to 1.70)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14F53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-12.50 (-20.90 to -3.21)</w:t>
            </w:r>
          </w:p>
        </w:tc>
      </w:tr>
      <w:tr w14:paraId="4263F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AFAE8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Add log income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D22AD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675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5040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363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F3C9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642.5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91AED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0.023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02C3B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-2.47 (-7.48 to 2.82)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0576C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-3.46 (-10.36 to 3.96)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0669C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-14.18 (-22.61 to -4.84)</w:t>
            </w:r>
          </w:p>
        </w:tc>
      </w:tr>
      <w:tr w14:paraId="5B18C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020488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Add race/ethnicity and log income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E1CA2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665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0BA8A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358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9F5A9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632.7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99253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0.028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45431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-2.10 (-7.13 to 3.21)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12229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-2.55 (-9.50 to 4.94)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7EE2A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-14.03 (-22.36 to -4.81)</w:t>
            </w:r>
          </w:p>
        </w:tc>
      </w:tr>
    </w:tbl>
    <w:p w14:paraId="342DAFD4">
      <w:r>
        <w:rPr>
          <w:color w:val="000000"/>
          <w:sz w:val="17"/>
        </w:rPr>
        <w:t>Notes: Estimates are percent differences in total activity counts with 95% confidence intervals. The both-versus-stable estimate remained negative in every prespecified sensitivity analysis. Pairwise P values are omitted because robustness is assessed primarily by direction, magnitude, confidence intervals, and the global transition test.</w:t>
      </w:r>
    </w:p>
    <w:p w14:paraId="0DD67A44">
      <w:r>
        <w:rPr>
          <w:color w:val="000000"/>
        </w:rPr>
        <w:br w:type="page"/>
      </w:r>
    </w:p>
    <w:p w14:paraId="010FA785">
      <w:pPr>
        <w:keepNext/>
      </w:pPr>
      <w:r>
        <w:rPr>
          <w:b/>
          <w:color w:val="000000"/>
          <w:sz w:val="20"/>
        </w:rPr>
        <w:t>Supplementary Table S4. Sensitivity analyses for activity fragmentation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4"/>
        <w:gridCol w:w="1909"/>
        <w:gridCol w:w="1912"/>
        <w:gridCol w:w="1909"/>
        <w:gridCol w:w="1908"/>
        <w:gridCol w:w="1909"/>
        <w:gridCol w:w="1908"/>
        <w:gridCol w:w="1909"/>
      </w:tblGrid>
      <w:tr w14:paraId="3D44A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854484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Analysis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9D1AB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Person-intervals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C09B4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Unique participants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898C5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Kish effective N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15C58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Global P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D93E2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Concern only vs stable neither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D14AC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Fall only vs stable neither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CAC9C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Both vs stable neither</w:t>
            </w:r>
          </w:p>
        </w:tc>
      </w:tr>
      <w:tr w14:paraId="673B3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61E99F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Primary (≥4 valid days)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DEAF4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873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49DD7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437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798A3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829.3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3919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0.080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60FDD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1.04 (-0.21 to 2.29)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2F98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1.49 (-0.85 to 3.83)</w:t>
            </w:r>
          </w:p>
        </w:tc>
        <w:tc>
          <w:tcPr>
            <w:tcW w:w="192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87700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5"/>
              </w:rPr>
              <w:t>2.09 (-0.27 to 4.45)</w:t>
            </w:r>
          </w:p>
        </w:tc>
      </w:tr>
      <w:tr w14:paraId="40D29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7C9122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≥3 valid days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A6C58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889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56561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444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5B035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844.5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54584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0.122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441A8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1.12 (-0.12 to 2.36)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9F33B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1.24 (-1.07 to 3.54)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A7DE6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1.71 (-0.61 to 4.03)</w:t>
            </w:r>
          </w:p>
        </w:tc>
      </w:tr>
      <w:tr w14:paraId="5BB1D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5B91D1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Direct change-score model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6D9B3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873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39820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437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97F9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829.3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28593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0.193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B4168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0.66 (-0.60 to 1.92)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0F836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1.33 (-1.01 to 3.68)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B5DE4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2.04 (-0.37 to 4.45)</w:t>
            </w:r>
          </w:p>
        </w:tc>
      </w:tr>
      <w:tr w14:paraId="3ECAA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DCFC07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Leave out R11→R12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0B697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512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5A6CB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336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B2291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487.4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765C2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0.121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25C82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0.86 (-0.12 to 1.84)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F23ED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0.46 (-2.08 to 2.99)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39E11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2.88 (-0.26 to 6.03)</w:t>
            </w:r>
          </w:p>
        </w:tc>
      </w:tr>
      <w:tr w14:paraId="68859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D363AC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Leave out R12→R13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4CA59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601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D625C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412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310A41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570.3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AD59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0.399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2C341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1.04 (-0.69 to 2.77)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39BB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2.05 (-1.61 to 5.71)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0A959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0.95 (-1.32 to 3.21)</w:t>
            </w:r>
          </w:p>
        </w:tc>
      </w:tr>
      <w:tr w14:paraId="1FDB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629F1E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Leave out R13→R14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B2746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633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0E4BE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408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289B5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602.6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0A488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0.108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86A340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1.14 (-0.58 to 2.86)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C1D68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1.90 (-0.46 to 4.25)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1551E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2.59 (-0.80 to 5.99)</w:t>
            </w:r>
          </w:p>
        </w:tc>
      </w:tr>
      <w:tr w14:paraId="5D7A7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38C6ED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Geographic varunit cluster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2765E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873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F5D79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437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4752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829.3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A8A62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0.099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9A53D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1.04 (-0.20 to 2.29)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FB40A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1.49 (-0.92 to 3.90)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9868E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2.09 (-0.51 to 4.69)</w:t>
            </w:r>
          </w:p>
        </w:tc>
      </w:tr>
      <w:tr w14:paraId="593F2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45C79B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Add race/ethnicity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1C09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854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4F6A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428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8434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811.8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28D3D3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0.066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8D3F6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1.08 (-0.17 to 2.33)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310F1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1.54 (-0.84 to 3.93)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DD5FC8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2.17 (-0.20 to 4.54)</w:t>
            </w:r>
          </w:p>
        </w:tc>
      </w:tr>
      <w:tr w14:paraId="1D0C9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C4FB87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Add log income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3D152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675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74855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363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9DD70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642.5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0B65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0.055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96E155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1.10 (-0.43 to 2.63)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3B47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1.32 (-0.85 to 3.48)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CF5E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2.57 (0.34 to 4.80)</w:t>
            </w:r>
          </w:p>
        </w:tc>
      </w:tr>
      <w:tr w14:paraId="770C0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B51929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Add race/ethnicity and log income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162EDC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665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AD53F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358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52901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632.7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CD76F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0.068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CF9C6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1.03 (-0.50 to 2.56)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A4939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1.09 (-1.03 to 3.22)</w:t>
            </w:r>
          </w:p>
        </w:tc>
        <w:tc>
          <w:tcPr>
            <w:tcW w:w="192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A5528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5"/>
              </w:rPr>
              <w:t>2.56 (0.33 to 4.78)</w:t>
            </w:r>
          </w:p>
        </w:tc>
      </w:tr>
    </w:tbl>
    <w:p w14:paraId="669EFD51">
      <w:r>
        <w:rPr>
          <w:color w:val="000000"/>
          <w:sz w:val="17"/>
        </w:rPr>
        <w:t>Notes: Estimates are percentage-point differences in active-to-sedentary transition probability with 95% confidence intervals. The direction of the both-versus-stable contrast remained positive, but none of the sensitivity-model global transition tests reached P &lt; 0.05; pairwise significance in isolated models should therefore not be overinterpreted.</w:t>
      </w:r>
    </w:p>
    <w:p w14:paraId="3E59B66D">
      <w:r>
        <w:rPr>
          <w:color w:val="000000"/>
        </w:rPr>
        <w:br w:type="page"/>
      </w:r>
    </w:p>
    <w:p w14:paraId="311820B4">
      <w:pPr>
        <w:keepNext/>
      </w:pPr>
      <w:r>
        <w:rPr>
          <w:b/>
          <w:color w:val="000000"/>
          <w:sz w:val="20"/>
        </w:rPr>
        <w:t>Supplementary Table S5. Activity-restriction analysis within concern-only transitions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5"/>
        <w:gridCol w:w="3709"/>
        <w:gridCol w:w="3297"/>
        <w:gridCol w:w="4622"/>
        <w:gridCol w:w="715"/>
      </w:tblGrid>
      <w:tr w14:paraId="55C4F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9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E205F7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Outcome</w:t>
            </w:r>
          </w:p>
        </w:tc>
        <w:tc>
          <w:tcPr>
            <w:tcW w:w="370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35623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No restriction support</w:t>
            </w:r>
          </w:p>
        </w:tc>
        <w:tc>
          <w:tcPr>
            <w:tcW w:w="329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2F048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Restriction support</w:t>
            </w:r>
          </w:p>
        </w:tc>
        <w:tc>
          <w:tcPr>
            <w:tcW w:w="462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A860E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Restriction vs no restriction, estimate (95% CI)</w:t>
            </w:r>
          </w:p>
        </w:tc>
        <w:tc>
          <w:tcPr>
            <w:tcW w:w="71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A90EC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</w:rPr>
            </w:pPr>
            <w:r>
              <w:rPr>
                <w:rFonts w:hint="default" w:ascii="Arial" w:hAnsi="Arial" w:eastAsia="Arial" w:cs="Times New Roman"/>
                <w:b w:val="0"/>
                <w:bCs/>
                <w:color w:val="000000"/>
                <w:sz w:val="16"/>
              </w:rPr>
              <w:t>P</w:t>
            </w:r>
          </w:p>
        </w:tc>
      </w:tr>
      <w:tr w14:paraId="11610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D42C4C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Activity volume, % difference</w:t>
            </w:r>
          </w:p>
        </w:tc>
        <w:tc>
          <w:tcPr>
            <w:tcW w:w="3709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8340E6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111 intervals; 109 participants; Kish N=104.2</w:t>
            </w:r>
          </w:p>
        </w:tc>
        <w:tc>
          <w:tcPr>
            <w:tcW w:w="3297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A5520D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29 intervals; 28 participants; Kish N=27.4</w:t>
            </w:r>
          </w:p>
        </w:tc>
        <w:tc>
          <w:tcPr>
            <w:tcW w:w="4622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46F80B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-5.98 (-14.09 to 2.89)</w:t>
            </w:r>
          </w:p>
        </w:tc>
        <w:tc>
          <w:tcPr>
            <w:tcW w:w="715" w:type="dxa"/>
            <w:tcBorders>
              <w:top w:val="single" w:color="auto" w:sz="4" w:space="0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0060E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0.177</w:t>
            </w:r>
          </w:p>
        </w:tc>
      </w:tr>
      <w:tr w14:paraId="331ED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26B8C5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Activity fragmentation, pp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EA44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111 intervals; 109 participants; Kish N=104.2</w:t>
            </w:r>
          </w:p>
        </w:tc>
        <w:tc>
          <w:tcPr>
            <w:tcW w:w="3297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639C57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29 intervals; 28 participants; Kish N=27.4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ADDD4A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1.37 (-0.95 to 3.69)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0BE1E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0.243</w:t>
            </w:r>
          </w:p>
        </w:tc>
      </w:tr>
      <w:tr w14:paraId="01A81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EC5D1A">
            <w:pPr>
              <w:shd w:val="clear"/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Active minutes/day</w:t>
            </w:r>
          </w:p>
        </w:tc>
        <w:tc>
          <w:tcPr>
            <w:tcW w:w="3709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7A96D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111 intervals; 109 participants; Kish N=104.2</w:t>
            </w:r>
          </w:p>
        </w:tc>
        <w:tc>
          <w:tcPr>
            <w:tcW w:w="3297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F7AF1E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29 intervals; 28 participants; Kish N=27.4</w:t>
            </w:r>
          </w:p>
        </w:tc>
        <w:tc>
          <w:tcPr>
            <w:tcW w:w="4622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D70C74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-16.69 (-46.37 to 12.98)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nil"/>
              <w:insideH w:val="single" w:sz="6" w:space="0"/>
              <w:insideV w:val="single" w:sz="6" w:space="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8113FF">
            <w:pPr>
              <w:shd w:val="clear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0.266</w:t>
            </w:r>
          </w:p>
        </w:tc>
      </w:tr>
    </w:tbl>
    <w:p w14:paraId="10114204">
      <w:r>
        <w:rPr>
          <w:color w:val="000000"/>
          <w:sz w:val="17"/>
        </w:rPr>
        <w:t>Notes: The analysis is restricted to concern-only transitions. Estimates compare participants reporting concern-related activity restriction with those reporting concern without restriction.</w:t>
      </w:r>
    </w:p>
    <w:p w14:paraId="37CA4FAB">
      <w:r>
        <w:rPr>
          <w:color w:val="000000"/>
        </w:rPr>
        <w:br w:type="page"/>
      </w:r>
    </w:p>
    <w:p w14:paraId="397343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</w:pPr>
      <w:r>
        <w:rPr>
          <w:rFonts w:ascii="Arial" w:hAnsi="Arial"/>
          <w:b/>
          <w:color w:val="000000"/>
          <w:sz w:val="18"/>
        </w:rPr>
        <w:t>Supplementary Table S6. Baseline covariate distributions and missingness in the paired-accelerometry risk set before complete-case restriction</w:t>
      </w:r>
    </w:p>
    <w:p w14:paraId="259EDB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</w:pPr>
      <w:r>
        <w:rPr>
          <w:rFonts w:ascii="Arial" w:hAnsi="Arial"/>
          <w:b/>
          <w:color w:val="000000"/>
          <w:sz w:val="18"/>
        </w:rPr>
        <w:t>A. Baseline covariate distributions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5"/>
        <w:gridCol w:w="2750"/>
        <w:gridCol w:w="2369"/>
        <w:gridCol w:w="3028"/>
        <w:gridCol w:w="3028"/>
      </w:tblGrid>
      <w:tr w14:paraId="695B4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E059EFC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Characteristic</w:t>
            </w:r>
          </w:p>
        </w:tc>
        <w:tc>
          <w:tcPr>
            <w:tcW w:w="275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5866A94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Stable neither</w:t>
            </w:r>
            <w:r>
              <w:rPr>
                <w:rFonts w:hint="eastAsia" w:ascii="Arial" w:hAnsi="Arial" w:eastAsia="Arial" w:cs="Times New Roman"/>
                <w:b w:val="0"/>
                <w:color w:val="000000"/>
                <w:sz w:val="16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(n=725)</w:t>
            </w:r>
          </w:p>
        </w:tc>
        <w:tc>
          <w:tcPr>
            <w:tcW w:w="236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CC7CA47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Concern only</w:t>
            </w:r>
            <w:r>
              <w:rPr>
                <w:rFonts w:hint="eastAsia" w:ascii="Arial" w:hAnsi="Arial" w:eastAsia="Arial" w:cs="Times New Roman"/>
                <w:b w:val="0"/>
                <w:color w:val="000000"/>
                <w:sz w:val="16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(n=153)</w:t>
            </w:r>
          </w:p>
        </w:tc>
        <w:tc>
          <w:tcPr>
            <w:tcW w:w="302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3C0F608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Fall only</w:t>
            </w:r>
            <w:r>
              <w:rPr>
                <w:rFonts w:hint="eastAsia" w:ascii="Arial" w:hAnsi="Arial" w:eastAsia="Arial" w:cs="Times New Roman"/>
                <w:b w:val="0"/>
                <w:color w:val="000000"/>
                <w:sz w:val="16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(n=40)</w:t>
            </w:r>
          </w:p>
        </w:tc>
        <w:tc>
          <w:tcPr>
            <w:tcW w:w="302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1D13A8A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Both</w:t>
            </w:r>
            <w:r>
              <w:rPr>
                <w:rFonts w:hint="eastAsia" w:ascii="Arial" w:hAnsi="Arial" w:eastAsia="Arial" w:cs="Times New Roman"/>
                <w:b w:val="0"/>
                <w:color w:val="000000"/>
                <w:sz w:val="16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(n=27)</w:t>
            </w:r>
          </w:p>
        </w:tc>
      </w:tr>
      <w:tr w14:paraId="40B25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7FC2BE0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Age-category code, median [IQR]</w:t>
            </w:r>
          </w:p>
        </w:tc>
        <w:tc>
          <w:tcPr>
            <w:tcW w:w="275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E108A04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3 [3–4]</w:t>
            </w:r>
          </w:p>
        </w:tc>
        <w:tc>
          <w:tcPr>
            <w:tcW w:w="236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3BE116A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3 [3–5]</w:t>
            </w:r>
          </w:p>
        </w:tc>
        <w:tc>
          <w:tcPr>
            <w:tcW w:w="302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6D93F96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3 [2–4]</w:t>
            </w:r>
          </w:p>
        </w:tc>
        <w:tc>
          <w:tcPr>
            <w:tcW w:w="302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B147F3A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3 [3–4]</w:t>
            </w:r>
          </w:p>
        </w:tc>
      </w:tr>
      <w:tr w14:paraId="62418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</w:tcPr>
          <w:p w14:paraId="0D472EEC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Female, n (%)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</w:tcPr>
          <w:p w14:paraId="61142095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347 (47.9)</w:t>
            </w: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</w:tcPr>
          <w:p w14:paraId="71FA6689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81 (52.9)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71A1FC69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17 (42.5)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37449303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17 (63.0)</w:t>
            </w:r>
          </w:p>
        </w:tc>
      </w:tr>
      <w:tr w14:paraId="01AC4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</w:tcPr>
          <w:p w14:paraId="775DD6E3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Multimorbidity count, median [IQR]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</w:tcPr>
          <w:p w14:paraId="5BE860C6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2 [1–3]</w:t>
            </w: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</w:tcPr>
          <w:p w14:paraId="35BE6276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3 [2–4]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013082D7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2 [1.5–4]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1211EC8E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3 [3–4]</w:t>
            </w:r>
          </w:p>
        </w:tc>
      </w:tr>
      <w:tr w14:paraId="6D705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</w:tcPr>
          <w:p w14:paraId="2CAE17CE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Episodic memory score (0–20), median [IQR]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</w:tcPr>
          <w:p w14:paraId="05C4D140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10 [7–12]</w:t>
            </w: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</w:tcPr>
          <w:p w14:paraId="45248865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9 [7–11]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3DB5CB2C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9 [7–11]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3C5AF8E1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9 [7–12]</w:t>
            </w:r>
          </w:p>
        </w:tc>
      </w:tr>
      <w:tr w14:paraId="3FB25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</w:tcPr>
          <w:p w14:paraId="401652E2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PHQ-2 score (0–6), median [IQR]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</w:tcPr>
          <w:p w14:paraId="60419325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0 [0–1]</w:t>
            </w: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</w:tcPr>
          <w:p w14:paraId="08D5C88F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0 [0–1]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43B46475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0 [0–1]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5923DA2A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0 [0–2]</w:t>
            </w:r>
          </w:p>
        </w:tc>
      </w:tr>
      <w:tr w14:paraId="2A002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</w:tcPr>
          <w:p w14:paraId="0D7888E9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SPPB score (0–12), median [IQR]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</w:tcPr>
          <w:p w14:paraId="78780268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9 [6–10]</w:t>
            </w: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</w:tcPr>
          <w:p w14:paraId="45F21766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7 [4–9]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52E55A63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7 [5–10]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3EFF7CBA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7 [5–9]</w:t>
            </w:r>
          </w:p>
        </w:tc>
      </w:tr>
      <w:tr w14:paraId="298CF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6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57890BD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Prior-year fall, n (%)</w:t>
            </w:r>
          </w:p>
        </w:tc>
        <w:tc>
          <w:tcPr>
            <w:tcW w:w="275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C7DA101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139 (19.2)</w:t>
            </w:r>
          </w:p>
        </w:tc>
        <w:tc>
          <w:tcPr>
            <w:tcW w:w="236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527D033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33 (21.6)</w:t>
            </w:r>
          </w:p>
        </w:tc>
        <w:tc>
          <w:tcPr>
            <w:tcW w:w="302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73F83BD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19 (47.5)</w:t>
            </w:r>
          </w:p>
        </w:tc>
        <w:tc>
          <w:tcPr>
            <w:tcW w:w="302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66CFD89">
            <w:pPr>
              <w:shd w:val="clear"/>
              <w:spacing w:before="0" w:after="0" w:line="240" w:lineRule="auto"/>
              <w:jc w:val="center"/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</w:pPr>
            <w:r>
              <w:rPr>
                <w:rFonts w:hint="default" w:ascii="Arial" w:hAnsi="Arial" w:eastAsia="Arial" w:cs="Times New Roman"/>
                <w:b w:val="0"/>
                <w:color w:val="000000"/>
                <w:sz w:val="16"/>
              </w:rPr>
              <w:t>12 (44.4)</w:t>
            </w:r>
          </w:p>
        </w:tc>
      </w:tr>
    </w:tbl>
    <w:p w14:paraId="284F81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</w:pPr>
      <w:r>
        <w:rPr>
          <w:rFonts w:ascii="Arial" w:hAnsi="Arial"/>
          <w:b/>
          <w:color w:val="000000"/>
          <w:sz w:val="18"/>
        </w:rPr>
        <w:t>B. Missing covariate data, n (%)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4"/>
        <w:gridCol w:w="2230"/>
        <w:gridCol w:w="2200"/>
        <w:gridCol w:w="2038"/>
        <w:gridCol w:w="2523"/>
        <w:gridCol w:w="2523"/>
      </w:tblGrid>
      <w:tr w14:paraId="1AAE9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479912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b w:val="0"/>
                <w:bCs/>
              </w:rPr>
            </w:pP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Variable</w:t>
            </w:r>
          </w:p>
        </w:tc>
        <w:tc>
          <w:tcPr>
            <w:tcW w:w="22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6253A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b w:val="0"/>
                <w:bCs/>
              </w:rPr>
            </w:pP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Stable neither</w:t>
            </w:r>
            <w:r>
              <w:rPr>
                <w:rFonts w:hint="eastAsia" w:eastAsia="宋体"/>
                <w:b w:val="0"/>
                <w:bCs/>
                <w:color w:val="000000"/>
                <w:sz w:val="15"/>
                <w:lang w:val="en-US" w:eastAsia="zh-CN"/>
              </w:rPr>
              <w:t xml:space="preserve"> </w:t>
            </w: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(n=725)</w:t>
            </w:r>
          </w:p>
        </w:tc>
        <w:tc>
          <w:tcPr>
            <w:tcW w:w="220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CF95B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b w:val="0"/>
                <w:bCs/>
              </w:rPr>
            </w:pP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Concern only</w:t>
            </w:r>
            <w:r>
              <w:rPr>
                <w:rFonts w:hint="eastAsia" w:eastAsia="宋体"/>
                <w:b w:val="0"/>
                <w:bCs/>
                <w:color w:val="000000"/>
                <w:sz w:val="15"/>
                <w:lang w:val="en-US" w:eastAsia="zh-CN"/>
              </w:rPr>
              <w:t xml:space="preserve"> </w:t>
            </w: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(n=153)</w:t>
            </w:r>
          </w:p>
        </w:tc>
        <w:tc>
          <w:tcPr>
            <w:tcW w:w="203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13022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b w:val="0"/>
                <w:bCs/>
              </w:rPr>
            </w:pP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Fall only</w:t>
            </w:r>
            <w:r>
              <w:rPr>
                <w:rFonts w:hint="eastAsia" w:eastAsia="宋体"/>
                <w:b w:val="0"/>
                <w:bCs/>
                <w:color w:val="000000"/>
                <w:sz w:val="15"/>
                <w:lang w:val="en-US" w:eastAsia="zh-CN"/>
              </w:rPr>
              <w:t xml:space="preserve"> </w:t>
            </w: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(n=40)</w:t>
            </w:r>
          </w:p>
        </w:tc>
        <w:tc>
          <w:tcPr>
            <w:tcW w:w="252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6859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b w:val="0"/>
                <w:bCs/>
              </w:rPr>
            </w:pP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Both</w:t>
            </w:r>
            <w:r>
              <w:rPr>
                <w:rFonts w:hint="eastAsia" w:eastAsia="宋体"/>
                <w:b w:val="0"/>
                <w:bCs/>
                <w:color w:val="000000"/>
                <w:sz w:val="15"/>
                <w:lang w:val="en-US" w:eastAsia="zh-CN"/>
              </w:rPr>
              <w:t xml:space="preserve"> </w:t>
            </w: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(n=27)</w:t>
            </w:r>
          </w:p>
        </w:tc>
        <w:tc>
          <w:tcPr>
            <w:tcW w:w="252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DC9BF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b w:val="0"/>
                <w:bCs/>
              </w:rPr>
            </w:pP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Total</w:t>
            </w:r>
            <w:r>
              <w:rPr>
                <w:rFonts w:hint="eastAsia" w:eastAsia="宋体"/>
                <w:b w:val="0"/>
                <w:bCs/>
                <w:color w:val="000000"/>
                <w:sz w:val="15"/>
                <w:lang w:val="en-US" w:eastAsia="zh-CN"/>
              </w:rPr>
              <w:t xml:space="preserve"> </w:t>
            </w:r>
            <w:r>
              <w:rPr>
                <w:rFonts w:ascii="Arial" w:hAnsi="Arial"/>
                <w:b w:val="0"/>
                <w:bCs/>
                <w:color w:val="000000"/>
                <w:sz w:val="15"/>
              </w:rPr>
              <w:t>(n=945)</w:t>
            </w:r>
          </w:p>
        </w:tc>
      </w:tr>
      <w:tr w14:paraId="69F2F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76A3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Age category</w:t>
            </w:r>
          </w:p>
        </w:tc>
        <w:tc>
          <w:tcPr>
            <w:tcW w:w="223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C3684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20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940B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03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6D809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30264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8FC6D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</w:tr>
      <w:tr w14:paraId="61283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</w:tcPr>
          <w:p w14:paraId="263C79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Sex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08DB30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</w:tcPr>
          <w:p w14:paraId="555676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</w:tcPr>
          <w:p w14:paraId="1C506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2C6BF8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0157D1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</w:tr>
      <w:tr w14:paraId="1F957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</w:tcPr>
          <w:p w14:paraId="3BF4CD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Multimorbidity count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33CC77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3 (0.4)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</w:tcPr>
          <w:p w14:paraId="1B7BDD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 (0.7)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</w:tcPr>
          <w:p w14:paraId="42D4F3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230E35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551259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4 (0.4)</w:t>
            </w:r>
          </w:p>
        </w:tc>
      </w:tr>
      <w:tr w14:paraId="38CB8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</w:tcPr>
          <w:p w14:paraId="6B8FB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Episodic memory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5818FD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4 (0.6)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</w:tcPr>
          <w:p w14:paraId="0A642B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 (0.7)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</w:tcPr>
          <w:p w14:paraId="045647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228429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756818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5 (0.5)</w:t>
            </w:r>
          </w:p>
        </w:tc>
      </w:tr>
      <w:tr w14:paraId="7DE6D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</w:tcPr>
          <w:p w14:paraId="046A8B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PHQ-2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5032AA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 (0.1)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</w:tcPr>
          <w:p w14:paraId="11265E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</w:tcPr>
          <w:p w14:paraId="3E41B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473094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63182F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 (0.1)</w:t>
            </w:r>
          </w:p>
        </w:tc>
      </w:tr>
      <w:tr w14:paraId="544FD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</w:tcPr>
          <w:p w14:paraId="5D212C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SPPB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2F08B2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47 (6.5)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</w:tcPr>
          <w:p w14:paraId="0A7F91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12 (7.8)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</w:tcPr>
          <w:p w14:paraId="7538F5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4 (10.0)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16207E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6F3BE0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63 (6.7)</w:t>
            </w:r>
          </w:p>
        </w:tc>
      </w:tr>
      <w:tr w14:paraId="3EF1A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</w:tcPr>
          <w:p w14:paraId="0690C0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Prior-year fall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7FE334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 (0.1)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</w:tcPr>
          <w:p w14:paraId="2DDAD3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</w:tcPr>
          <w:p w14:paraId="6BB1E0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28FAE0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2C3042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 (0.1)</w:t>
            </w:r>
          </w:p>
        </w:tc>
      </w:tr>
      <w:tr w14:paraId="08E76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</w:tcPr>
          <w:p w14:paraId="6F6F31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Race/ethnicity (sensitivity analysis)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16FFFD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18 (2.5)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</w:tcPr>
          <w:p w14:paraId="709FEA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</w:tcPr>
          <w:p w14:paraId="76F408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 (2.5)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068B37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0 (0.0)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14:paraId="373724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19 (2.0)</w:t>
            </w:r>
          </w:p>
        </w:tc>
      </w:tr>
      <w:tr w14:paraId="46567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2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E06F0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Log household income (sensitivity analysis)</w:t>
            </w:r>
          </w:p>
        </w:tc>
        <w:tc>
          <w:tcPr>
            <w:tcW w:w="223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D6F7C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169 (23.3)</w:t>
            </w:r>
          </w:p>
        </w:tc>
        <w:tc>
          <w:tcPr>
            <w:tcW w:w="220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20DCB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38 (24.8)</w:t>
            </w:r>
          </w:p>
        </w:tc>
        <w:tc>
          <w:tcPr>
            <w:tcW w:w="203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08082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9 (22.5)</w:t>
            </w:r>
          </w:p>
        </w:tc>
        <w:tc>
          <w:tcPr>
            <w:tcW w:w="252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EE381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4 (14.8)</w:t>
            </w:r>
          </w:p>
        </w:tc>
        <w:tc>
          <w:tcPr>
            <w:tcW w:w="252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9BD9E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</w:pPr>
            <w:r>
              <w:rPr>
                <w:rFonts w:ascii="Arial" w:hAnsi="Arial"/>
                <w:color w:val="000000"/>
                <w:sz w:val="15"/>
              </w:rPr>
              <w:t>220 (23.3)</w:t>
            </w:r>
          </w:p>
        </w:tc>
      </w:tr>
    </w:tbl>
    <w:p w14:paraId="01A08D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</w:pPr>
      <w:r>
        <w:rPr>
          <w:rFonts w:ascii="Arial" w:hAnsi="Arial" w:eastAsia="Arial"/>
          <w:color w:val="000000"/>
          <w:sz w:val="16"/>
        </w:rPr>
        <w:t>Notes: Values describe the 945 person-intervals with paired wrist accelerometry (≥4 valid days at both endpoints) before complete-case restriction for the primary model. Continuous and ordinal variables are unweighted medians [interquartile ranges]; categorical percentages are calculated among observed values. Age-category codes are 1 = 65–69, 2 = 70–74, 3 = 75–79, 4 = 80–84, 5 = 85–89, and 6 = 90 years or older. Race/ethnicity and log household income were used only in sensitivity analyses. The final primary analytic sample comprised 873 person-intervals: 670 stable neither, 140 concern only, 36 fall only, and 27 both.</w:t>
      </w:r>
    </w:p>
    <w:sectPr>
      <w:pgSz w:w="16838" w:h="11906" w:orient="landscape"/>
      <w:pgMar w:top="850" w:right="850" w:bottom="850" w:left="85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13D1550"/>
    <w:rsid w:val="7E3A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unhideWhenUsed="0" w:uiPriority="63" w:semiHidden="0" w:name="Medium Shading 1"/>
    <w:lsdException w:qFormat="1"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qFormat="1"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qFormat="1"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unhideWhenUsed="0" w:uiPriority="64" w:semiHidden="0" w:name="Medium Shading 2 Accent 6"/>
    <w:lsdException w:qFormat="1"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Arial" w:cstheme="minorBidi"/>
      <w:color w:val="000000"/>
      <w:sz w:val="18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315</Words>
  <Characters>1708</Characters>
  <Lines>0</Lines>
  <Paragraphs>0</Paragraphs>
  <TotalTime>4</TotalTime>
  <ScaleCrop>false</ScaleCrop>
  <LinksUpToDate>false</LinksUpToDate>
  <CharactersWithSpaces>1944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王德金</dc:creator>
  <dc:description>generated by python-docx</dc:description>
  <cp:lastModifiedBy>王德金</cp:lastModifiedBy>
  <dcterms:modified xsi:type="dcterms:W3CDTF">2026-08-13T14:29:06Z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eyJoZGlkIjoiMjNlM2Q1MjE5YWE5MzNlN2MxZDNkZjJhODMyZDEwMjYiLCJ1c2VySWQiOiIyODU1MTQ0MDMifQ==</vt:lpwstr>
  </property>
  <property fmtid="{D5CDD505-2E9C-101B-9397-08002B2CF9AE}" pid="3" name="KSOProductBuildVer">
    <vt:lpwstr>2052-12.1.0.26895</vt:lpwstr>
  </property>
  <property fmtid="{D5CDD505-2E9C-101B-9397-08002B2CF9AE}" pid="4" name="ICV">
    <vt:lpwstr>0340418F58254383B47C994E9E3A81C2_12</vt:lpwstr>
  </property>
</Properties>
</file>