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04C9C" w14:textId="77777777" w:rsidR="00F11FE6" w:rsidRPr="00320F7C" w:rsidRDefault="00F11FE6" w:rsidP="00F11FE6">
      <w:pPr>
        <w:spacing w:line="360" w:lineRule="auto"/>
        <w:jc w:val="both"/>
        <w:rPr>
          <w:rFonts w:ascii="Times New Roman" w:hAnsi="Times New Roman" w:cs="Times New Roman"/>
          <w:b/>
          <w:color w:val="000000" w:themeColor="text1"/>
          <w:sz w:val="28"/>
          <w:szCs w:val="28"/>
        </w:rPr>
      </w:pPr>
      <w:r w:rsidRPr="00320F7C">
        <w:rPr>
          <w:rFonts w:ascii="Times New Roman" w:hAnsi="Times New Roman" w:cs="Times New Roman"/>
          <w:b/>
          <w:bCs/>
          <w:color w:val="000000" w:themeColor="text1"/>
          <w:sz w:val="28"/>
          <w:szCs w:val="28"/>
        </w:rPr>
        <w:t>Labor Pain Management Practices and Associated Factors among Licensed Obstetric Care Providers in Ethiopia: A Systematic Review and Meta-Analysis</w:t>
      </w:r>
    </w:p>
    <w:p w14:paraId="36A4B714" w14:textId="343C42D8" w:rsidR="00F11FE6" w:rsidRDefault="00F11FE6" w:rsidP="00111306">
      <w:pPr>
        <w:spacing w:line="360" w:lineRule="auto"/>
        <w:ind w:left="720"/>
        <w:jc w:val="both"/>
        <w:rPr>
          <w:rFonts w:ascii="Times New Roman" w:hAnsi="Times New Roman" w:cs="Times New Roman"/>
          <w:b/>
          <w:bCs/>
        </w:rPr>
      </w:pPr>
      <w:r w:rsidRPr="00BB18DB">
        <w:rPr>
          <w:rFonts w:ascii="Times New Roman" w:hAnsi="Times New Roman" w:cs="Times New Roman"/>
          <w:b/>
          <w:bCs/>
        </w:rPr>
        <w:t>Grading of Recommendations Assessment, Development and Evaluation (GRADE)</w:t>
      </w:r>
    </w:p>
    <w:p w14:paraId="3D08CE9A" w14:textId="16F3D4B9" w:rsidR="00B545FF" w:rsidRPr="00B545FF" w:rsidRDefault="00B545FF" w:rsidP="00B545FF">
      <w:pPr>
        <w:spacing w:line="360" w:lineRule="auto"/>
        <w:ind w:left="720"/>
        <w:jc w:val="both"/>
        <w:rPr>
          <w:rFonts w:ascii="Times New Roman" w:hAnsi="Times New Roman" w:cs="Times New Roman"/>
        </w:rPr>
      </w:pPr>
      <w:r w:rsidRPr="00B545FF">
        <w:rPr>
          <w:rFonts w:ascii="Times New Roman" w:hAnsi="Times New Roman" w:cs="Times New Roman"/>
        </w:rPr>
        <w:t>In this systematic review and meta-analysis, we applied the Grading of Recommendations Assessment, Development and Evaluation (GRADE) framework to assess the certainty of evidence for both prevalence estimates and associated factors related to labor pain management practices (LPMP) among licensed obstetric care providers (OCPs) in Ethiopia. The GRADE assessment was conducted separately for each type of LPMP</w:t>
      </w:r>
      <w:r>
        <w:rPr>
          <w:rFonts w:ascii="Times New Roman" w:hAnsi="Times New Roman" w:cs="Times New Roman"/>
        </w:rPr>
        <w:t xml:space="preserve">; </w:t>
      </w:r>
      <w:r w:rsidRPr="00B545FF">
        <w:rPr>
          <w:rFonts w:ascii="Times New Roman" w:hAnsi="Times New Roman" w:cs="Times New Roman"/>
        </w:rPr>
        <w:t>overall LPMP, pharmacological LPMP (P-LPMP), and non-pharmacological LPMP (N-PLPMP</w:t>
      </w:r>
      <w:r>
        <w:rPr>
          <w:rFonts w:ascii="Times New Roman" w:hAnsi="Times New Roman" w:cs="Times New Roman"/>
        </w:rPr>
        <w:t xml:space="preserve"> </w:t>
      </w:r>
      <w:r w:rsidRPr="00B545FF">
        <w:rPr>
          <w:rFonts w:ascii="Times New Roman" w:hAnsi="Times New Roman" w:cs="Times New Roman"/>
        </w:rPr>
        <w:t>o ensure outcome-specific judgments.</w:t>
      </w:r>
    </w:p>
    <w:p w14:paraId="15EAB673" w14:textId="77777777" w:rsidR="00B545FF" w:rsidRPr="00B545FF" w:rsidRDefault="00B545FF" w:rsidP="00B545FF">
      <w:pPr>
        <w:spacing w:line="360" w:lineRule="auto"/>
        <w:ind w:left="720"/>
        <w:jc w:val="both"/>
        <w:rPr>
          <w:rFonts w:ascii="Times New Roman" w:hAnsi="Times New Roman" w:cs="Times New Roman"/>
        </w:rPr>
      </w:pPr>
      <w:r w:rsidRPr="00B545FF">
        <w:rPr>
          <w:rFonts w:ascii="Times New Roman" w:hAnsi="Times New Roman" w:cs="Times New Roman"/>
        </w:rPr>
        <w:t>GRADE was applied after completing all data synthesis procedures, including:</w:t>
      </w:r>
    </w:p>
    <w:p w14:paraId="68661EB6"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Risk of bias assessment using JBI and modified NOS tools</w:t>
      </w:r>
    </w:p>
    <w:p w14:paraId="30B50A27"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Meta-analysis of pooled prevalence and odds ratios (ORs)</w:t>
      </w:r>
    </w:p>
    <w:p w14:paraId="2C53526F"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Evaluation of heterogeneity using the I² statistic</w:t>
      </w:r>
    </w:p>
    <w:p w14:paraId="138E451E"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Assessment of publication bias via funnel plots, Egger’s and Begg’s tests</w:t>
      </w:r>
    </w:p>
    <w:p w14:paraId="53FE4CBD"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Trim-and-fill analysis for adjusted estimates</w:t>
      </w:r>
    </w:p>
    <w:p w14:paraId="5DD2DB61" w14:textId="77777777"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Meta-regression, sensitivity, and subgroup analyses</w:t>
      </w:r>
    </w:p>
    <w:p w14:paraId="47347170" w14:textId="4B1D3BDA" w:rsid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 xml:space="preserve">Modeling of factors associated with the overall </w:t>
      </w:r>
      <w:r>
        <w:rPr>
          <w:rFonts w:ascii="Times New Roman" w:hAnsi="Times New Roman" w:cs="Times New Roman"/>
        </w:rPr>
        <w:t xml:space="preserve">LPMP </w:t>
      </w:r>
      <w:r w:rsidRPr="00B545FF">
        <w:rPr>
          <w:rFonts w:ascii="Times New Roman" w:hAnsi="Times New Roman" w:cs="Times New Roman"/>
        </w:rPr>
        <w:t xml:space="preserve">and the </w:t>
      </w:r>
      <w:r>
        <w:rPr>
          <w:rFonts w:ascii="Times New Roman" w:hAnsi="Times New Roman" w:cs="Times New Roman"/>
        </w:rPr>
        <w:t>N-P</w:t>
      </w:r>
      <w:r w:rsidRPr="00B545FF">
        <w:rPr>
          <w:rFonts w:ascii="Times New Roman" w:hAnsi="Times New Roman" w:cs="Times New Roman"/>
        </w:rPr>
        <w:t>LPMP</w:t>
      </w:r>
    </w:p>
    <w:p w14:paraId="432AB5D2" w14:textId="15B4768B" w:rsidR="00B545FF" w:rsidRPr="00B545FF" w:rsidRDefault="00B545FF" w:rsidP="00B545FF">
      <w:pPr>
        <w:numPr>
          <w:ilvl w:val="0"/>
          <w:numId w:val="23"/>
        </w:numPr>
        <w:spacing w:line="360" w:lineRule="auto"/>
        <w:jc w:val="both"/>
        <w:rPr>
          <w:rFonts w:ascii="Times New Roman" w:hAnsi="Times New Roman" w:cs="Times New Roman"/>
        </w:rPr>
      </w:pPr>
      <w:r w:rsidRPr="00B545FF">
        <w:rPr>
          <w:rFonts w:ascii="Times New Roman" w:hAnsi="Times New Roman" w:cs="Times New Roman"/>
        </w:rPr>
        <w:t>Certainty of evidence was judged across five GRADE domains:</w:t>
      </w:r>
    </w:p>
    <w:p w14:paraId="588E1945" w14:textId="14064A97" w:rsidR="00B545FF" w:rsidRPr="00B545FF" w:rsidRDefault="00B545FF" w:rsidP="00B545FF">
      <w:pPr>
        <w:numPr>
          <w:ilvl w:val="0"/>
          <w:numId w:val="24"/>
        </w:numPr>
        <w:spacing w:line="360" w:lineRule="auto"/>
        <w:jc w:val="both"/>
        <w:rPr>
          <w:rFonts w:ascii="Times New Roman" w:hAnsi="Times New Roman" w:cs="Times New Roman"/>
        </w:rPr>
      </w:pPr>
      <w:r w:rsidRPr="00B545FF">
        <w:rPr>
          <w:rFonts w:ascii="Times New Roman" w:hAnsi="Times New Roman" w:cs="Times New Roman"/>
        </w:rPr>
        <w:t>Risk of Bias</w:t>
      </w:r>
      <w:r>
        <w:rPr>
          <w:rFonts w:ascii="Times New Roman" w:hAnsi="Times New Roman" w:cs="Times New Roman"/>
        </w:rPr>
        <w:t xml:space="preserve">: </w:t>
      </w:r>
      <w:r w:rsidRPr="00B545FF">
        <w:rPr>
          <w:rFonts w:ascii="Times New Roman" w:hAnsi="Times New Roman" w:cs="Times New Roman"/>
        </w:rPr>
        <w:t>Downgraded when studies showed methodological limitations (e.g., poor sampling, unclear outcome measures).</w:t>
      </w:r>
    </w:p>
    <w:p w14:paraId="5E6C600E" w14:textId="16486A33" w:rsidR="00B545FF" w:rsidRPr="00B545FF" w:rsidRDefault="00B545FF" w:rsidP="00B545FF">
      <w:pPr>
        <w:numPr>
          <w:ilvl w:val="0"/>
          <w:numId w:val="24"/>
        </w:numPr>
        <w:spacing w:line="360" w:lineRule="auto"/>
        <w:jc w:val="both"/>
        <w:rPr>
          <w:rFonts w:ascii="Times New Roman" w:hAnsi="Times New Roman" w:cs="Times New Roman"/>
        </w:rPr>
      </w:pPr>
      <w:r w:rsidRPr="00B545FF">
        <w:rPr>
          <w:rFonts w:ascii="Times New Roman" w:hAnsi="Times New Roman" w:cs="Times New Roman"/>
        </w:rPr>
        <w:t>Inconsistency</w:t>
      </w:r>
      <w:r>
        <w:rPr>
          <w:rFonts w:ascii="Times New Roman" w:hAnsi="Times New Roman" w:cs="Times New Roman"/>
        </w:rPr>
        <w:t xml:space="preserve">: </w:t>
      </w:r>
      <w:r w:rsidRPr="00B545FF">
        <w:rPr>
          <w:rFonts w:ascii="Times New Roman" w:hAnsi="Times New Roman" w:cs="Times New Roman"/>
        </w:rPr>
        <w:t>Downgraded when substantial heterogeneity was observed (e.g., I² &gt; 75%) or when effect sizes varied widely across studies.</w:t>
      </w:r>
    </w:p>
    <w:p w14:paraId="7EADD9D1" w14:textId="41FA78AB" w:rsidR="00B545FF" w:rsidRPr="00B545FF" w:rsidRDefault="00B545FF" w:rsidP="00B545FF">
      <w:pPr>
        <w:numPr>
          <w:ilvl w:val="0"/>
          <w:numId w:val="24"/>
        </w:numPr>
        <w:spacing w:line="360" w:lineRule="auto"/>
        <w:jc w:val="both"/>
        <w:rPr>
          <w:rFonts w:ascii="Times New Roman" w:hAnsi="Times New Roman" w:cs="Times New Roman"/>
        </w:rPr>
      </w:pPr>
      <w:r w:rsidRPr="00B545FF">
        <w:rPr>
          <w:rFonts w:ascii="Times New Roman" w:hAnsi="Times New Roman" w:cs="Times New Roman"/>
        </w:rPr>
        <w:t>Indirectness</w:t>
      </w:r>
      <w:r>
        <w:rPr>
          <w:rFonts w:ascii="Times New Roman" w:hAnsi="Times New Roman" w:cs="Times New Roman"/>
        </w:rPr>
        <w:t xml:space="preserve">: </w:t>
      </w:r>
      <w:r w:rsidRPr="00B545FF">
        <w:rPr>
          <w:rFonts w:ascii="Times New Roman" w:hAnsi="Times New Roman" w:cs="Times New Roman"/>
        </w:rPr>
        <w:t>Downgraded when study populations, interventions, or outcomes did not fully align with the review question.</w:t>
      </w:r>
    </w:p>
    <w:p w14:paraId="6E8A13DE" w14:textId="0FD29571" w:rsidR="00B545FF" w:rsidRPr="00B545FF" w:rsidRDefault="00B545FF" w:rsidP="00B545FF">
      <w:pPr>
        <w:numPr>
          <w:ilvl w:val="0"/>
          <w:numId w:val="24"/>
        </w:numPr>
        <w:spacing w:line="360" w:lineRule="auto"/>
        <w:jc w:val="both"/>
        <w:rPr>
          <w:rFonts w:ascii="Times New Roman" w:hAnsi="Times New Roman" w:cs="Times New Roman"/>
        </w:rPr>
      </w:pPr>
      <w:r w:rsidRPr="00B545FF">
        <w:rPr>
          <w:rFonts w:ascii="Times New Roman" w:hAnsi="Times New Roman" w:cs="Times New Roman"/>
        </w:rPr>
        <w:lastRenderedPageBreak/>
        <w:t>Imprecision</w:t>
      </w:r>
      <w:r>
        <w:rPr>
          <w:rFonts w:ascii="Times New Roman" w:hAnsi="Times New Roman" w:cs="Times New Roman"/>
        </w:rPr>
        <w:t xml:space="preserve">: </w:t>
      </w:r>
      <w:r w:rsidRPr="00B545FF">
        <w:rPr>
          <w:rFonts w:ascii="Times New Roman" w:hAnsi="Times New Roman" w:cs="Times New Roman"/>
        </w:rPr>
        <w:t>Downgraded when pooled estimates had wide confidence intervals or were based on small sample sizes.</w:t>
      </w:r>
    </w:p>
    <w:p w14:paraId="58306FB5" w14:textId="2156C507" w:rsidR="00B545FF" w:rsidRDefault="00B545FF" w:rsidP="00B545FF">
      <w:pPr>
        <w:numPr>
          <w:ilvl w:val="0"/>
          <w:numId w:val="24"/>
        </w:numPr>
        <w:spacing w:line="360" w:lineRule="auto"/>
        <w:jc w:val="both"/>
        <w:rPr>
          <w:rFonts w:ascii="Times New Roman" w:hAnsi="Times New Roman" w:cs="Times New Roman"/>
        </w:rPr>
      </w:pPr>
      <w:r w:rsidRPr="00B545FF">
        <w:rPr>
          <w:rFonts w:ascii="Times New Roman" w:hAnsi="Times New Roman" w:cs="Times New Roman"/>
        </w:rPr>
        <w:t>Publication Bias</w:t>
      </w:r>
      <w:r>
        <w:rPr>
          <w:rFonts w:ascii="Times New Roman" w:hAnsi="Times New Roman" w:cs="Times New Roman"/>
        </w:rPr>
        <w:t xml:space="preserve">: </w:t>
      </w:r>
      <w:r w:rsidRPr="00B545FF">
        <w:rPr>
          <w:rFonts w:ascii="Times New Roman" w:hAnsi="Times New Roman" w:cs="Times New Roman"/>
        </w:rPr>
        <w:t>Downgraded when funnel plot asymmetry was evident or confirmed by statistical tests (e.g., Egger’s test), and when trim-and-fill analysis indicated missing studies.</w:t>
      </w:r>
    </w:p>
    <w:p w14:paraId="68E18E89" w14:textId="477C2711" w:rsidR="007E10BA" w:rsidRDefault="007E10BA" w:rsidP="007E10BA">
      <w:pPr>
        <w:spacing w:line="360" w:lineRule="auto"/>
        <w:ind w:left="360"/>
        <w:jc w:val="both"/>
        <w:rPr>
          <w:rFonts w:ascii="Times New Roman" w:hAnsi="Times New Roman" w:cs="Times New Roman"/>
        </w:rPr>
      </w:pPr>
      <w:r w:rsidRPr="007E10BA">
        <w:rPr>
          <w:rFonts w:ascii="Times New Roman" w:hAnsi="Times New Roman" w:cs="Times New Roman"/>
        </w:rPr>
        <w:t xml:space="preserve">In accordance with the GRADE framework, the certainty of evidence for specific outcomes was upgraded when findings demonstrated both consistency and precision across studies. Consistency was established when effect sizes were similar across included studies, with low heterogeneity (e.g., I² &lt; 40%) and no conflicting results. Precision was judged based on narrow </w:t>
      </w:r>
      <w:r>
        <w:rPr>
          <w:rFonts w:ascii="Times New Roman" w:hAnsi="Times New Roman" w:cs="Times New Roman"/>
        </w:rPr>
        <w:t>CI</w:t>
      </w:r>
      <w:r w:rsidRPr="007E10BA">
        <w:rPr>
          <w:rFonts w:ascii="Times New Roman" w:hAnsi="Times New Roman" w:cs="Times New Roman"/>
        </w:rPr>
        <w:t>, adequate sample sizes, and statistically significant pooled estimates that remained stable across sensitivity analyses</w:t>
      </w:r>
      <w:r>
        <w:rPr>
          <w:rFonts w:ascii="Times New Roman" w:hAnsi="Times New Roman" w:cs="Times New Roman"/>
        </w:rPr>
        <w:t>.</w:t>
      </w:r>
    </w:p>
    <w:p w14:paraId="665CAAEC" w14:textId="28E403D0" w:rsidR="00C94774" w:rsidRPr="00C94774" w:rsidRDefault="00C94774" w:rsidP="007E10BA">
      <w:pPr>
        <w:spacing w:line="360" w:lineRule="auto"/>
        <w:ind w:left="360"/>
        <w:jc w:val="both"/>
        <w:rPr>
          <w:rFonts w:ascii="Times New Roman" w:hAnsi="Times New Roman" w:cs="Times New Roman"/>
          <w:b/>
          <w:bCs/>
        </w:rPr>
      </w:pPr>
      <w:r w:rsidRPr="00C94774">
        <w:rPr>
          <w:rFonts w:ascii="Times New Roman" w:hAnsi="Times New Roman" w:cs="Times New Roman"/>
          <w:b/>
          <w:bCs/>
        </w:rPr>
        <w:t>Pooled prevalence outcome</w:t>
      </w:r>
    </w:p>
    <w:p w14:paraId="28E07D16" w14:textId="2A1C85F0" w:rsidR="00BB18DB" w:rsidRPr="00BB18DB" w:rsidRDefault="00BB18DB" w:rsidP="00BB18DB">
      <w:pPr>
        <w:pStyle w:val="ListParagraph"/>
        <w:numPr>
          <w:ilvl w:val="0"/>
          <w:numId w:val="16"/>
        </w:numPr>
        <w:spacing w:line="360" w:lineRule="auto"/>
        <w:jc w:val="both"/>
        <w:rPr>
          <w:rFonts w:ascii="Times New Roman" w:hAnsi="Times New Roman" w:cs="Times New Roman"/>
          <w:b/>
          <w:bCs/>
        </w:rPr>
      </w:pPr>
      <w:r w:rsidRPr="00BB18DB">
        <w:rPr>
          <w:rFonts w:ascii="Times New Roman" w:hAnsi="Times New Roman" w:cs="Times New Roman"/>
          <w:b/>
          <w:bCs/>
        </w:rPr>
        <w:t>Overall, Labor Pain Management Practices (LPMP)</w:t>
      </w:r>
    </w:p>
    <w:p w14:paraId="494FDA34" w14:textId="3361C1D1" w:rsidR="00F11FE6" w:rsidRPr="00BB18DB" w:rsidRDefault="00BB18DB" w:rsidP="00111306">
      <w:pPr>
        <w:spacing w:line="360" w:lineRule="auto"/>
        <w:ind w:left="720"/>
        <w:jc w:val="both"/>
        <w:rPr>
          <w:rFonts w:ascii="Times New Roman" w:hAnsi="Times New Roman" w:cs="Times New Roman"/>
        </w:rPr>
      </w:pPr>
      <w:r w:rsidRPr="00BB18DB">
        <w:rPr>
          <w:rFonts w:ascii="Times New Roman" w:hAnsi="Times New Roman" w:cs="Times New Roman"/>
        </w:rPr>
        <w:t xml:space="preserve">The </w:t>
      </w:r>
      <w:r w:rsidR="00F11FE6" w:rsidRPr="00BB18DB">
        <w:rPr>
          <w:rFonts w:ascii="Times New Roman" w:hAnsi="Times New Roman" w:cs="Times New Roman"/>
        </w:rPr>
        <w:t>Pooled prevalence: 46.93% (95% CI: 42.73–51.14) Heterogeneity: I² = 92.35% Publication bias: Egger’s test significant; trim-and-fill showed no change</w:t>
      </w:r>
      <w:r w:rsidRPr="00BB18DB">
        <w:rPr>
          <w:rFonts w:ascii="Times New Roman" w:hAnsi="Times New Roman" w:cs="Times New Roman"/>
        </w:rPr>
        <w:t>.</w:t>
      </w:r>
    </w:p>
    <w:p w14:paraId="2424E9C4" w14:textId="77777777" w:rsidR="00BB18DB" w:rsidRDefault="00BB18DB" w:rsidP="00BB18DB">
      <w:pPr>
        <w:spacing w:line="360" w:lineRule="auto"/>
        <w:ind w:left="720"/>
        <w:jc w:val="both"/>
        <w:rPr>
          <w:rFonts w:ascii="Times New Roman" w:hAnsi="Times New Roman" w:cs="Times New Roman"/>
        </w:rPr>
      </w:pPr>
      <w:r w:rsidRPr="00BB18DB">
        <w:rPr>
          <w:rFonts w:ascii="Times New Roman" w:hAnsi="Times New Roman" w:cs="Times New Roman"/>
          <w:b/>
          <w:bCs/>
        </w:rPr>
        <w:t>GRADE domains:</w:t>
      </w:r>
    </w:p>
    <w:p w14:paraId="15678873" w14:textId="11C351C4" w:rsidR="00BB18DB" w:rsidRPr="00BB18DB" w:rsidRDefault="00BB18DB" w:rsidP="00BB18DB">
      <w:pPr>
        <w:spacing w:line="360" w:lineRule="auto"/>
        <w:ind w:left="720"/>
        <w:jc w:val="both"/>
        <w:rPr>
          <w:rFonts w:ascii="Times New Roman" w:hAnsi="Times New Roman" w:cs="Times New Roman"/>
        </w:rPr>
      </w:pPr>
      <w:r w:rsidRPr="00BB18DB">
        <w:rPr>
          <w:rFonts w:ascii="Times New Roman" w:hAnsi="Times New Roman" w:cs="Times New Roman"/>
        </w:rPr>
        <w:t>Risk of Bias: Moderate</w:t>
      </w:r>
      <w:r>
        <w:rPr>
          <w:rFonts w:ascii="Times New Roman" w:hAnsi="Times New Roman" w:cs="Times New Roman"/>
        </w:rPr>
        <w:t xml:space="preserve">; </w:t>
      </w:r>
      <w:r w:rsidRPr="00BB18DB">
        <w:rPr>
          <w:rFonts w:ascii="Times New Roman" w:hAnsi="Times New Roman" w:cs="Times New Roman"/>
        </w:rPr>
        <w:t>JBI mostly low, but NOS shows 85% moderate RoB</w:t>
      </w:r>
    </w:p>
    <w:p w14:paraId="51FD74A1" w14:textId="068C2450" w:rsidR="00BB18DB" w:rsidRPr="00BB18DB" w:rsidRDefault="00BB18DB" w:rsidP="00BB18DB">
      <w:pPr>
        <w:spacing w:line="360" w:lineRule="auto"/>
        <w:ind w:left="720"/>
        <w:jc w:val="both"/>
        <w:rPr>
          <w:rFonts w:ascii="Times New Roman" w:hAnsi="Times New Roman" w:cs="Times New Roman"/>
        </w:rPr>
      </w:pPr>
      <w:r w:rsidRPr="00BB18DB">
        <w:rPr>
          <w:rFonts w:ascii="Times New Roman" w:hAnsi="Times New Roman" w:cs="Times New Roman"/>
        </w:rPr>
        <w:t>Inconsistency: Serious</w:t>
      </w:r>
      <w:r>
        <w:rPr>
          <w:rFonts w:ascii="Times New Roman" w:hAnsi="Times New Roman" w:cs="Times New Roman"/>
        </w:rPr>
        <w:t xml:space="preserve">; </w:t>
      </w:r>
      <w:r w:rsidRPr="00BB18DB">
        <w:rPr>
          <w:rFonts w:ascii="Times New Roman" w:hAnsi="Times New Roman" w:cs="Times New Roman"/>
        </w:rPr>
        <w:t>High heterogeneity (I² &gt; 90%)</w:t>
      </w:r>
    </w:p>
    <w:p w14:paraId="6C8C4F5F" w14:textId="2E3B51D6" w:rsidR="00BB18DB" w:rsidRPr="00BB18DB" w:rsidRDefault="00BB18DB" w:rsidP="00BB18DB">
      <w:pPr>
        <w:spacing w:line="360" w:lineRule="auto"/>
        <w:ind w:left="720"/>
        <w:jc w:val="both"/>
        <w:rPr>
          <w:rFonts w:ascii="Times New Roman" w:hAnsi="Times New Roman" w:cs="Times New Roman"/>
        </w:rPr>
      </w:pPr>
      <w:r w:rsidRPr="00BB18DB">
        <w:rPr>
          <w:rFonts w:ascii="Times New Roman" w:hAnsi="Times New Roman" w:cs="Times New Roman"/>
        </w:rPr>
        <w:t>Indirectness: Not serious</w:t>
      </w:r>
      <w:r>
        <w:rPr>
          <w:rFonts w:ascii="Times New Roman" w:hAnsi="Times New Roman" w:cs="Times New Roman"/>
        </w:rPr>
        <w:t xml:space="preserve">; </w:t>
      </w:r>
      <w:r w:rsidRPr="00BB18DB">
        <w:rPr>
          <w:rFonts w:ascii="Times New Roman" w:hAnsi="Times New Roman" w:cs="Times New Roman"/>
        </w:rPr>
        <w:t>All studies relevant to Ethiopian OCPs</w:t>
      </w:r>
    </w:p>
    <w:p w14:paraId="66BF2AF7" w14:textId="39425D44" w:rsidR="00BB18DB" w:rsidRPr="00BB18DB" w:rsidRDefault="00BB18DB" w:rsidP="00BB18DB">
      <w:pPr>
        <w:spacing w:line="360" w:lineRule="auto"/>
        <w:ind w:left="720"/>
        <w:jc w:val="both"/>
        <w:rPr>
          <w:rFonts w:ascii="Times New Roman" w:hAnsi="Times New Roman" w:cs="Times New Roman"/>
        </w:rPr>
      </w:pPr>
      <w:r w:rsidRPr="00BB18DB">
        <w:rPr>
          <w:rFonts w:ascii="Times New Roman" w:hAnsi="Times New Roman" w:cs="Times New Roman"/>
        </w:rPr>
        <w:t>Imprecision: Serious</w:t>
      </w:r>
      <w:r>
        <w:rPr>
          <w:rFonts w:ascii="Times New Roman" w:hAnsi="Times New Roman" w:cs="Times New Roman"/>
        </w:rPr>
        <w:t xml:space="preserve">; </w:t>
      </w:r>
      <w:r w:rsidRPr="00BB18DB">
        <w:rPr>
          <w:rFonts w:ascii="Times New Roman" w:hAnsi="Times New Roman" w:cs="Times New Roman"/>
        </w:rPr>
        <w:t>Wide CI and variability across regions</w:t>
      </w:r>
    </w:p>
    <w:p w14:paraId="57AF2548" w14:textId="77777777" w:rsidR="0053320F" w:rsidRDefault="00BB18DB" w:rsidP="0053320F">
      <w:pPr>
        <w:spacing w:line="360" w:lineRule="auto"/>
        <w:ind w:left="720"/>
        <w:jc w:val="both"/>
        <w:rPr>
          <w:rFonts w:ascii="Times New Roman" w:hAnsi="Times New Roman" w:cs="Times New Roman"/>
        </w:rPr>
      </w:pPr>
      <w:r w:rsidRPr="00BB18DB">
        <w:rPr>
          <w:rFonts w:ascii="Times New Roman" w:hAnsi="Times New Roman" w:cs="Times New Roman"/>
        </w:rPr>
        <w:t>Publication Bias: Possible</w:t>
      </w:r>
      <w:r>
        <w:rPr>
          <w:rFonts w:ascii="Times New Roman" w:hAnsi="Times New Roman" w:cs="Times New Roman"/>
        </w:rPr>
        <w:t xml:space="preserve">; </w:t>
      </w:r>
      <w:r w:rsidRPr="00BB18DB">
        <w:rPr>
          <w:rFonts w:ascii="Times New Roman" w:hAnsi="Times New Roman" w:cs="Times New Roman"/>
        </w:rPr>
        <w:t>Egger’s test significant, though trim-and-fill stable</w:t>
      </w:r>
    </w:p>
    <w:p w14:paraId="73E01D8E" w14:textId="63BA394A" w:rsidR="00BB18DB" w:rsidRPr="0053320F" w:rsidRDefault="00BB18DB" w:rsidP="0053320F">
      <w:pPr>
        <w:spacing w:line="360" w:lineRule="auto"/>
        <w:ind w:left="720"/>
        <w:jc w:val="both"/>
        <w:rPr>
          <w:rFonts w:ascii="Times New Roman" w:hAnsi="Times New Roman" w:cs="Times New Roman"/>
        </w:rPr>
      </w:pPr>
      <w:r w:rsidRPr="00BB18DB">
        <w:rPr>
          <w:rFonts w:ascii="Times New Roman" w:hAnsi="Times New Roman" w:cs="Times New Roman"/>
        </w:rPr>
        <w:t>Certainty rating: Low</w:t>
      </w:r>
      <w:r w:rsidR="00B42657">
        <w:rPr>
          <w:rFonts w:ascii="Times New Roman" w:hAnsi="Times New Roman" w:cs="Times New Roman"/>
        </w:rPr>
        <w:t xml:space="preserve">. </w:t>
      </w:r>
      <w:r w:rsidRPr="00BB18DB">
        <w:rPr>
          <w:rFonts w:ascii="Times New Roman" w:hAnsi="Times New Roman" w:cs="Times New Roman"/>
        </w:rPr>
        <w:t>Downgraded for: Risk of bias, inconsistency, imprecision</w:t>
      </w:r>
      <w:r>
        <w:rPr>
          <w:rFonts w:ascii="Times New Roman" w:hAnsi="Times New Roman" w:cs="Times New Roman"/>
        </w:rPr>
        <w:t xml:space="preserve">, and publication bias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a).</w:t>
      </w:r>
    </w:p>
    <w:p w14:paraId="13289D63" w14:textId="77777777" w:rsidR="00C01819" w:rsidRDefault="00C01819" w:rsidP="00C01819">
      <w:pPr>
        <w:pStyle w:val="ListParagraph"/>
        <w:numPr>
          <w:ilvl w:val="0"/>
          <w:numId w:val="16"/>
        </w:numPr>
        <w:spacing w:line="360" w:lineRule="auto"/>
        <w:jc w:val="both"/>
        <w:rPr>
          <w:rFonts w:ascii="Times New Roman" w:hAnsi="Times New Roman" w:cs="Times New Roman"/>
          <w:b/>
          <w:bCs/>
          <w:color w:val="000000" w:themeColor="text1"/>
        </w:rPr>
      </w:pPr>
      <w:r w:rsidRPr="00B42657">
        <w:rPr>
          <w:rFonts w:ascii="Times New Roman" w:hAnsi="Times New Roman" w:cs="Times New Roman"/>
          <w:b/>
          <w:bCs/>
          <w:color w:val="000000" w:themeColor="text1"/>
        </w:rPr>
        <w:t>Non-Pharmacological Labor Pain Management Practice (N-PLPMP)</w:t>
      </w:r>
    </w:p>
    <w:p w14:paraId="182A960A" w14:textId="77777777" w:rsidR="00C01819" w:rsidRDefault="00C01819" w:rsidP="00C01819">
      <w:pPr>
        <w:spacing w:line="360" w:lineRule="auto"/>
        <w:ind w:left="720"/>
        <w:jc w:val="both"/>
        <w:rPr>
          <w:rFonts w:ascii="Times New Roman" w:hAnsi="Times New Roman" w:cs="Times New Roman"/>
          <w:color w:val="000000" w:themeColor="text1"/>
        </w:rPr>
      </w:pPr>
      <w:r w:rsidRPr="00B42657">
        <w:rPr>
          <w:rFonts w:ascii="Times New Roman" w:hAnsi="Times New Roman" w:cs="Times New Roman"/>
          <w:color w:val="000000" w:themeColor="text1"/>
        </w:rPr>
        <w:t>Pooled prevalence: 42.82% (95% CI: 36.58–49.06) Heterogeneity: I² = 95.7% Publication bias: Egger’s and Begg’s tests not significant</w:t>
      </w:r>
    </w:p>
    <w:p w14:paraId="34CAC484" w14:textId="77777777" w:rsidR="00C01819" w:rsidRPr="00B42657" w:rsidRDefault="00C01819" w:rsidP="00C01819">
      <w:pPr>
        <w:spacing w:line="360" w:lineRule="auto"/>
        <w:ind w:left="720"/>
        <w:jc w:val="both"/>
        <w:rPr>
          <w:rFonts w:ascii="Times New Roman" w:hAnsi="Times New Roman" w:cs="Times New Roman"/>
          <w:color w:val="000000" w:themeColor="text1"/>
        </w:rPr>
      </w:pPr>
      <w:r w:rsidRPr="00B42657">
        <w:rPr>
          <w:rFonts w:ascii="Times New Roman" w:hAnsi="Times New Roman" w:cs="Times New Roman"/>
          <w:color w:val="000000" w:themeColor="text1"/>
        </w:rPr>
        <w:lastRenderedPageBreak/>
        <w:t>GRADE domains:</w:t>
      </w:r>
    </w:p>
    <w:p w14:paraId="61E1CF59"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Risk of Bias: Moderate</w:t>
      </w:r>
      <w:r>
        <w:rPr>
          <w:rFonts w:ascii="Times New Roman" w:hAnsi="Times New Roman" w:cs="Times New Roman"/>
          <w:color w:val="000000" w:themeColor="text1"/>
        </w:rPr>
        <w:t>;</w:t>
      </w:r>
      <w:r w:rsidRPr="00B42657">
        <w:rPr>
          <w:rFonts w:ascii="Times New Roman" w:hAnsi="Times New Roman" w:cs="Times New Roman"/>
          <w:color w:val="000000" w:themeColor="text1"/>
        </w:rPr>
        <w:t xml:space="preserve"> JBI mostly low, but NOS shows </w:t>
      </w:r>
      <w:r>
        <w:rPr>
          <w:rFonts w:ascii="Times New Roman" w:hAnsi="Times New Roman" w:cs="Times New Roman"/>
          <w:color w:val="000000" w:themeColor="text1"/>
        </w:rPr>
        <w:t xml:space="preserve">majority </w:t>
      </w:r>
      <w:r w:rsidRPr="00B42657">
        <w:rPr>
          <w:rFonts w:ascii="Times New Roman" w:hAnsi="Times New Roman" w:cs="Times New Roman"/>
          <w:color w:val="000000" w:themeColor="text1"/>
        </w:rPr>
        <w:t>moderate RoB</w:t>
      </w:r>
      <w:r>
        <w:rPr>
          <w:rFonts w:ascii="Times New Roman" w:hAnsi="Times New Roman" w:cs="Times New Roman"/>
          <w:color w:val="000000" w:themeColor="text1"/>
        </w:rPr>
        <w:t xml:space="preserve"> </w:t>
      </w:r>
    </w:p>
    <w:p w14:paraId="2EDC698B"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Inconsistency: Serious</w:t>
      </w:r>
      <w:r>
        <w:rPr>
          <w:rFonts w:ascii="Times New Roman" w:hAnsi="Times New Roman" w:cs="Times New Roman"/>
          <w:color w:val="000000" w:themeColor="text1"/>
        </w:rPr>
        <w:t xml:space="preserve">; </w:t>
      </w:r>
      <w:r w:rsidRPr="00B42657">
        <w:rPr>
          <w:rFonts w:ascii="Times New Roman" w:hAnsi="Times New Roman" w:cs="Times New Roman"/>
          <w:color w:val="000000" w:themeColor="text1"/>
        </w:rPr>
        <w:t>Very high heterogeneity</w:t>
      </w:r>
    </w:p>
    <w:p w14:paraId="58C9B5AA"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Indirectness: Not serious</w:t>
      </w:r>
      <w:r>
        <w:rPr>
          <w:rFonts w:ascii="Times New Roman" w:hAnsi="Times New Roman" w:cs="Times New Roman"/>
          <w:color w:val="000000" w:themeColor="text1"/>
        </w:rPr>
        <w:t xml:space="preserve">; </w:t>
      </w:r>
      <w:r w:rsidRPr="00B42657">
        <w:rPr>
          <w:rFonts w:ascii="Times New Roman" w:hAnsi="Times New Roman" w:cs="Times New Roman"/>
          <w:color w:val="000000" w:themeColor="text1"/>
        </w:rPr>
        <w:t>Directly relevant population and context</w:t>
      </w:r>
    </w:p>
    <w:p w14:paraId="4D4B0F20"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Imprecision: Moderate</w:t>
      </w:r>
      <w:r>
        <w:rPr>
          <w:rFonts w:ascii="Times New Roman" w:hAnsi="Times New Roman" w:cs="Times New Roman"/>
          <w:color w:val="000000" w:themeColor="text1"/>
        </w:rPr>
        <w:t>;</w:t>
      </w:r>
      <w:r w:rsidRPr="00B42657">
        <w:rPr>
          <w:rFonts w:ascii="Times New Roman" w:hAnsi="Times New Roman" w:cs="Times New Roman"/>
          <w:color w:val="000000" w:themeColor="text1"/>
        </w:rPr>
        <w:t xml:space="preserve"> CI narrower than LPMP, but still variable</w:t>
      </w:r>
    </w:p>
    <w:p w14:paraId="53902CB2"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Publication Bias: Unlikely</w:t>
      </w:r>
      <w:r>
        <w:rPr>
          <w:rFonts w:ascii="Times New Roman" w:hAnsi="Times New Roman" w:cs="Times New Roman"/>
          <w:color w:val="000000" w:themeColor="text1"/>
        </w:rPr>
        <w:t xml:space="preserve">; </w:t>
      </w:r>
      <w:r w:rsidRPr="00B42657">
        <w:rPr>
          <w:rFonts w:ascii="Times New Roman" w:hAnsi="Times New Roman" w:cs="Times New Roman"/>
          <w:color w:val="000000" w:themeColor="text1"/>
        </w:rPr>
        <w:t>No significant small-study effects</w:t>
      </w:r>
    </w:p>
    <w:p w14:paraId="5D0F7BFC" w14:textId="02A7B587" w:rsidR="00C01819" w:rsidRPr="0053320F" w:rsidRDefault="00C01819" w:rsidP="0053320F">
      <w:pPr>
        <w:spacing w:line="360" w:lineRule="auto"/>
        <w:ind w:left="1080"/>
        <w:jc w:val="both"/>
        <w:rPr>
          <w:rFonts w:ascii="Times New Roman" w:hAnsi="Times New Roman" w:cs="Times New Roman"/>
          <w:color w:val="000000" w:themeColor="text1"/>
        </w:rPr>
      </w:pPr>
      <w:r w:rsidRPr="00B42657">
        <w:rPr>
          <w:rFonts w:ascii="Times New Roman" w:hAnsi="Times New Roman" w:cs="Times New Roman"/>
          <w:color w:val="000000" w:themeColor="text1"/>
        </w:rPr>
        <w:t>Certainty rating: Moderate</w:t>
      </w:r>
      <w:r>
        <w:rPr>
          <w:rFonts w:ascii="Times New Roman" w:hAnsi="Times New Roman" w:cs="Times New Roman"/>
          <w:color w:val="000000" w:themeColor="text1"/>
        </w:rPr>
        <w:t xml:space="preserve">; </w:t>
      </w:r>
      <w:r w:rsidRPr="00B42657">
        <w:rPr>
          <w:rFonts w:ascii="Times New Roman" w:hAnsi="Times New Roman" w:cs="Times New Roman"/>
          <w:color w:val="000000" w:themeColor="text1"/>
        </w:rPr>
        <w:t>Downgraded for: Risk of bias, inconsistency</w:t>
      </w:r>
      <w:r>
        <w:rPr>
          <w:rFonts w:ascii="Times New Roman" w:hAnsi="Times New Roman" w:cs="Times New Roman"/>
          <w:color w:val="000000" w:themeColor="text1"/>
        </w:rPr>
        <w:t xml:space="preserve">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a).</w:t>
      </w:r>
    </w:p>
    <w:p w14:paraId="36144BCA" w14:textId="77777777" w:rsidR="00C01819" w:rsidRDefault="00C01819" w:rsidP="00C01819">
      <w:pPr>
        <w:pStyle w:val="ListParagraph"/>
        <w:numPr>
          <w:ilvl w:val="0"/>
          <w:numId w:val="16"/>
        </w:numPr>
        <w:spacing w:line="360" w:lineRule="auto"/>
        <w:jc w:val="both"/>
        <w:rPr>
          <w:rFonts w:ascii="Times New Roman" w:hAnsi="Times New Roman" w:cs="Times New Roman"/>
          <w:b/>
          <w:bCs/>
          <w:color w:val="000000" w:themeColor="text1"/>
        </w:rPr>
      </w:pPr>
      <w:r w:rsidRPr="00315DC4">
        <w:rPr>
          <w:rFonts w:ascii="Times New Roman" w:hAnsi="Times New Roman" w:cs="Times New Roman"/>
          <w:b/>
          <w:bCs/>
          <w:color w:val="000000" w:themeColor="text1"/>
        </w:rPr>
        <w:t>Pharmacological Labor Pain Management Practice (P-LPMP)</w:t>
      </w:r>
    </w:p>
    <w:p w14:paraId="43AC44AC" w14:textId="77777777" w:rsidR="00C01819" w:rsidRPr="00C01819" w:rsidRDefault="00C01819" w:rsidP="00C01819">
      <w:pPr>
        <w:pStyle w:val="ListParagraph"/>
        <w:spacing w:line="360" w:lineRule="auto"/>
        <w:ind w:left="1080"/>
        <w:jc w:val="both"/>
        <w:rPr>
          <w:rFonts w:ascii="Times New Roman" w:hAnsi="Times New Roman" w:cs="Times New Roman"/>
          <w:color w:val="000000" w:themeColor="text1"/>
        </w:rPr>
      </w:pPr>
      <w:r w:rsidRPr="00C01819">
        <w:rPr>
          <w:rFonts w:ascii="Times New Roman" w:hAnsi="Times New Roman" w:cs="Times New Roman"/>
          <w:color w:val="000000" w:themeColor="text1"/>
        </w:rPr>
        <w:t>Pooled prevalence: 21.10% (95% CI: 12.46–29.74); adjusted to 15.17% after trim-and-fill Heterogeneity: I² = 98.3% Publication bias: Egger’s and Begg’s tests significant; trim-and-fill adjusted estimate downward</w:t>
      </w:r>
    </w:p>
    <w:p w14:paraId="42D34E7B" w14:textId="77777777" w:rsidR="00C01819" w:rsidRPr="00C01819" w:rsidRDefault="00C01819" w:rsidP="00C01819">
      <w:pPr>
        <w:pStyle w:val="ListParagraph"/>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GRADE domains:</w:t>
      </w:r>
    </w:p>
    <w:p w14:paraId="3F768FE9" w14:textId="77777777" w:rsidR="00C01819" w:rsidRPr="00B42657" w:rsidRDefault="00C01819" w:rsidP="00C01819">
      <w:pPr>
        <w:pStyle w:val="ListParagraph"/>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Risk of Bias: Moderate</w:t>
      </w:r>
      <w:r>
        <w:rPr>
          <w:rFonts w:ascii="Times New Roman" w:hAnsi="Times New Roman" w:cs="Times New Roman"/>
          <w:color w:val="000000" w:themeColor="text1"/>
        </w:rPr>
        <w:t xml:space="preserve">; </w:t>
      </w:r>
      <w:r w:rsidRPr="00B42657">
        <w:rPr>
          <w:rFonts w:ascii="Times New Roman" w:hAnsi="Times New Roman" w:cs="Times New Roman"/>
          <w:color w:val="000000" w:themeColor="text1"/>
        </w:rPr>
        <w:t xml:space="preserve">NOS shows </w:t>
      </w:r>
      <w:r>
        <w:rPr>
          <w:rFonts w:ascii="Times New Roman" w:hAnsi="Times New Roman" w:cs="Times New Roman"/>
          <w:color w:val="000000" w:themeColor="text1"/>
        </w:rPr>
        <w:t xml:space="preserve">majority </w:t>
      </w:r>
      <w:r w:rsidRPr="00B42657">
        <w:rPr>
          <w:rFonts w:ascii="Times New Roman" w:hAnsi="Times New Roman" w:cs="Times New Roman"/>
          <w:color w:val="000000" w:themeColor="text1"/>
        </w:rPr>
        <w:t>moderate RoB</w:t>
      </w:r>
      <w:r>
        <w:rPr>
          <w:rFonts w:ascii="Times New Roman" w:hAnsi="Times New Roman" w:cs="Times New Roman"/>
          <w:color w:val="000000" w:themeColor="text1"/>
        </w:rPr>
        <w:t xml:space="preserve"> </w:t>
      </w:r>
    </w:p>
    <w:p w14:paraId="427BC592" w14:textId="77777777" w:rsidR="00C01819" w:rsidRPr="00315DC4" w:rsidRDefault="00C01819" w:rsidP="00C01819">
      <w:pPr>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Inconsistency: Serious</w:t>
      </w:r>
      <w:r>
        <w:rPr>
          <w:rFonts w:ascii="Times New Roman" w:hAnsi="Times New Roman" w:cs="Times New Roman"/>
          <w:color w:val="000000" w:themeColor="text1"/>
        </w:rPr>
        <w:t xml:space="preserve">: </w:t>
      </w:r>
      <w:r w:rsidRPr="00315DC4">
        <w:rPr>
          <w:rFonts w:ascii="Times New Roman" w:hAnsi="Times New Roman" w:cs="Times New Roman"/>
          <w:color w:val="000000" w:themeColor="text1"/>
        </w:rPr>
        <w:t>Extremely high heterogeneity</w:t>
      </w:r>
    </w:p>
    <w:p w14:paraId="21574968" w14:textId="77777777" w:rsidR="00C01819" w:rsidRPr="00315DC4" w:rsidRDefault="00C01819" w:rsidP="00C01819">
      <w:pPr>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Indirectness: Not serious</w:t>
      </w:r>
      <w:r>
        <w:rPr>
          <w:rFonts w:ascii="Times New Roman" w:hAnsi="Times New Roman" w:cs="Times New Roman"/>
          <w:color w:val="000000" w:themeColor="text1"/>
        </w:rPr>
        <w:t xml:space="preserve">: </w:t>
      </w:r>
      <w:r w:rsidRPr="00315DC4">
        <w:rPr>
          <w:rFonts w:ascii="Times New Roman" w:hAnsi="Times New Roman" w:cs="Times New Roman"/>
          <w:color w:val="000000" w:themeColor="text1"/>
        </w:rPr>
        <w:t xml:space="preserve"> All studies relevant</w:t>
      </w:r>
    </w:p>
    <w:p w14:paraId="2CA7ECAE" w14:textId="77777777" w:rsidR="00C01819" w:rsidRPr="00315DC4" w:rsidRDefault="00C01819" w:rsidP="00C01819">
      <w:pPr>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Imprecision: Serious</w:t>
      </w:r>
      <w:r>
        <w:rPr>
          <w:rFonts w:ascii="Times New Roman" w:hAnsi="Times New Roman" w:cs="Times New Roman"/>
          <w:color w:val="000000" w:themeColor="text1"/>
        </w:rPr>
        <w:t xml:space="preserve">: </w:t>
      </w:r>
      <w:r w:rsidRPr="00315DC4">
        <w:rPr>
          <w:rFonts w:ascii="Times New Roman" w:hAnsi="Times New Roman" w:cs="Times New Roman"/>
          <w:color w:val="000000" w:themeColor="text1"/>
        </w:rPr>
        <w:t>Wide CI and substantial residual variance</w:t>
      </w:r>
    </w:p>
    <w:p w14:paraId="412F9724" w14:textId="77777777" w:rsidR="00C01819" w:rsidRDefault="00C01819" w:rsidP="00C01819">
      <w:pPr>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Publication Bias: Likely</w:t>
      </w:r>
      <w:r>
        <w:rPr>
          <w:rFonts w:ascii="Times New Roman" w:hAnsi="Times New Roman" w:cs="Times New Roman"/>
          <w:color w:val="000000" w:themeColor="text1"/>
        </w:rPr>
        <w:t xml:space="preserve">: </w:t>
      </w:r>
      <w:r w:rsidRPr="00315DC4">
        <w:rPr>
          <w:rFonts w:ascii="Times New Roman" w:hAnsi="Times New Roman" w:cs="Times New Roman"/>
          <w:color w:val="000000" w:themeColor="text1"/>
        </w:rPr>
        <w:t>Strong evidence from Egger and Begg tests</w:t>
      </w:r>
    </w:p>
    <w:p w14:paraId="6944E596" w14:textId="0FE92D33" w:rsidR="00C01819" w:rsidRPr="00C01819" w:rsidRDefault="00C01819" w:rsidP="00C01819">
      <w:pPr>
        <w:spacing w:line="360" w:lineRule="auto"/>
        <w:ind w:left="1080"/>
        <w:jc w:val="both"/>
        <w:rPr>
          <w:rFonts w:ascii="Times New Roman" w:hAnsi="Times New Roman" w:cs="Times New Roman"/>
          <w:color w:val="000000" w:themeColor="text1"/>
        </w:rPr>
      </w:pPr>
      <w:r w:rsidRPr="00315DC4">
        <w:rPr>
          <w:rFonts w:ascii="Times New Roman" w:hAnsi="Times New Roman" w:cs="Times New Roman"/>
          <w:color w:val="000000" w:themeColor="text1"/>
        </w:rPr>
        <w:t>Certainty rating: Low</w:t>
      </w:r>
      <w:r w:rsidRPr="00C01819">
        <w:rPr>
          <w:rFonts w:ascii="Times New Roman" w:hAnsi="Times New Roman" w:cs="Times New Roman"/>
          <w:color w:val="000000" w:themeColor="text1"/>
        </w:rPr>
        <w:t xml:space="preserve">. </w:t>
      </w:r>
      <w:r w:rsidRPr="00315DC4">
        <w:rPr>
          <w:rFonts w:ascii="Times New Roman" w:hAnsi="Times New Roman" w:cs="Times New Roman"/>
          <w:color w:val="000000" w:themeColor="text1"/>
        </w:rPr>
        <w:t>Downgraded for</w:t>
      </w:r>
      <w:r w:rsidRPr="00315DC4">
        <w:rPr>
          <w:rFonts w:ascii="Times New Roman" w:hAnsi="Times New Roman" w:cs="Times New Roman"/>
          <w:b/>
          <w:bCs/>
          <w:color w:val="000000" w:themeColor="text1"/>
        </w:rPr>
        <w:t>:</w:t>
      </w:r>
      <w:r w:rsidRPr="00315DC4">
        <w:rPr>
          <w:rFonts w:ascii="Times New Roman" w:hAnsi="Times New Roman" w:cs="Times New Roman"/>
          <w:color w:val="000000" w:themeColor="text1"/>
        </w:rPr>
        <w:t xml:space="preserve"> Risk of bias, inconsistency, imprecision, publication bias</w:t>
      </w:r>
      <w:r>
        <w:rPr>
          <w:rFonts w:ascii="Times New Roman" w:hAnsi="Times New Roman" w:cs="Times New Roman"/>
          <w:color w:val="000000" w:themeColor="text1"/>
        </w:rPr>
        <w:t xml:space="preserve">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a).</w:t>
      </w:r>
    </w:p>
    <w:p w14:paraId="3C44656C" w14:textId="76EBFE5F" w:rsidR="00111306" w:rsidRDefault="0053320F" w:rsidP="00111306">
      <w:pPr>
        <w:spacing w:line="360" w:lineRule="auto"/>
        <w:ind w:left="720"/>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Supplementary </w:t>
      </w:r>
      <w:r w:rsidR="00BB18DB" w:rsidRPr="00B42657">
        <w:rPr>
          <w:rFonts w:ascii="Times New Roman" w:hAnsi="Times New Roman" w:cs="Times New Roman"/>
          <w:b/>
          <w:bCs/>
          <w:color w:val="000000" w:themeColor="text1"/>
        </w:rPr>
        <w:t xml:space="preserve">Table </w:t>
      </w:r>
      <w:r w:rsidR="00CE4748">
        <w:rPr>
          <w:rFonts w:ascii="Times New Roman" w:hAnsi="Times New Roman" w:cs="Times New Roman"/>
          <w:b/>
          <w:bCs/>
          <w:color w:val="000000" w:themeColor="text1"/>
        </w:rPr>
        <w:t>8</w:t>
      </w:r>
      <w:r>
        <w:rPr>
          <w:rFonts w:ascii="Times New Roman" w:hAnsi="Times New Roman" w:cs="Times New Roman"/>
          <w:b/>
          <w:bCs/>
          <w:color w:val="000000" w:themeColor="text1"/>
        </w:rPr>
        <w:t>a</w:t>
      </w:r>
      <w:r w:rsidR="00BB18DB" w:rsidRPr="00B42657">
        <w:rPr>
          <w:rFonts w:ascii="Times New Roman" w:hAnsi="Times New Roman" w:cs="Times New Roman"/>
          <w:b/>
          <w:bCs/>
          <w:color w:val="000000" w:themeColor="text1"/>
        </w:rPr>
        <w:t>:</w:t>
      </w:r>
      <w:r w:rsidR="00BB18DB">
        <w:rPr>
          <w:rFonts w:ascii="Times New Roman" w:hAnsi="Times New Roman" w:cs="Times New Roman"/>
          <w:color w:val="000000" w:themeColor="text1"/>
        </w:rPr>
        <w:t xml:space="preserve"> </w:t>
      </w:r>
      <w:r w:rsidR="00111306" w:rsidRPr="00111306">
        <w:rPr>
          <w:rFonts w:ascii="Times New Roman" w:hAnsi="Times New Roman" w:cs="Times New Roman"/>
          <w:color w:val="000000" w:themeColor="text1"/>
        </w:rPr>
        <w:t>GRADE Summary Table – Prevalence Outcomes</w:t>
      </w:r>
    </w:p>
    <w:tbl>
      <w:tblPr>
        <w:tblStyle w:val="TableGrid"/>
        <w:tblW w:w="10260" w:type="dxa"/>
        <w:tblInd w:w="-545" w:type="dxa"/>
        <w:tblLook w:val="04A0" w:firstRow="1" w:lastRow="0" w:firstColumn="1" w:lastColumn="0" w:noHBand="0" w:noVBand="1"/>
      </w:tblPr>
      <w:tblGrid>
        <w:gridCol w:w="1907"/>
        <w:gridCol w:w="984"/>
        <w:gridCol w:w="1793"/>
        <w:gridCol w:w="698"/>
        <w:gridCol w:w="1278"/>
        <w:gridCol w:w="1292"/>
        <w:gridCol w:w="2308"/>
      </w:tblGrid>
      <w:tr w:rsidR="007E64DB" w:rsidRPr="00B42657" w14:paraId="7FACE2E8" w14:textId="77777777" w:rsidTr="000D1AE8">
        <w:trPr>
          <w:trHeight w:val="422"/>
        </w:trPr>
        <w:tc>
          <w:tcPr>
            <w:tcW w:w="1939" w:type="dxa"/>
            <w:vAlign w:val="center"/>
          </w:tcPr>
          <w:p w14:paraId="61C6A347" w14:textId="60E7558A"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Outcome</w:t>
            </w:r>
          </w:p>
        </w:tc>
        <w:tc>
          <w:tcPr>
            <w:tcW w:w="996" w:type="dxa"/>
            <w:vAlign w:val="center"/>
          </w:tcPr>
          <w:p w14:paraId="1C72D587" w14:textId="25C9770F"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No. of Studies</w:t>
            </w:r>
          </w:p>
        </w:tc>
        <w:tc>
          <w:tcPr>
            <w:tcW w:w="1894" w:type="dxa"/>
            <w:vAlign w:val="center"/>
          </w:tcPr>
          <w:p w14:paraId="7C7663BF" w14:textId="3CE951D1"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Pooled Estimate (95% CI)</w:t>
            </w:r>
          </w:p>
        </w:tc>
        <w:tc>
          <w:tcPr>
            <w:tcW w:w="712" w:type="dxa"/>
            <w:vAlign w:val="center"/>
          </w:tcPr>
          <w:p w14:paraId="64DD9011" w14:textId="5DF490D2"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I² (%)</w:t>
            </w:r>
          </w:p>
        </w:tc>
        <w:tc>
          <w:tcPr>
            <w:tcW w:w="1295" w:type="dxa"/>
            <w:vAlign w:val="center"/>
          </w:tcPr>
          <w:p w14:paraId="22ECDBC8" w14:textId="0A64B696"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Certainty (GRADE)</w:t>
            </w:r>
          </w:p>
        </w:tc>
        <w:tc>
          <w:tcPr>
            <w:tcW w:w="994" w:type="dxa"/>
          </w:tcPr>
          <w:p w14:paraId="762F1A4C" w14:textId="398D7004" w:rsidR="000D1AE8" w:rsidRPr="00111306" w:rsidRDefault="000D1AE8" w:rsidP="00111306">
            <w:pPr>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Publication bias</w:t>
            </w:r>
          </w:p>
        </w:tc>
        <w:tc>
          <w:tcPr>
            <w:tcW w:w="2430" w:type="dxa"/>
            <w:vAlign w:val="center"/>
          </w:tcPr>
          <w:p w14:paraId="73B847F1" w14:textId="37CD0E9F" w:rsidR="000D1AE8" w:rsidRPr="00B42657" w:rsidRDefault="007E64DB" w:rsidP="00C11978">
            <w:pPr>
              <w:rPr>
                <w:rFonts w:ascii="Times New Roman" w:hAnsi="Times New Roman" w:cs="Times New Roman"/>
                <w:color w:val="000000" w:themeColor="text1"/>
                <w:sz w:val="22"/>
                <w:szCs w:val="22"/>
              </w:rPr>
            </w:pPr>
            <w:r>
              <w:rPr>
                <w:rFonts w:ascii="Times New Roman" w:hAnsi="Times New Roman" w:cs="Times New Roman"/>
                <w:b/>
                <w:bCs/>
                <w:color w:val="000000" w:themeColor="text1"/>
                <w:sz w:val="22"/>
                <w:szCs w:val="22"/>
              </w:rPr>
              <w:t>Rational for d</w:t>
            </w:r>
            <w:r w:rsidR="000D1AE8" w:rsidRPr="00111306">
              <w:rPr>
                <w:rFonts w:ascii="Times New Roman" w:hAnsi="Times New Roman" w:cs="Times New Roman"/>
                <w:b/>
                <w:bCs/>
                <w:color w:val="000000" w:themeColor="text1"/>
                <w:sz w:val="22"/>
                <w:szCs w:val="22"/>
              </w:rPr>
              <w:t>owngrade</w:t>
            </w:r>
          </w:p>
        </w:tc>
      </w:tr>
      <w:tr w:rsidR="007E64DB" w:rsidRPr="00B42657" w14:paraId="5D2CE709" w14:textId="77777777" w:rsidTr="000D1AE8">
        <w:tc>
          <w:tcPr>
            <w:tcW w:w="1939" w:type="dxa"/>
            <w:vAlign w:val="center"/>
          </w:tcPr>
          <w:p w14:paraId="2689CFF3" w14:textId="0BE9FCC8"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Overall LPMP</w:t>
            </w:r>
          </w:p>
        </w:tc>
        <w:tc>
          <w:tcPr>
            <w:tcW w:w="996" w:type="dxa"/>
            <w:vAlign w:val="center"/>
          </w:tcPr>
          <w:p w14:paraId="0FFB65E3" w14:textId="2A934073"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20</w:t>
            </w:r>
          </w:p>
        </w:tc>
        <w:tc>
          <w:tcPr>
            <w:tcW w:w="1894" w:type="dxa"/>
            <w:vAlign w:val="center"/>
          </w:tcPr>
          <w:p w14:paraId="3A806951" w14:textId="6E82A869"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46.93% (42.73–51.14)</w:t>
            </w:r>
            <w:r w:rsidRPr="00B42657">
              <w:rPr>
                <w:rFonts w:ascii="Times New Roman" w:hAnsi="Times New Roman" w:cs="Times New Roman"/>
                <w:color w:val="000000" w:themeColor="text1"/>
                <w:sz w:val="22"/>
                <w:szCs w:val="22"/>
              </w:rPr>
              <w:t xml:space="preserve"> (no change when adjusted)</w:t>
            </w:r>
          </w:p>
        </w:tc>
        <w:tc>
          <w:tcPr>
            <w:tcW w:w="712" w:type="dxa"/>
            <w:vAlign w:val="center"/>
          </w:tcPr>
          <w:p w14:paraId="6B551693" w14:textId="4FC2A36F"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92.4</w:t>
            </w:r>
          </w:p>
        </w:tc>
        <w:tc>
          <w:tcPr>
            <w:tcW w:w="1295" w:type="dxa"/>
            <w:vAlign w:val="center"/>
          </w:tcPr>
          <w:p w14:paraId="3A4FF08D" w14:textId="7904AAC5"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Low</w:t>
            </w:r>
          </w:p>
        </w:tc>
        <w:tc>
          <w:tcPr>
            <w:tcW w:w="994" w:type="dxa"/>
          </w:tcPr>
          <w:p w14:paraId="06FBD45A" w14:textId="2CD70A66" w:rsidR="000D1AE8" w:rsidRPr="00111306" w:rsidRDefault="00E04B23" w:rsidP="00111306">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Yes </w:t>
            </w:r>
          </w:p>
        </w:tc>
        <w:tc>
          <w:tcPr>
            <w:tcW w:w="2430" w:type="dxa"/>
            <w:vAlign w:val="center"/>
          </w:tcPr>
          <w:p w14:paraId="27CC2179" w14:textId="0810C901"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Risk of bias, inconsistency, imprecision, publication bias</w:t>
            </w:r>
          </w:p>
        </w:tc>
      </w:tr>
      <w:tr w:rsidR="007E64DB" w:rsidRPr="00B42657" w14:paraId="73E4735D" w14:textId="77777777" w:rsidTr="000D1AE8">
        <w:tc>
          <w:tcPr>
            <w:tcW w:w="1939" w:type="dxa"/>
            <w:vAlign w:val="center"/>
          </w:tcPr>
          <w:p w14:paraId="1EA83A6F" w14:textId="3E8C1AE6"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Non-Pharmacological LPMP (N-PLPMP)</w:t>
            </w:r>
          </w:p>
        </w:tc>
        <w:tc>
          <w:tcPr>
            <w:tcW w:w="996" w:type="dxa"/>
            <w:vAlign w:val="center"/>
          </w:tcPr>
          <w:p w14:paraId="36D678F6" w14:textId="1FF0BB9A"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15</w:t>
            </w:r>
          </w:p>
        </w:tc>
        <w:tc>
          <w:tcPr>
            <w:tcW w:w="1894" w:type="dxa"/>
            <w:vAlign w:val="center"/>
          </w:tcPr>
          <w:p w14:paraId="5CEB3787" w14:textId="7159D8CF"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42.82% (36.58–49.06)</w:t>
            </w:r>
          </w:p>
        </w:tc>
        <w:tc>
          <w:tcPr>
            <w:tcW w:w="712" w:type="dxa"/>
            <w:vAlign w:val="center"/>
          </w:tcPr>
          <w:p w14:paraId="46BE1ECB" w14:textId="1EDF838C"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95.7</w:t>
            </w:r>
          </w:p>
        </w:tc>
        <w:tc>
          <w:tcPr>
            <w:tcW w:w="1295" w:type="dxa"/>
            <w:vAlign w:val="center"/>
          </w:tcPr>
          <w:p w14:paraId="06B0290B" w14:textId="7FC65F8E"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Moderate</w:t>
            </w:r>
          </w:p>
        </w:tc>
        <w:tc>
          <w:tcPr>
            <w:tcW w:w="994" w:type="dxa"/>
          </w:tcPr>
          <w:p w14:paraId="6C0255FD" w14:textId="25B58848" w:rsidR="000D1AE8" w:rsidRPr="00111306" w:rsidRDefault="000D1AE8" w:rsidP="00111306">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None </w:t>
            </w:r>
          </w:p>
        </w:tc>
        <w:tc>
          <w:tcPr>
            <w:tcW w:w="2430" w:type="dxa"/>
            <w:vAlign w:val="center"/>
          </w:tcPr>
          <w:p w14:paraId="2F232F90" w14:textId="060E41E3"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Inconsistency, imprecision</w:t>
            </w:r>
          </w:p>
        </w:tc>
      </w:tr>
      <w:tr w:rsidR="007E64DB" w:rsidRPr="00B42657" w14:paraId="4F920A91" w14:textId="77777777" w:rsidTr="000D1AE8">
        <w:tc>
          <w:tcPr>
            <w:tcW w:w="1939" w:type="dxa"/>
            <w:vAlign w:val="center"/>
          </w:tcPr>
          <w:p w14:paraId="1E2A9EA3" w14:textId="54D224C0"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lastRenderedPageBreak/>
              <w:t>Pharmacological LPMP (P-LPMP)</w:t>
            </w:r>
          </w:p>
        </w:tc>
        <w:tc>
          <w:tcPr>
            <w:tcW w:w="996" w:type="dxa"/>
            <w:vAlign w:val="center"/>
          </w:tcPr>
          <w:p w14:paraId="6414A3C3" w14:textId="1CD8AF9F"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11</w:t>
            </w:r>
          </w:p>
        </w:tc>
        <w:tc>
          <w:tcPr>
            <w:tcW w:w="1894" w:type="dxa"/>
            <w:vAlign w:val="center"/>
          </w:tcPr>
          <w:p w14:paraId="06DB53CC" w14:textId="3FD62062"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21.10% (12.46–29.74) → 15.17% (adjusted)</w:t>
            </w:r>
          </w:p>
        </w:tc>
        <w:tc>
          <w:tcPr>
            <w:tcW w:w="712" w:type="dxa"/>
            <w:vAlign w:val="center"/>
          </w:tcPr>
          <w:p w14:paraId="272A786D" w14:textId="14A51D3B"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98.3</w:t>
            </w:r>
          </w:p>
        </w:tc>
        <w:tc>
          <w:tcPr>
            <w:tcW w:w="1295" w:type="dxa"/>
            <w:vAlign w:val="center"/>
          </w:tcPr>
          <w:p w14:paraId="235AB3BC" w14:textId="1D5F1ACE" w:rsidR="000D1AE8" w:rsidRPr="00B42657" w:rsidRDefault="000D1AE8" w:rsidP="00111306">
            <w:pPr>
              <w:jc w:val="both"/>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Low</w:t>
            </w:r>
          </w:p>
        </w:tc>
        <w:tc>
          <w:tcPr>
            <w:tcW w:w="994" w:type="dxa"/>
          </w:tcPr>
          <w:p w14:paraId="7907F590" w14:textId="16D20E7A" w:rsidR="000D1AE8" w:rsidRPr="00111306" w:rsidRDefault="00E04B23" w:rsidP="00111306">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Yes </w:t>
            </w:r>
          </w:p>
        </w:tc>
        <w:tc>
          <w:tcPr>
            <w:tcW w:w="2430" w:type="dxa"/>
            <w:vAlign w:val="center"/>
          </w:tcPr>
          <w:p w14:paraId="69ADE75F" w14:textId="30A9B16A" w:rsidR="000D1AE8" w:rsidRPr="00B42657" w:rsidRDefault="000D1AE8" w:rsidP="00111306">
            <w:pPr>
              <w:rPr>
                <w:rFonts w:ascii="Times New Roman" w:hAnsi="Times New Roman" w:cs="Times New Roman"/>
                <w:color w:val="000000" w:themeColor="text1"/>
                <w:sz w:val="22"/>
                <w:szCs w:val="22"/>
              </w:rPr>
            </w:pPr>
            <w:r w:rsidRPr="00111306">
              <w:rPr>
                <w:rFonts w:ascii="Times New Roman" w:hAnsi="Times New Roman" w:cs="Times New Roman"/>
                <w:color w:val="000000" w:themeColor="text1"/>
                <w:sz w:val="22"/>
                <w:szCs w:val="22"/>
              </w:rPr>
              <w:t>Inconsistency, imprecision, publication bias</w:t>
            </w:r>
          </w:p>
        </w:tc>
      </w:tr>
    </w:tbl>
    <w:p w14:paraId="2C0DA708" w14:textId="77777777" w:rsidR="00C94774" w:rsidRDefault="00C94774" w:rsidP="00C94774">
      <w:pPr>
        <w:spacing w:line="360" w:lineRule="auto"/>
        <w:jc w:val="both"/>
        <w:rPr>
          <w:rFonts w:ascii="Times New Roman" w:hAnsi="Times New Roman" w:cs="Times New Roman"/>
          <w:b/>
          <w:bCs/>
          <w:color w:val="000000" w:themeColor="text1"/>
        </w:rPr>
      </w:pPr>
    </w:p>
    <w:p w14:paraId="6FBC4A79" w14:textId="4E72FAD5" w:rsidR="000D1AE8" w:rsidRPr="007E64DB" w:rsidRDefault="000D1AE8" w:rsidP="00C94774">
      <w:pPr>
        <w:spacing w:line="360" w:lineRule="auto"/>
        <w:jc w:val="both"/>
        <w:rPr>
          <w:rFonts w:ascii="Times New Roman" w:hAnsi="Times New Roman" w:cs="Times New Roman"/>
          <w:b/>
          <w:bCs/>
          <w:color w:val="000000" w:themeColor="text1"/>
        </w:rPr>
      </w:pPr>
      <w:r w:rsidRPr="007E64DB">
        <w:rPr>
          <w:rFonts w:ascii="Times New Roman" w:hAnsi="Times New Roman" w:cs="Times New Roman"/>
          <w:b/>
          <w:bCs/>
          <w:color w:val="000000" w:themeColor="text1"/>
        </w:rPr>
        <w:t>Associated factors</w:t>
      </w:r>
    </w:p>
    <w:p w14:paraId="3C8B20AB" w14:textId="151AAF6D" w:rsidR="007E64DB" w:rsidRPr="007E64DB" w:rsidRDefault="007E64DB" w:rsidP="007E64DB">
      <w:pPr>
        <w:pStyle w:val="ListParagraph"/>
        <w:numPr>
          <w:ilvl w:val="0"/>
          <w:numId w:val="20"/>
        </w:numPr>
        <w:spacing w:line="360" w:lineRule="auto"/>
        <w:jc w:val="both"/>
        <w:rPr>
          <w:rFonts w:ascii="Times New Roman" w:hAnsi="Times New Roman" w:cs="Times New Roman"/>
          <w:b/>
          <w:bCs/>
          <w:color w:val="000000" w:themeColor="text1"/>
        </w:rPr>
      </w:pPr>
      <w:r w:rsidRPr="007E64DB">
        <w:rPr>
          <w:rFonts w:ascii="Times New Roman" w:hAnsi="Times New Roman" w:cs="Times New Roman"/>
          <w:b/>
          <w:bCs/>
          <w:color w:val="000000" w:themeColor="text1"/>
        </w:rPr>
        <w:t>Factors associated with the overall LPMP</w:t>
      </w:r>
    </w:p>
    <w:p w14:paraId="16BCB757" w14:textId="39CAF43B" w:rsidR="007E64DB" w:rsidRPr="007E64DB" w:rsidRDefault="007E64DB" w:rsidP="007E64DB">
      <w:pPr>
        <w:tabs>
          <w:tab w:val="num" w:pos="1440"/>
        </w:tabs>
        <w:spacing w:line="360" w:lineRule="auto"/>
        <w:ind w:left="720"/>
        <w:jc w:val="both"/>
        <w:rPr>
          <w:rFonts w:ascii="Times New Roman" w:hAnsi="Times New Roman" w:cs="Times New Roman"/>
          <w:color w:val="000000" w:themeColor="text1"/>
        </w:rPr>
      </w:pPr>
      <w:r w:rsidRPr="007E64DB">
        <w:rPr>
          <w:rFonts w:ascii="Times New Roman" w:hAnsi="Times New Roman" w:cs="Times New Roman"/>
          <w:color w:val="000000" w:themeColor="text1"/>
        </w:rPr>
        <w:t>Upgrades were applied for large effect sizes (AOR &gt; 2.0) with consistency, and precision. Downgrades were applied for: Inconsistency (</w:t>
      </w:r>
      <w:r w:rsidR="00245B96" w:rsidRPr="000E00CA">
        <w:rPr>
          <w:rFonts w:ascii="Times New Roman" w:hAnsi="Times New Roman" w:cs="Times New Roman"/>
        </w:rPr>
        <w:t>substantial heterogeneity I² &gt; 75%)</w:t>
      </w:r>
      <w:r w:rsidRPr="007E64DB">
        <w:rPr>
          <w:rFonts w:ascii="Times New Roman" w:hAnsi="Times New Roman" w:cs="Times New Roman"/>
          <w:color w:val="000000" w:themeColor="text1"/>
        </w:rPr>
        <w:t xml:space="preserve">, and </w:t>
      </w:r>
      <w:r w:rsidR="007E10BA">
        <w:rPr>
          <w:rFonts w:ascii="Times New Roman" w:hAnsi="Times New Roman" w:cs="Times New Roman"/>
          <w:color w:val="000000" w:themeColor="text1"/>
        </w:rPr>
        <w:t>i</w:t>
      </w:r>
      <w:r w:rsidRPr="007E64DB">
        <w:rPr>
          <w:rFonts w:ascii="Times New Roman" w:hAnsi="Times New Roman" w:cs="Times New Roman"/>
          <w:color w:val="000000" w:themeColor="text1"/>
        </w:rPr>
        <w:t>mprecision (wide CIs or few studies). Publication bias was done only factors assessed by at least ten studies, and it was indicated a lack of strong evidences of publication bias based on the funnel plot and Egger’s test</w:t>
      </w:r>
      <w:r w:rsidR="00865FBB">
        <w:rPr>
          <w:rFonts w:ascii="Times New Roman" w:hAnsi="Times New Roman" w:cs="Times New Roman"/>
          <w:color w:val="000000" w:themeColor="text1"/>
        </w:rPr>
        <w:t xml:space="preserve">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b).</w:t>
      </w:r>
    </w:p>
    <w:p w14:paraId="77EC65B2" w14:textId="146681DC" w:rsidR="0091734B" w:rsidRPr="007E64DB" w:rsidRDefault="0053320F" w:rsidP="00111306">
      <w:pPr>
        <w:spacing w:line="360" w:lineRule="auto"/>
        <w:ind w:left="720"/>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Supplementary </w:t>
      </w:r>
      <w:r w:rsidRPr="00B42657">
        <w:rPr>
          <w:rFonts w:ascii="Times New Roman" w:hAnsi="Times New Roman" w:cs="Times New Roman"/>
          <w:b/>
          <w:bCs/>
          <w:color w:val="000000" w:themeColor="text1"/>
        </w:rPr>
        <w:t xml:space="preserve">Table </w:t>
      </w:r>
      <w:r w:rsidR="00CE4748">
        <w:rPr>
          <w:rFonts w:ascii="Times New Roman" w:hAnsi="Times New Roman" w:cs="Times New Roman"/>
          <w:b/>
          <w:bCs/>
          <w:color w:val="000000" w:themeColor="text1"/>
        </w:rPr>
        <w:t>8</w:t>
      </w:r>
      <w:r>
        <w:rPr>
          <w:rFonts w:ascii="Times New Roman" w:hAnsi="Times New Roman" w:cs="Times New Roman"/>
          <w:b/>
          <w:bCs/>
          <w:color w:val="000000" w:themeColor="text1"/>
        </w:rPr>
        <w:t>b</w:t>
      </w:r>
      <w:r w:rsidRPr="00B42657">
        <w:rPr>
          <w:rFonts w:ascii="Times New Roman" w:hAnsi="Times New Roman" w:cs="Times New Roman"/>
          <w:b/>
          <w:bCs/>
          <w:color w:val="000000" w:themeColor="text1"/>
        </w:rPr>
        <w:t>:</w:t>
      </w:r>
      <w:r w:rsidR="00B42657" w:rsidRPr="007E64DB">
        <w:rPr>
          <w:rFonts w:ascii="Times New Roman" w:hAnsi="Times New Roman" w:cs="Times New Roman"/>
          <w:color w:val="000000" w:themeColor="text1"/>
        </w:rPr>
        <w:t xml:space="preserve"> </w:t>
      </w:r>
      <w:r w:rsidR="0091734B" w:rsidRPr="007E64DB">
        <w:rPr>
          <w:rFonts w:ascii="Times New Roman" w:hAnsi="Times New Roman" w:cs="Times New Roman"/>
          <w:color w:val="000000" w:themeColor="text1"/>
        </w:rPr>
        <w:t>GRADE Summary Table – Associated Factors with Overall LPMP</w:t>
      </w:r>
    </w:p>
    <w:tbl>
      <w:tblPr>
        <w:tblStyle w:val="TableGrid"/>
        <w:tblW w:w="10170" w:type="dxa"/>
        <w:tblLayout w:type="fixed"/>
        <w:tblLook w:val="04A0" w:firstRow="1" w:lastRow="0" w:firstColumn="1" w:lastColumn="0" w:noHBand="0" w:noVBand="1"/>
      </w:tblPr>
      <w:tblGrid>
        <w:gridCol w:w="1582"/>
        <w:gridCol w:w="932"/>
        <w:gridCol w:w="1801"/>
        <w:gridCol w:w="900"/>
        <w:gridCol w:w="1350"/>
        <w:gridCol w:w="1170"/>
        <w:gridCol w:w="2435"/>
      </w:tblGrid>
      <w:tr w:rsidR="00D85CD6" w:rsidRPr="00D85CD6" w14:paraId="0C0F0D6D" w14:textId="77777777" w:rsidTr="00D85CD6">
        <w:trPr>
          <w:trHeight w:val="422"/>
        </w:trPr>
        <w:tc>
          <w:tcPr>
            <w:tcW w:w="1582" w:type="dxa"/>
            <w:vAlign w:val="center"/>
          </w:tcPr>
          <w:p w14:paraId="3AB16EE8" w14:textId="33BF3877"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b/>
                <w:bCs/>
                <w:sz w:val="22"/>
                <w:szCs w:val="22"/>
              </w:rPr>
              <w:t>Factor</w:t>
            </w:r>
          </w:p>
        </w:tc>
        <w:tc>
          <w:tcPr>
            <w:tcW w:w="932" w:type="dxa"/>
            <w:vAlign w:val="center"/>
          </w:tcPr>
          <w:p w14:paraId="43F89EC3" w14:textId="77777777" w:rsidR="00D378FB" w:rsidRPr="00D85CD6" w:rsidRDefault="00D378FB" w:rsidP="00D85CD6">
            <w:pPr>
              <w:rPr>
                <w:rFonts w:ascii="Times New Roman" w:hAnsi="Times New Roman" w:cs="Times New Roman"/>
                <w:sz w:val="22"/>
                <w:szCs w:val="22"/>
              </w:rPr>
            </w:pPr>
            <w:r w:rsidRPr="00111306">
              <w:rPr>
                <w:rFonts w:ascii="Times New Roman" w:hAnsi="Times New Roman" w:cs="Times New Roman"/>
                <w:b/>
                <w:bCs/>
                <w:sz w:val="22"/>
                <w:szCs w:val="22"/>
              </w:rPr>
              <w:t>No. of Studies</w:t>
            </w:r>
          </w:p>
        </w:tc>
        <w:tc>
          <w:tcPr>
            <w:tcW w:w="1801" w:type="dxa"/>
            <w:vAlign w:val="center"/>
          </w:tcPr>
          <w:p w14:paraId="33EF6892" w14:textId="2C12233D"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b/>
                <w:bCs/>
                <w:sz w:val="22"/>
                <w:szCs w:val="22"/>
              </w:rPr>
              <w:t>AOR (95% CI</w:t>
            </w:r>
          </w:p>
        </w:tc>
        <w:tc>
          <w:tcPr>
            <w:tcW w:w="900" w:type="dxa"/>
            <w:vAlign w:val="center"/>
          </w:tcPr>
          <w:p w14:paraId="028B78B1" w14:textId="77777777" w:rsidR="00D378FB" w:rsidRPr="00D85CD6" w:rsidRDefault="00D378FB" w:rsidP="00D85CD6">
            <w:pPr>
              <w:jc w:val="both"/>
              <w:rPr>
                <w:rFonts w:ascii="Times New Roman" w:hAnsi="Times New Roman" w:cs="Times New Roman"/>
                <w:sz w:val="22"/>
                <w:szCs w:val="22"/>
              </w:rPr>
            </w:pPr>
            <w:r w:rsidRPr="00111306">
              <w:rPr>
                <w:rFonts w:ascii="Times New Roman" w:hAnsi="Times New Roman" w:cs="Times New Roman"/>
                <w:b/>
                <w:bCs/>
                <w:sz w:val="22"/>
                <w:szCs w:val="22"/>
              </w:rPr>
              <w:t>I² (%)</w:t>
            </w:r>
          </w:p>
        </w:tc>
        <w:tc>
          <w:tcPr>
            <w:tcW w:w="1350" w:type="dxa"/>
          </w:tcPr>
          <w:p w14:paraId="258AB32C" w14:textId="667A0838" w:rsidR="00D378FB" w:rsidRPr="00D85CD6" w:rsidRDefault="00D378FB" w:rsidP="00D85CD6">
            <w:pPr>
              <w:jc w:val="both"/>
              <w:rPr>
                <w:rFonts w:ascii="Times New Roman" w:hAnsi="Times New Roman" w:cs="Times New Roman"/>
                <w:b/>
                <w:bCs/>
                <w:sz w:val="22"/>
                <w:szCs w:val="22"/>
              </w:rPr>
            </w:pPr>
            <w:r w:rsidRPr="00D85CD6">
              <w:rPr>
                <w:rFonts w:ascii="Times New Roman" w:hAnsi="Times New Roman" w:cs="Times New Roman"/>
                <w:b/>
                <w:bCs/>
                <w:sz w:val="22"/>
                <w:szCs w:val="22"/>
              </w:rPr>
              <w:t>Publication Bias</w:t>
            </w:r>
          </w:p>
        </w:tc>
        <w:tc>
          <w:tcPr>
            <w:tcW w:w="1170" w:type="dxa"/>
            <w:vAlign w:val="center"/>
          </w:tcPr>
          <w:p w14:paraId="3BA1D500" w14:textId="6D9C703D" w:rsidR="00D378FB" w:rsidRPr="00D85CD6" w:rsidRDefault="00D378FB" w:rsidP="00D85CD6">
            <w:pPr>
              <w:jc w:val="both"/>
              <w:rPr>
                <w:rFonts w:ascii="Times New Roman" w:hAnsi="Times New Roman" w:cs="Times New Roman"/>
                <w:sz w:val="22"/>
                <w:szCs w:val="22"/>
              </w:rPr>
            </w:pPr>
            <w:r w:rsidRPr="00111306">
              <w:rPr>
                <w:rFonts w:ascii="Times New Roman" w:hAnsi="Times New Roman" w:cs="Times New Roman"/>
                <w:b/>
                <w:bCs/>
                <w:sz w:val="22"/>
                <w:szCs w:val="22"/>
              </w:rPr>
              <w:t>Certainty (GRADE)</w:t>
            </w:r>
          </w:p>
        </w:tc>
        <w:tc>
          <w:tcPr>
            <w:tcW w:w="2435" w:type="dxa"/>
            <w:vAlign w:val="center"/>
          </w:tcPr>
          <w:p w14:paraId="4A752B68" w14:textId="5ECD1880" w:rsidR="00D378FB" w:rsidRPr="00D85CD6" w:rsidRDefault="00C11978" w:rsidP="00D85CD6">
            <w:pPr>
              <w:jc w:val="both"/>
              <w:rPr>
                <w:rFonts w:ascii="Times New Roman" w:hAnsi="Times New Roman" w:cs="Times New Roman"/>
                <w:sz w:val="22"/>
                <w:szCs w:val="22"/>
              </w:rPr>
            </w:pPr>
            <w:r w:rsidRPr="00D85CD6">
              <w:rPr>
                <w:rFonts w:ascii="Times New Roman" w:hAnsi="Times New Roman" w:cs="Times New Roman"/>
                <w:b/>
                <w:bCs/>
                <w:sz w:val="22"/>
                <w:szCs w:val="22"/>
              </w:rPr>
              <w:t>Rational for d</w:t>
            </w:r>
            <w:r w:rsidR="00D378FB" w:rsidRPr="00111306">
              <w:rPr>
                <w:rFonts w:ascii="Times New Roman" w:hAnsi="Times New Roman" w:cs="Times New Roman"/>
                <w:b/>
                <w:bCs/>
                <w:sz w:val="22"/>
                <w:szCs w:val="22"/>
              </w:rPr>
              <w:t>own</w:t>
            </w:r>
            <w:r w:rsidRPr="00D85CD6">
              <w:rPr>
                <w:rFonts w:ascii="Times New Roman" w:hAnsi="Times New Roman" w:cs="Times New Roman"/>
                <w:b/>
                <w:bCs/>
                <w:sz w:val="22"/>
                <w:szCs w:val="22"/>
              </w:rPr>
              <w:t xml:space="preserve"> or up</w:t>
            </w:r>
            <w:r w:rsidR="00D378FB" w:rsidRPr="00111306">
              <w:rPr>
                <w:rFonts w:ascii="Times New Roman" w:hAnsi="Times New Roman" w:cs="Times New Roman"/>
                <w:b/>
                <w:bCs/>
                <w:sz w:val="22"/>
                <w:szCs w:val="22"/>
              </w:rPr>
              <w:t xml:space="preserve">grade </w:t>
            </w:r>
          </w:p>
        </w:tc>
      </w:tr>
      <w:tr w:rsidR="00D85CD6" w:rsidRPr="00D85CD6" w14:paraId="1234A2AF" w14:textId="77777777" w:rsidTr="00D85CD6">
        <w:tc>
          <w:tcPr>
            <w:tcW w:w="1582" w:type="dxa"/>
            <w:vAlign w:val="center"/>
          </w:tcPr>
          <w:p w14:paraId="3882BD81" w14:textId="4D533929"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Knowledge of LPM</w:t>
            </w:r>
          </w:p>
        </w:tc>
        <w:tc>
          <w:tcPr>
            <w:tcW w:w="932" w:type="dxa"/>
            <w:vAlign w:val="center"/>
          </w:tcPr>
          <w:p w14:paraId="0AACCC77" w14:textId="742F8270"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10</w:t>
            </w:r>
          </w:p>
        </w:tc>
        <w:tc>
          <w:tcPr>
            <w:tcW w:w="1801" w:type="dxa"/>
            <w:vAlign w:val="center"/>
          </w:tcPr>
          <w:p w14:paraId="222CB977" w14:textId="26FB446A" w:rsidR="00D378FB" w:rsidRPr="00D85CD6" w:rsidRDefault="00D378FB" w:rsidP="00D85CD6">
            <w:pPr>
              <w:rPr>
                <w:rFonts w:ascii="Times New Roman" w:hAnsi="Times New Roman" w:cs="Times New Roman"/>
                <w:sz w:val="22"/>
                <w:szCs w:val="22"/>
              </w:rPr>
            </w:pPr>
            <w:r w:rsidRPr="0091734B">
              <w:rPr>
                <w:rFonts w:ascii="Times New Roman" w:hAnsi="Times New Roman" w:cs="Times New Roman"/>
                <w:sz w:val="22"/>
                <w:szCs w:val="22"/>
              </w:rPr>
              <w:t>2.98 (2.36–3.75)</w:t>
            </w:r>
          </w:p>
        </w:tc>
        <w:tc>
          <w:tcPr>
            <w:tcW w:w="900" w:type="dxa"/>
            <w:vAlign w:val="center"/>
          </w:tcPr>
          <w:p w14:paraId="28D3C19B" w14:textId="0BE43213"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36.9</w:t>
            </w:r>
          </w:p>
        </w:tc>
        <w:tc>
          <w:tcPr>
            <w:tcW w:w="1350" w:type="dxa"/>
          </w:tcPr>
          <w:p w14:paraId="3D27B555" w14:textId="2E451303" w:rsidR="00D378FB" w:rsidRPr="00D85CD6" w:rsidRDefault="00D378FB" w:rsidP="00D85CD6">
            <w:pPr>
              <w:jc w:val="both"/>
              <w:rPr>
                <w:rFonts w:ascii="Times New Roman" w:hAnsi="Times New Roman" w:cs="Times New Roman"/>
                <w:sz w:val="22"/>
                <w:szCs w:val="22"/>
              </w:rPr>
            </w:pPr>
            <w:r w:rsidRPr="00D85CD6">
              <w:rPr>
                <w:rFonts w:ascii="Times New Roman" w:hAnsi="Times New Roman" w:cs="Times New Roman"/>
                <w:sz w:val="22"/>
                <w:szCs w:val="22"/>
              </w:rPr>
              <w:t xml:space="preserve">None </w:t>
            </w:r>
          </w:p>
        </w:tc>
        <w:tc>
          <w:tcPr>
            <w:tcW w:w="1170" w:type="dxa"/>
            <w:vAlign w:val="center"/>
          </w:tcPr>
          <w:p w14:paraId="5EB713B3" w14:textId="55085EBF"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307BA34E" w14:textId="14BDFFB6" w:rsidR="00D378FB" w:rsidRPr="00D85CD6" w:rsidRDefault="00C11978" w:rsidP="00D85CD6">
            <w:pPr>
              <w:rPr>
                <w:rFonts w:ascii="Times New Roman" w:hAnsi="Times New Roman" w:cs="Times New Roman"/>
                <w:sz w:val="22"/>
                <w:szCs w:val="22"/>
              </w:rPr>
            </w:pPr>
            <w:r w:rsidRPr="00D85CD6">
              <w:rPr>
                <w:rFonts w:ascii="Times New Roman" w:hAnsi="Times New Roman" w:cs="Times New Roman"/>
                <w:sz w:val="22"/>
                <w:szCs w:val="22"/>
              </w:rPr>
              <w:t>U</w:t>
            </w:r>
            <w:r w:rsidR="00D378FB" w:rsidRPr="0091734B">
              <w:rPr>
                <w:rFonts w:ascii="Times New Roman" w:hAnsi="Times New Roman" w:cs="Times New Roman"/>
                <w:sz w:val="22"/>
                <w:szCs w:val="22"/>
              </w:rPr>
              <w:t>pgraded for consistency and precision</w:t>
            </w:r>
          </w:p>
        </w:tc>
      </w:tr>
      <w:tr w:rsidR="00D85CD6" w:rsidRPr="00D85CD6" w14:paraId="1574FD66" w14:textId="77777777" w:rsidTr="00D85CD6">
        <w:tc>
          <w:tcPr>
            <w:tcW w:w="1582" w:type="dxa"/>
            <w:vAlign w:val="center"/>
          </w:tcPr>
          <w:p w14:paraId="0851C1A9" w14:textId="6EB75F3A"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Favorable attitude</w:t>
            </w:r>
          </w:p>
        </w:tc>
        <w:tc>
          <w:tcPr>
            <w:tcW w:w="932" w:type="dxa"/>
            <w:vAlign w:val="center"/>
          </w:tcPr>
          <w:p w14:paraId="437F18B5" w14:textId="55D4C738"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11</w:t>
            </w:r>
          </w:p>
        </w:tc>
        <w:tc>
          <w:tcPr>
            <w:tcW w:w="1801" w:type="dxa"/>
            <w:vAlign w:val="center"/>
          </w:tcPr>
          <w:p w14:paraId="7DE3A6F3" w14:textId="0E95AF41" w:rsidR="00D378FB" w:rsidRPr="00D85CD6" w:rsidRDefault="00D378FB" w:rsidP="00D85CD6">
            <w:pPr>
              <w:rPr>
                <w:rFonts w:ascii="Times New Roman" w:hAnsi="Times New Roman" w:cs="Times New Roman"/>
                <w:sz w:val="22"/>
                <w:szCs w:val="22"/>
              </w:rPr>
            </w:pPr>
            <w:r w:rsidRPr="0091734B">
              <w:rPr>
                <w:rFonts w:ascii="Times New Roman" w:hAnsi="Times New Roman" w:cs="Times New Roman"/>
                <w:sz w:val="22"/>
                <w:szCs w:val="22"/>
              </w:rPr>
              <w:t>3.51 (2.50–4.93)</w:t>
            </w:r>
          </w:p>
        </w:tc>
        <w:tc>
          <w:tcPr>
            <w:tcW w:w="900" w:type="dxa"/>
            <w:vAlign w:val="center"/>
          </w:tcPr>
          <w:p w14:paraId="2188B842" w14:textId="51516E83"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74.2</w:t>
            </w:r>
          </w:p>
        </w:tc>
        <w:tc>
          <w:tcPr>
            <w:tcW w:w="1350" w:type="dxa"/>
          </w:tcPr>
          <w:p w14:paraId="1BE86929" w14:textId="19E4985B" w:rsidR="00D378FB" w:rsidRPr="00D85CD6" w:rsidRDefault="00D378FB" w:rsidP="00D85CD6">
            <w:pPr>
              <w:jc w:val="both"/>
              <w:rPr>
                <w:rFonts w:ascii="Times New Roman" w:hAnsi="Times New Roman" w:cs="Times New Roman"/>
                <w:sz w:val="22"/>
                <w:szCs w:val="22"/>
              </w:rPr>
            </w:pPr>
            <w:r w:rsidRPr="00D85CD6">
              <w:rPr>
                <w:rFonts w:ascii="Times New Roman" w:hAnsi="Times New Roman" w:cs="Times New Roman"/>
                <w:sz w:val="22"/>
                <w:szCs w:val="22"/>
              </w:rPr>
              <w:t xml:space="preserve">None </w:t>
            </w:r>
          </w:p>
        </w:tc>
        <w:tc>
          <w:tcPr>
            <w:tcW w:w="1170" w:type="dxa"/>
            <w:vAlign w:val="center"/>
          </w:tcPr>
          <w:p w14:paraId="151178BF" w14:textId="37643F98"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5A51F6C6" w14:textId="5ED98743" w:rsidR="00D378FB" w:rsidRPr="00D85CD6" w:rsidRDefault="00D378FB" w:rsidP="00D85CD6">
            <w:pPr>
              <w:rPr>
                <w:rFonts w:ascii="Times New Roman" w:hAnsi="Times New Roman" w:cs="Times New Roman"/>
                <w:sz w:val="22"/>
                <w:szCs w:val="22"/>
              </w:rPr>
            </w:pPr>
            <w:r w:rsidRPr="0091734B">
              <w:rPr>
                <w:rFonts w:ascii="Times New Roman" w:hAnsi="Times New Roman" w:cs="Times New Roman"/>
                <w:sz w:val="22"/>
                <w:szCs w:val="22"/>
              </w:rPr>
              <w:t>Downgraded for inconsistency</w:t>
            </w:r>
          </w:p>
        </w:tc>
      </w:tr>
      <w:tr w:rsidR="00D85CD6" w:rsidRPr="00D85CD6" w14:paraId="53881528" w14:textId="77777777" w:rsidTr="00D85CD6">
        <w:tc>
          <w:tcPr>
            <w:tcW w:w="1582" w:type="dxa"/>
            <w:vAlign w:val="center"/>
          </w:tcPr>
          <w:p w14:paraId="4429E202" w14:textId="6C294CFA" w:rsidR="00D378FB" w:rsidRPr="00D85CD6" w:rsidRDefault="00D378FB" w:rsidP="00D85CD6">
            <w:pPr>
              <w:rPr>
                <w:rFonts w:ascii="Times New Roman" w:hAnsi="Times New Roman" w:cs="Times New Roman"/>
                <w:sz w:val="22"/>
                <w:szCs w:val="22"/>
              </w:rPr>
            </w:pPr>
            <w:r w:rsidRPr="0091734B">
              <w:rPr>
                <w:rFonts w:ascii="Times New Roman" w:hAnsi="Times New Roman" w:cs="Times New Roman"/>
                <w:sz w:val="22"/>
                <w:szCs w:val="22"/>
              </w:rPr>
              <w:t>Being a midwife</w:t>
            </w:r>
          </w:p>
        </w:tc>
        <w:tc>
          <w:tcPr>
            <w:tcW w:w="932" w:type="dxa"/>
            <w:vAlign w:val="center"/>
          </w:tcPr>
          <w:p w14:paraId="15D04A29" w14:textId="3C36BE97" w:rsidR="00D378FB"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4</w:t>
            </w:r>
          </w:p>
        </w:tc>
        <w:tc>
          <w:tcPr>
            <w:tcW w:w="1801" w:type="dxa"/>
            <w:vAlign w:val="center"/>
          </w:tcPr>
          <w:p w14:paraId="72B9BBCB" w14:textId="2D2CAA9C" w:rsidR="00D378FB" w:rsidRPr="00D85CD6" w:rsidRDefault="00D378FB" w:rsidP="00D85CD6">
            <w:pPr>
              <w:rPr>
                <w:rFonts w:ascii="Times New Roman" w:hAnsi="Times New Roman" w:cs="Times New Roman"/>
                <w:sz w:val="22"/>
                <w:szCs w:val="22"/>
              </w:rPr>
            </w:pPr>
            <w:r w:rsidRPr="0091734B">
              <w:rPr>
                <w:rFonts w:ascii="Times New Roman" w:hAnsi="Times New Roman" w:cs="Times New Roman"/>
                <w:sz w:val="22"/>
                <w:szCs w:val="22"/>
              </w:rPr>
              <w:t>2.43 (1.44–4.11)</w:t>
            </w:r>
          </w:p>
        </w:tc>
        <w:tc>
          <w:tcPr>
            <w:tcW w:w="900" w:type="dxa"/>
            <w:vAlign w:val="center"/>
          </w:tcPr>
          <w:p w14:paraId="5A663DBA" w14:textId="1EE665DC"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41.8</w:t>
            </w:r>
          </w:p>
        </w:tc>
        <w:tc>
          <w:tcPr>
            <w:tcW w:w="1350" w:type="dxa"/>
            <w:vAlign w:val="center"/>
          </w:tcPr>
          <w:p w14:paraId="1655D0E8" w14:textId="187F7D2A" w:rsidR="00D378FB" w:rsidRPr="00D85CD6" w:rsidRDefault="00D378FB"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1F5AE077" w14:textId="3E17138D" w:rsidR="00D378FB" w:rsidRPr="00D85CD6" w:rsidRDefault="00D378FB" w:rsidP="00D85CD6">
            <w:pPr>
              <w:jc w:val="both"/>
              <w:rPr>
                <w:rFonts w:ascii="Times New Roman" w:hAnsi="Times New Roman" w:cs="Times New Roman"/>
                <w:sz w:val="22"/>
                <w:szCs w:val="22"/>
              </w:rPr>
            </w:pPr>
            <w:r w:rsidRPr="0091734B">
              <w:rPr>
                <w:rFonts w:ascii="Times New Roman" w:hAnsi="Times New Roman" w:cs="Times New Roman"/>
                <w:sz w:val="22"/>
                <w:szCs w:val="22"/>
              </w:rPr>
              <w:t>Low</w:t>
            </w:r>
          </w:p>
        </w:tc>
        <w:tc>
          <w:tcPr>
            <w:tcW w:w="2435" w:type="dxa"/>
            <w:vAlign w:val="center"/>
          </w:tcPr>
          <w:p w14:paraId="7C61EB2D" w14:textId="10868ADB" w:rsidR="00D378FB" w:rsidRPr="00D85CD6" w:rsidRDefault="00C11978" w:rsidP="00D85CD6">
            <w:pPr>
              <w:rPr>
                <w:rFonts w:ascii="Times New Roman" w:hAnsi="Times New Roman" w:cs="Times New Roman"/>
                <w:sz w:val="22"/>
                <w:szCs w:val="22"/>
              </w:rPr>
            </w:pPr>
            <w:r w:rsidRPr="00D85CD6">
              <w:rPr>
                <w:rFonts w:ascii="Times New Roman" w:hAnsi="Times New Roman" w:cs="Times New Roman"/>
                <w:sz w:val="22"/>
                <w:szCs w:val="22"/>
              </w:rPr>
              <w:t>Downgrade for r</w:t>
            </w:r>
            <w:r w:rsidR="00D378FB" w:rsidRPr="0091734B">
              <w:rPr>
                <w:rFonts w:ascii="Times New Roman" w:hAnsi="Times New Roman" w:cs="Times New Roman"/>
                <w:sz w:val="22"/>
                <w:szCs w:val="22"/>
              </w:rPr>
              <w:t>isk of bias, imprecision</w:t>
            </w:r>
          </w:p>
        </w:tc>
      </w:tr>
      <w:tr w:rsidR="00D85CD6" w:rsidRPr="00D85CD6" w14:paraId="2AD98899" w14:textId="77777777" w:rsidTr="00D85CD6">
        <w:tc>
          <w:tcPr>
            <w:tcW w:w="1582" w:type="dxa"/>
            <w:vAlign w:val="center"/>
          </w:tcPr>
          <w:p w14:paraId="2750DB4E" w14:textId="7C319224"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 xml:space="preserve">Being physician </w:t>
            </w:r>
          </w:p>
        </w:tc>
        <w:tc>
          <w:tcPr>
            <w:tcW w:w="932" w:type="dxa"/>
            <w:vAlign w:val="center"/>
          </w:tcPr>
          <w:p w14:paraId="63F9F7AE" w14:textId="6EF00742"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2</w:t>
            </w:r>
          </w:p>
        </w:tc>
        <w:tc>
          <w:tcPr>
            <w:tcW w:w="1801" w:type="dxa"/>
            <w:vAlign w:val="center"/>
          </w:tcPr>
          <w:p w14:paraId="079FBED5" w14:textId="6BC7EC05" w:rsidR="00D85CD6" w:rsidRPr="00D85CD6" w:rsidRDefault="00D85CD6" w:rsidP="00D85CD6">
            <w:pPr>
              <w:rPr>
                <w:rFonts w:ascii="Times New Roman" w:hAnsi="Times New Roman" w:cs="Times New Roman"/>
                <w:sz w:val="22"/>
                <w:szCs w:val="22"/>
              </w:rPr>
            </w:pPr>
            <w:r w:rsidRPr="00D85CD6">
              <w:rPr>
                <w:rStyle w:val="Strong"/>
                <w:rFonts w:ascii="Times New Roman" w:hAnsi="Times New Roman" w:cs="Times New Roman"/>
                <w:b w:val="0"/>
                <w:bCs w:val="0"/>
                <w:sz w:val="22"/>
                <w:szCs w:val="22"/>
              </w:rPr>
              <w:t>1.05 (0.03-34.48)</w:t>
            </w:r>
          </w:p>
        </w:tc>
        <w:tc>
          <w:tcPr>
            <w:tcW w:w="900" w:type="dxa"/>
            <w:vAlign w:val="center"/>
          </w:tcPr>
          <w:p w14:paraId="1668A515" w14:textId="0F0D62A0"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95.5%</w:t>
            </w:r>
          </w:p>
        </w:tc>
        <w:tc>
          <w:tcPr>
            <w:tcW w:w="1350" w:type="dxa"/>
            <w:vAlign w:val="center"/>
          </w:tcPr>
          <w:p w14:paraId="4791D6D8" w14:textId="6DD8D05E"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40EBE97F" w14:textId="358DF248"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Very Low</w:t>
            </w:r>
          </w:p>
        </w:tc>
        <w:tc>
          <w:tcPr>
            <w:tcW w:w="2435" w:type="dxa"/>
            <w:vAlign w:val="center"/>
          </w:tcPr>
          <w:p w14:paraId="35697C7D" w14:textId="0B49F7B0"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Downgraded for i</w:t>
            </w:r>
            <w:r w:rsidRPr="0091734B">
              <w:rPr>
                <w:rFonts w:ascii="Times New Roman" w:hAnsi="Times New Roman" w:cs="Times New Roman"/>
                <w:sz w:val="22"/>
                <w:szCs w:val="22"/>
              </w:rPr>
              <w:t>mprecision, non-significance</w:t>
            </w:r>
            <w:r w:rsidRPr="00D85CD6">
              <w:rPr>
                <w:rFonts w:ascii="Times New Roman" w:hAnsi="Times New Roman" w:cs="Times New Roman"/>
                <w:sz w:val="22"/>
                <w:szCs w:val="22"/>
              </w:rPr>
              <w:t xml:space="preserve">, </w:t>
            </w:r>
            <w:r w:rsidRPr="0091734B">
              <w:rPr>
                <w:rFonts w:ascii="Times New Roman" w:hAnsi="Times New Roman" w:cs="Times New Roman"/>
                <w:sz w:val="22"/>
                <w:szCs w:val="22"/>
              </w:rPr>
              <w:t>limited data</w:t>
            </w:r>
          </w:p>
        </w:tc>
      </w:tr>
      <w:tr w:rsidR="00D85CD6" w:rsidRPr="00D85CD6" w14:paraId="501DF258" w14:textId="77777777" w:rsidTr="00D85CD6">
        <w:tc>
          <w:tcPr>
            <w:tcW w:w="1582" w:type="dxa"/>
            <w:vAlign w:val="center"/>
          </w:tcPr>
          <w:p w14:paraId="080C1B25" w14:textId="2E8D0366"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Received training</w:t>
            </w:r>
          </w:p>
        </w:tc>
        <w:tc>
          <w:tcPr>
            <w:tcW w:w="932" w:type="dxa"/>
            <w:vAlign w:val="center"/>
          </w:tcPr>
          <w:p w14:paraId="537A0AEC" w14:textId="72C839BE"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4</w:t>
            </w:r>
          </w:p>
        </w:tc>
        <w:tc>
          <w:tcPr>
            <w:tcW w:w="1801" w:type="dxa"/>
            <w:vAlign w:val="center"/>
          </w:tcPr>
          <w:p w14:paraId="0C01D2B9" w14:textId="065C1820"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2.74 (1.66–4.52)</w:t>
            </w:r>
          </w:p>
        </w:tc>
        <w:tc>
          <w:tcPr>
            <w:tcW w:w="900" w:type="dxa"/>
            <w:vAlign w:val="center"/>
          </w:tcPr>
          <w:p w14:paraId="3CFDA9DF" w14:textId="16163EE5"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62.0</w:t>
            </w:r>
          </w:p>
        </w:tc>
        <w:tc>
          <w:tcPr>
            <w:tcW w:w="1350" w:type="dxa"/>
            <w:vAlign w:val="center"/>
          </w:tcPr>
          <w:p w14:paraId="1C1C227A" w14:textId="6DF178D1"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6A6A9F5C" w14:textId="753C0F19"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Low</w:t>
            </w:r>
          </w:p>
        </w:tc>
        <w:tc>
          <w:tcPr>
            <w:tcW w:w="2435" w:type="dxa"/>
            <w:vAlign w:val="center"/>
          </w:tcPr>
          <w:p w14:paraId="177073FA" w14:textId="035221A6"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Downgraded for i</w:t>
            </w:r>
            <w:r w:rsidRPr="0091734B">
              <w:rPr>
                <w:rFonts w:ascii="Times New Roman" w:hAnsi="Times New Roman" w:cs="Times New Roman"/>
                <w:sz w:val="22"/>
                <w:szCs w:val="22"/>
              </w:rPr>
              <w:t>nconsistency, small number of studies</w:t>
            </w:r>
          </w:p>
        </w:tc>
      </w:tr>
      <w:tr w:rsidR="00D85CD6" w:rsidRPr="00D85CD6" w14:paraId="1F5FBA78" w14:textId="77777777" w:rsidTr="00D85CD6">
        <w:tc>
          <w:tcPr>
            <w:tcW w:w="1582" w:type="dxa"/>
            <w:vAlign w:val="center"/>
          </w:tcPr>
          <w:p w14:paraId="7812C0DF" w14:textId="32C094C3"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Allowing maternal preference</w:t>
            </w:r>
          </w:p>
        </w:tc>
        <w:tc>
          <w:tcPr>
            <w:tcW w:w="932" w:type="dxa"/>
            <w:vAlign w:val="center"/>
          </w:tcPr>
          <w:p w14:paraId="027E2839" w14:textId="2117BBC8"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2</w:t>
            </w:r>
          </w:p>
        </w:tc>
        <w:tc>
          <w:tcPr>
            <w:tcW w:w="1801" w:type="dxa"/>
            <w:vAlign w:val="center"/>
          </w:tcPr>
          <w:p w14:paraId="3CD9B3E7" w14:textId="268BB150"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2.41 (1.58–3.69)</w:t>
            </w:r>
          </w:p>
        </w:tc>
        <w:tc>
          <w:tcPr>
            <w:tcW w:w="900" w:type="dxa"/>
            <w:vAlign w:val="center"/>
          </w:tcPr>
          <w:p w14:paraId="06D76A4F" w14:textId="581E12BE"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0.0</w:t>
            </w:r>
          </w:p>
        </w:tc>
        <w:tc>
          <w:tcPr>
            <w:tcW w:w="1350" w:type="dxa"/>
            <w:vAlign w:val="center"/>
          </w:tcPr>
          <w:p w14:paraId="4685A643" w14:textId="63B4CB7B"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11160476" w14:textId="7E63677A"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Low</w:t>
            </w:r>
          </w:p>
        </w:tc>
        <w:tc>
          <w:tcPr>
            <w:tcW w:w="2435" w:type="dxa"/>
            <w:vAlign w:val="center"/>
          </w:tcPr>
          <w:p w14:paraId="14B5D958" w14:textId="41805539"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Downgraded for i</w:t>
            </w:r>
            <w:r w:rsidRPr="0091734B">
              <w:rPr>
                <w:rFonts w:ascii="Times New Roman" w:hAnsi="Times New Roman" w:cs="Times New Roman"/>
                <w:sz w:val="22"/>
                <w:szCs w:val="22"/>
              </w:rPr>
              <w:t>ndirectness, limited data</w:t>
            </w:r>
          </w:p>
        </w:tc>
      </w:tr>
      <w:tr w:rsidR="00D85CD6" w:rsidRPr="00D85CD6" w14:paraId="39F8A39C" w14:textId="77777777" w:rsidTr="00D85CD6">
        <w:tc>
          <w:tcPr>
            <w:tcW w:w="1582" w:type="dxa"/>
            <w:vAlign w:val="center"/>
          </w:tcPr>
          <w:p w14:paraId="361C5E82" w14:textId="31F85AE3"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Drug and equipment availability</w:t>
            </w:r>
          </w:p>
        </w:tc>
        <w:tc>
          <w:tcPr>
            <w:tcW w:w="932" w:type="dxa"/>
            <w:vAlign w:val="center"/>
          </w:tcPr>
          <w:p w14:paraId="79626B7A" w14:textId="2D204D15" w:rsidR="00D85CD6"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5</w:t>
            </w:r>
          </w:p>
        </w:tc>
        <w:tc>
          <w:tcPr>
            <w:tcW w:w="1801" w:type="dxa"/>
            <w:vAlign w:val="center"/>
          </w:tcPr>
          <w:p w14:paraId="4FC227BF" w14:textId="29B53257"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2.77 (2.13–3.60)</w:t>
            </w:r>
          </w:p>
        </w:tc>
        <w:tc>
          <w:tcPr>
            <w:tcW w:w="900" w:type="dxa"/>
            <w:vAlign w:val="center"/>
          </w:tcPr>
          <w:p w14:paraId="667BB11D" w14:textId="27590774"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0.0</w:t>
            </w:r>
          </w:p>
        </w:tc>
        <w:tc>
          <w:tcPr>
            <w:tcW w:w="1350" w:type="dxa"/>
            <w:vAlign w:val="center"/>
          </w:tcPr>
          <w:p w14:paraId="3AA8F82E" w14:textId="29EF1AB5"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32468080" w14:textId="10482465"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55BC759B" w14:textId="45BA2E21"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Upgraded for consistency and precision</w:t>
            </w:r>
          </w:p>
        </w:tc>
      </w:tr>
      <w:tr w:rsidR="00D85CD6" w:rsidRPr="00D85CD6" w14:paraId="5C3966ED" w14:textId="77777777" w:rsidTr="00D85CD6">
        <w:tc>
          <w:tcPr>
            <w:tcW w:w="1582" w:type="dxa"/>
            <w:vAlign w:val="center"/>
          </w:tcPr>
          <w:p w14:paraId="1B4BAF4F" w14:textId="11EF939E"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Protocol availability</w:t>
            </w:r>
          </w:p>
        </w:tc>
        <w:tc>
          <w:tcPr>
            <w:tcW w:w="932" w:type="dxa"/>
            <w:vAlign w:val="center"/>
          </w:tcPr>
          <w:p w14:paraId="4191341A" w14:textId="059717F7" w:rsidR="00D85CD6"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2</w:t>
            </w:r>
          </w:p>
        </w:tc>
        <w:tc>
          <w:tcPr>
            <w:tcW w:w="1801" w:type="dxa"/>
            <w:vAlign w:val="center"/>
          </w:tcPr>
          <w:p w14:paraId="7A88B171" w14:textId="019F7306"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2.45 (1.09–5.53)</w:t>
            </w:r>
          </w:p>
        </w:tc>
        <w:tc>
          <w:tcPr>
            <w:tcW w:w="900" w:type="dxa"/>
            <w:vAlign w:val="center"/>
          </w:tcPr>
          <w:p w14:paraId="690C40BF" w14:textId="5D0C4EE5"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71.0</w:t>
            </w:r>
          </w:p>
        </w:tc>
        <w:tc>
          <w:tcPr>
            <w:tcW w:w="1350" w:type="dxa"/>
            <w:vAlign w:val="center"/>
          </w:tcPr>
          <w:p w14:paraId="33DA8131" w14:textId="54E0503E"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161CD39A" w14:textId="7F45CD1B"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Low</w:t>
            </w:r>
          </w:p>
        </w:tc>
        <w:tc>
          <w:tcPr>
            <w:tcW w:w="2435" w:type="dxa"/>
            <w:vAlign w:val="center"/>
          </w:tcPr>
          <w:p w14:paraId="6AEE8A38" w14:textId="5864E70C"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Downgraded for i</w:t>
            </w:r>
            <w:r w:rsidRPr="0091734B">
              <w:rPr>
                <w:rFonts w:ascii="Times New Roman" w:hAnsi="Times New Roman" w:cs="Times New Roman"/>
                <w:sz w:val="22"/>
                <w:szCs w:val="22"/>
              </w:rPr>
              <w:t>nconsistency, imprecision</w:t>
            </w:r>
          </w:p>
        </w:tc>
      </w:tr>
      <w:tr w:rsidR="00D85CD6" w:rsidRPr="00D85CD6" w14:paraId="1168B1F3" w14:textId="77777777" w:rsidTr="00D85CD6">
        <w:tc>
          <w:tcPr>
            <w:tcW w:w="1582" w:type="dxa"/>
            <w:vAlign w:val="center"/>
          </w:tcPr>
          <w:p w14:paraId="7AE88D33" w14:textId="0CFBA4D3"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Female gender</w:t>
            </w:r>
          </w:p>
        </w:tc>
        <w:tc>
          <w:tcPr>
            <w:tcW w:w="932" w:type="dxa"/>
            <w:vAlign w:val="center"/>
          </w:tcPr>
          <w:p w14:paraId="467DE2F9" w14:textId="767A0675" w:rsidR="00D85CD6"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2</w:t>
            </w:r>
          </w:p>
        </w:tc>
        <w:tc>
          <w:tcPr>
            <w:tcW w:w="1801" w:type="dxa"/>
            <w:vAlign w:val="center"/>
          </w:tcPr>
          <w:p w14:paraId="667957A0" w14:textId="66B9D23B"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2.13 (1.44–3.16)</w:t>
            </w:r>
          </w:p>
        </w:tc>
        <w:tc>
          <w:tcPr>
            <w:tcW w:w="900" w:type="dxa"/>
            <w:vAlign w:val="center"/>
          </w:tcPr>
          <w:p w14:paraId="582387EA" w14:textId="01C31D38"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0.0</w:t>
            </w:r>
          </w:p>
        </w:tc>
        <w:tc>
          <w:tcPr>
            <w:tcW w:w="1350" w:type="dxa"/>
            <w:vAlign w:val="center"/>
          </w:tcPr>
          <w:p w14:paraId="34D01ACE" w14:textId="3C734718"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66220056" w14:textId="609AFC5B"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4173C566" w14:textId="2541E54F"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Upgraded for consistency and precision</w:t>
            </w:r>
          </w:p>
        </w:tc>
      </w:tr>
      <w:tr w:rsidR="00D85CD6" w:rsidRPr="00D85CD6" w14:paraId="2FB3B34B" w14:textId="77777777" w:rsidTr="00D85CD6">
        <w:tc>
          <w:tcPr>
            <w:tcW w:w="1582" w:type="dxa"/>
          </w:tcPr>
          <w:p w14:paraId="3B306BE6" w14:textId="7FAF4373"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lastRenderedPageBreak/>
              <w:t>BSc or higher education</w:t>
            </w:r>
          </w:p>
        </w:tc>
        <w:tc>
          <w:tcPr>
            <w:tcW w:w="932" w:type="dxa"/>
          </w:tcPr>
          <w:p w14:paraId="4BA830FE" w14:textId="79E62DD6" w:rsidR="00D85CD6"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3</w:t>
            </w:r>
          </w:p>
        </w:tc>
        <w:tc>
          <w:tcPr>
            <w:tcW w:w="1801" w:type="dxa"/>
          </w:tcPr>
          <w:p w14:paraId="0E6C6355" w14:textId="19B5A718" w:rsidR="00D85CD6" w:rsidRPr="00082AA7" w:rsidRDefault="00D85CD6" w:rsidP="00D85CD6">
            <w:pPr>
              <w:rPr>
                <w:rFonts w:ascii="Times New Roman" w:hAnsi="Times New Roman" w:cs="Times New Roman"/>
                <w:b/>
                <w:bCs/>
                <w:sz w:val="22"/>
                <w:szCs w:val="22"/>
              </w:rPr>
            </w:pPr>
            <w:r w:rsidRPr="00082AA7">
              <w:rPr>
                <w:rStyle w:val="Strong"/>
                <w:rFonts w:ascii="Times New Roman" w:hAnsi="Times New Roman" w:cs="Times New Roman"/>
                <w:b w:val="0"/>
                <w:bCs w:val="0"/>
                <w:sz w:val="22"/>
                <w:szCs w:val="22"/>
              </w:rPr>
              <w:t>3.90 (2.41-6.32)</w:t>
            </w:r>
          </w:p>
        </w:tc>
        <w:tc>
          <w:tcPr>
            <w:tcW w:w="900" w:type="dxa"/>
          </w:tcPr>
          <w:p w14:paraId="6F2B6C4C" w14:textId="68524120" w:rsidR="00D85CD6" w:rsidRPr="00D85CD6" w:rsidRDefault="00D85CD6" w:rsidP="00D85CD6">
            <w:pPr>
              <w:jc w:val="both"/>
              <w:rPr>
                <w:rFonts w:ascii="Times New Roman" w:hAnsi="Times New Roman" w:cs="Times New Roman"/>
                <w:sz w:val="22"/>
                <w:szCs w:val="22"/>
              </w:rPr>
            </w:pPr>
            <w:r>
              <w:rPr>
                <w:rFonts w:ascii="Times New Roman" w:hAnsi="Times New Roman" w:cs="Times New Roman"/>
                <w:sz w:val="22"/>
                <w:szCs w:val="22"/>
              </w:rPr>
              <w:t>0.0</w:t>
            </w:r>
          </w:p>
        </w:tc>
        <w:tc>
          <w:tcPr>
            <w:tcW w:w="1350" w:type="dxa"/>
          </w:tcPr>
          <w:p w14:paraId="6FE69731" w14:textId="6DC31123"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tcPr>
          <w:p w14:paraId="7C432F1A" w14:textId="01072E69" w:rsidR="00D85CD6" w:rsidRPr="00D85CD6" w:rsidRDefault="00082AA7" w:rsidP="00D85CD6">
            <w:pPr>
              <w:jc w:val="both"/>
              <w:rPr>
                <w:rFonts w:ascii="Times New Roman" w:hAnsi="Times New Roman" w:cs="Times New Roman"/>
                <w:sz w:val="22"/>
                <w:szCs w:val="22"/>
              </w:rPr>
            </w:pPr>
            <w:r>
              <w:rPr>
                <w:rFonts w:ascii="Times New Roman" w:hAnsi="Times New Roman" w:cs="Times New Roman"/>
                <w:sz w:val="22"/>
                <w:szCs w:val="22"/>
              </w:rPr>
              <w:t xml:space="preserve">Moderate </w:t>
            </w:r>
          </w:p>
        </w:tc>
        <w:tc>
          <w:tcPr>
            <w:tcW w:w="2435" w:type="dxa"/>
          </w:tcPr>
          <w:p w14:paraId="387305D6" w14:textId="4648C28B" w:rsidR="00D85CD6" w:rsidRPr="00D85CD6" w:rsidRDefault="00082AA7" w:rsidP="00D85CD6">
            <w:pPr>
              <w:rPr>
                <w:rFonts w:ascii="Times New Roman" w:hAnsi="Times New Roman" w:cs="Times New Roman"/>
                <w:sz w:val="22"/>
                <w:szCs w:val="22"/>
              </w:rPr>
            </w:pPr>
            <w:r>
              <w:rPr>
                <w:rFonts w:ascii="Times New Roman" w:hAnsi="Times New Roman" w:cs="Times New Roman"/>
                <w:sz w:val="22"/>
                <w:szCs w:val="22"/>
              </w:rPr>
              <w:t>Upgraded for consistency and precision</w:t>
            </w:r>
          </w:p>
        </w:tc>
      </w:tr>
      <w:tr w:rsidR="00D85CD6" w:rsidRPr="00D85CD6" w14:paraId="307B0843" w14:textId="77777777" w:rsidTr="00D85CD6">
        <w:tc>
          <w:tcPr>
            <w:tcW w:w="1582" w:type="dxa"/>
            <w:vAlign w:val="center"/>
          </w:tcPr>
          <w:p w14:paraId="3A7AB001" w14:textId="6B042EC6"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 xml:space="preserve">&gt;10 </w:t>
            </w:r>
            <w:r w:rsidRPr="00D85CD6">
              <w:rPr>
                <w:rFonts w:ascii="Times New Roman" w:hAnsi="Times New Roman" w:cs="Times New Roman"/>
                <w:sz w:val="22"/>
                <w:szCs w:val="22"/>
              </w:rPr>
              <w:t>years’ experience</w:t>
            </w:r>
          </w:p>
        </w:tc>
        <w:tc>
          <w:tcPr>
            <w:tcW w:w="932" w:type="dxa"/>
            <w:vAlign w:val="center"/>
          </w:tcPr>
          <w:p w14:paraId="0FBEEEA2" w14:textId="4DC34524"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3</w:t>
            </w:r>
          </w:p>
        </w:tc>
        <w:tc>
          <w:tcPr>
            <w:tcW w:w="1801" w:type="dxa"/>
            <w:vAlign w:val="center"/>
          </w:tcPr>
          <w:p w14:paraId="2AD56F48" w14:textId="57405CF4"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3.64 (2.18–6.08)</w:t>
            </w:r>
          </w:p>
        </w:tc>
        <w:tc>
          <w:tcPr>
            <w:tcW w:w="900" w:type="dxa"/>
            <w:vAlign w:val="center"/>
          </w:tcPr>
          <w:p w14:paraId="591AD9FF" w14:textId="5B3AE58A"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0.0</w:t>
            </w:r>
          </w:p>
        </w:tc>
        <w:tc>
          <w:tcPr>
            <w:tcW w:w="1350" w:type="dxa"/>
            <w:vAlign w:val="center"/>
          </w:tcPr>
          <w:p w14:paraId="79143353" w14:textId="2D7B4521"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7629F85B" w14:textId="2EA13252"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4329AA67" w14:textId="6C477E2E"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Upgraded for s</w:t>
            </w:r>
            <w:r w:rsidRPr="0091734B">
              <w:rPr>
                <w:rFonts w:ascii="Times New Roman" w:hAnsi="Times New Roman" w:cs="Times New Roman"/>
                <w:sz w:val="22"/>
                <w:szCs w:val="22"/>
              </w:rPr>
              <w:t>trong association, consistency</w:t>
            </w:r>
          </w:p>
        </w:tc>
      </w:tr>
      <w:tr w:rsidR="00D85CD6" w:rsidRPr="00D85CD6" w14:paraId="35574609" w14:textId="77777777" w:rsidTr="00D85CD6">
        <w:tc>
          <w:tcPr>
            <w:tcW w:w="1582" w:type="dxa"/>
            <w:vAlign w:val="center"/>
          </w:tcPr>
          <w:p w14:paraId="236C8267" w14:textId="00D73815"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 xml:space="preserve">6–9 </w:t>
            </w:r>
            <w:r w:rsidRPr="00D85CD6">
              <w:rPr>
                <w:rFonts w:ascii="Times New Roman" w:hAnsi="Times New Roman" w:cs="Times New Roman"/>
                <w:sz w:val="22"/>
                <w:szCs w:val="22"/>
              </w:rPr>
              <w:t>years’ experience</w:t>
            </w:r>
          </w:p>
        </w:tc>
        <w:tc>
          <w:tcPr>
            <w:tcW w:w="932" w:type="dxa"/>
            <w:vAlign w:val="center"/>
          </w:tcPr>
          <w:p w14:paraId="14D3734D" w14:textId="180BD95E" w:rsidR="00D85CD6" w:rsidRPr="00D85CD6" w:rsidRDefault="00082AA7" w:rsidP="00D85CD6">
            <w:pPr>
              <w:jc w:val="both"/>
              <w:rPr>
                <w:rFonts w:ascii="Times New Roman" w:hAnsi="Times New Roman" w:cs="Times New Roman"/>
                <w:sz w:val="22"/>
                <w:szCs w:val="22"/>
              </w:rPr>
            </w:pPr>
            <w:r>
              <w:rPr>
                <w:rFonts w:ascii="Times New Roman" w:hAnsi="Times New Roman" w:cs="Times New Roman"/>
                <w:sz w:val="22"/>
                <w:szCs w:val="22"/>
              </w:rPr>
              <w:t>4</w:t>
            </w:r>
          </w:p>
        </w:tc>
        <w:tc>
          <w:tcPr>
            <w:tcW w:w="1801" w:type="dxa"/>
            <w:vAlign w:val="center"/>
          </w:tcPr>
          <w:p w14:paraId="0EFB0833" w14:textId="6B13FEA0"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1.85 (0.66–5.22)</w:t>
            </w:r>
          </w:p>
        </w:tc>
        <w:tc>
          <w:tcPr>
            <w:tcW w:w="900" w:type="dxa"/>
            <w:vAlign w:val="center"/>
          </w:tcPr>
          <w:p w14:paraId="4F763AFB" w14:textId="791C347C"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w:t>
            </w:r>
          </w:p>
        </w:tc>
        <w:tc>
          <w:tcPr>
            <w:tcW w:w="1350" w:type="dxa"/>
            <w:vAlign w:val="center"/>
          </w:tcPr>
          <w:p w14:paraId="41A92DBD" w14:textId="4814EE10"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significant</w:t>
            </w:r>
          </w:p>
        </w:tc>
        <w:tc>
          <w:tcPr>
            <w:tcW w:w="1170" w:type="dxa"/>
            <w:vAlign w:val="center"/>
          </w:tcPr>
          <w:p w14:paraId="05C1A0B4" w14:textId="1701F88E"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Very Low</w:t>
            </w:r>
          </w:p>
        </w:tc>
        <w:tc>
          <w:tcPr>
            <w:tcW w:w="2435" w:type="dxa"/>
            <w:vAlign w:val="center"/>
          </w:tcPr>
          <w:p w14:paraId="703ED3FB" w14:textId="7F9B13B5"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Downgraded for i</w:t>
            </w:r>
            <w:r w:rsidRPr="0091734B">
              <w:rPr>
                <w:rFonts w:ascii="Times New Roman" w:hAnsi="Times New Roman" w:cs="Times New Roman"/>
                <w:sz w:val="22"/>
                <w:szCs w:val="22"/>
              </w:rPr>
              <w:t>mprecision, non-significance</w:t>
            </w:r>
          </w:p>
        </w:tc>
      </w:tr>
      <w:tr w:rsidR="00D85CD6" w:rsidRPr="00D85CD6" w14:paraId="1CF6E819" w14:textId="77777777" w:rsidTr="00D85CD6">
        <w:tc>
          <w:tcPr>
            <w:tcW w:w="1582" w:type="dxa"/>
            <w:vAlign w:val="center"/>
          </w:tcPr>
          <w:p w14:paraId="0F7BFD4D" w14:textId="364EE4EB"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Favorable environment</w:t>
            </w:r>
          </w:p>
        </w:tc>
        <w:tc>
          <w:tcPr>
            <w:tcW w:w="932" w:type="dxa"/>
            <w:vAlign w:val="center"/>
          </w:tcPr>
          <w:p w14:paraId="22B12C98" w14:textId="0BB0C9B7"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3</w:t>
            </w:r>
          </w:p>
        </w:tc>
        <w:tc>
          <w:tcPr>
            <w:tcW w:w="1801" w:type="dxa"/>
            <w:vAlign w:val="center"/>
          </w:tcPr>
          <w:p w14:paraId="020890D9" w14:textId="183729C1"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3.56 (2.26–5.61)</w:t>
            </w:r>
          </w:p>
        </w:tc>
        <w:tc>
          <w:tcPr>
            <w:tcW w:w="900" w:type="dxa"/>
            <w:vAlign w:val="center"/>
          </w:tcPr>
          <w:p w14:paraId="1DA98F34" w14:textId="17499467"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0.0</w:t>
            </w:r>
          </w:p>
        </w:tc>
        <w:tc>
          <w:tcPr>
            <w:tcW w:w="1350" w:type="dxa"/>
            <w:vAlign w:val="center"/>
          </w:tcPr>
          <w:p w14:paraId="19829584" w14:textId="42833C1C"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0CE7847B" w14:textId="124C7073"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28D20AD9" w14:textId="4E03A291"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Upgraded for s</w:t>
            </w:r>
            <w:r w:rsidRPr="0091734B">
              <w:rPr>
                <w:rFonts w:ascii="Times New Roman" w:hAnsi="Times New Roman" w:cs="Times New Roman"/>
                <w:sz w:val="22"/>
                <w:szCs w:val="22"/>
              </w:rPr>
              <w:t>trong association, consistency</w:t>
            </w:r>
          </w:p>
        </w:tc>
      </w:tr>
      <w:tr w:rsidR="00D85CD6" w:rsidRPr="00D85CD6" w14:paraId="2D457AC7" w14:textId="77777777" w:rsidTr="00D85CD6">
        <w:tc>
          <w:tcPr>
            <w:tcW w:w="1582" w:type="dxa"/>
            <w:vAlign w:val="center"/>
          </w:tcPr>
          <w:p w14:paraId="04A442B9" w14:textId="6C605177"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Positive perception of LPM</w:t>
            </w:r>
          </w:p>
        </w:tc>
        <w:tc>
          <w:tcPr>
            <w:tcW w:w="932" w:type="dxa"/>
            <w:vAlign w:val="center"/>
          </w:tcPr>
          <w:p w14:paraId="2CA05E11" w14:textId="46223D30"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4</w:t>
            </w:r>
          </w:p>
        </w:tc>
        <w:tc>
          <w:tcPr>
            <w:tcW w:w="1801" w:type="dxa"/>
            <w:vAlign w:val="center"/>
          </w:tcPr>
          <w:p w14:paraId="1F45881F" w14:textId="2A923720" w:rsidR="00D85CD6" w:rsidRPr="00D85CD6" w:rsidRDefault="00D85CD6" w:rsidP="00D85CD6">
            <w:pPr>
              <w:rPr>
                <w:rFonts w:ascii="Times New Roman" w:hAnsi="Times New Roman" w:cs="Times New Roman"/>
                <w:sz w:val="22"/>
                <w:szCs w:val="22"/>
              </w:rPr>
            </w:pPr>
            <w:r w:rsidRPr="0091734B">
              <w:rPr>
                <w:rFonts w:ascii="Times New Roman" w:hAnsi="Times New Roman" w:cs="Times New Roman"/>
                <w:sz w:val="22"/>
                <w:szCs w:val="22"/>
              </w:rPr>
              <w:t>3.86 (2.50–5.95)</w:t>
            </w:r>
          </w:p>
        </w:tc>
        <w:tc>
          <w:tcPr>
            <w:tcW w:w="900" w:type="dxa"/>
            <w:vAlign w:val="center"/>
          </w:tcPr>
          <w:p w14:paraId="4983CDDA" w14:textId="4659948D"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7.2</w:t>
            </w:r>
          </w:p>
        </w:tc>
        <w:tc>
          <w:tcPr>
            <w:tcW w:w="1350" w:type="dxa"/>
            <w:vAlign w:val="center"/>
          </w:tcPr>
          <w:p w14:paraId="63B3CE1F" w14:textId="3FA5CC06" w:rsidR="00D85CD6"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sz w:val="22"/>
                <w:szCs w:val="22"/>
              </w:rPr>
              <w:t>Not assessed</w:t>
            </w:r>
          </w:p>
        </w:tc>
        <w:tc>
          <w:tcPr>
            <w:tcW w:w="1170" w:type="dxa"/>
            <w:vAlign w:val="center"/>
          </w:tcPr>
          <w:p w14:paraId="607CEDB3" w14:textId="41AEA319" w:rsidR="00D85CD6" w:rsidRPr="00D85CD6" w:rsidRDefault="00D85CD6" w:rsidP="00D85CD6">
            <w:pPr>
              <w:jc w:val="both"/>
              <w:rPr>
                <w:rFonts w:ascii="Times New Roman" w:hAnsi="Times New Roman" w:cs="Times New Roman"/>
                <w:sz w:val="22"/>
                <w:szCs w:val="22"/>
              </w:rPr>
            </w:pPr>
            <w:r w:rsidRPr="0091734B">
              <w:rPr>
                <w:rFonts w:ascii="Times New Roman" w:hAnsi="Times New Roman" w:cs="Times New Roman"/>
                <w:sz w:val="22"/>
                <w:szCs w:val="22"/>
              </w:rPr>
              <w:t>Moderate</w:t>
            </w:r>
          </w:p>
        </w:tc>
        <w:tc>
          <w:tcPr>
            <w:tcW w:w="2435" w:type="dxa"/>
            <w:vAlign w:val="center"/>
          </w:tcPr>
          <w:p w14:paraId="33B7CD23" w14:textId="6A4F6BAE" w:rsidR="00D85CD6" w:rsidRPr="00D85CD6" w:rsidRDefault="00D85CD6" w:rsidP="00D85CD6">
            <w:pPr>
              <w:rPr>
                <w:rFonts w:ascii="Times New Roman" w:hAnsi="Times New Roman" w:cs="Times New Roman"/>
                <w:sz w:val="22"/>
                <w:szCs w:val="22"/>
              </w:rPr>
            </w:pPr>
            <w:r w:rsidRPr="00D85CD6">
              <w:rPr>
                <w:rFonts w:ascii="Times New Roman" w:hAnsi="Times New Roman" w:cs="Times New Roman"/>
                <w:sz w:val="22"/>
                <w:szCs w:val="22"/>
              </w:rPr>
              <w:t>Upgraded for s</w:t>
            </w:r>
            <w:r w:rsidRPr="0091734B">
              <w:rPr>
                <w:rFonts w:ascii="Times New Roman" w:hAnsi="Times New Roman" w:cs="Times New Roman"/>
                <w:sz w:val="22"/>
                <w:szCs w:val="22"/>
              </w:rPr>
              <w:t>trong association, low heterogeneity</w:t>
            </w:r>
          </w:p>
        </w:tc>
      </w:tr>
    </w:tbl>
    <w:p w14:paraId="1F6B1AAC" w14:textId="77777777" w:rsidR="008707CC" w:rsidRDefault="008707CC" w:rsidP="00111306">
      <w:pPr>
        <w:spacing w:line="360" w:lineRule="auto"/>
        <w:jc w:val="both"/>
        <w:rPr>
          <w:rFonts w:ascii="Times New Roman" w:hAnsi="Times New Roman" w:cs="Times New Roman"/>
          <w:color w:val="000000" w:themeColor="text1"/>
        </w:rPr>
      </w:pPr>
    </w:p>
    <w:p w14:paraId="582010F5" w14:textId="77777777" w:rsidR="006D0E8C" w:rsidRDefault="007E64DB" w:rsidP="006D0E8C">
      <w:pPr>
        <w:pStyle w:val="ListParagraph"/>
        <w:numPr>
          <w:ilvl w:val="0"/>
          <w:numId w:val="20"/>
        </w:numPr>
        <w:spacing w:line="360" w:lineRule="auto"/>
        <w:jc w:val="both"/>
        <w:rPr>
          <w:rFonts w:ascii="Times New Roman" w:hAnsi="Times New Roman" w:cs="Times New Roman"/>
          <w:b/>
          <w:bCs/>
          <w:color w:val="000000" w:themeColor="text1"/>
        </w:rPr>
      </w:pPr>
      <w:r w:rsidRPr="008707CC">
        <w:rPr>
          <w:rFonts w:ascii="Times New Roman" w:hAnsi="Times New Roman" w:cs="Times New Roman"/>
          <w:b/>
          <w:bCs/>
          <w:color w:val="000000" w:themeColor="text1"/>
        </w:rPr>
        <w:t>Factors associated with the N-PLPMP</w:t>
      </w:r>
    </w:p>
    <w:p w14:paraId="0672A591" w14:textId="4E5E3F01" w:rsidR="008707CC" w:rsidRPr="006D0E8C" w:rsidRDefault="006D0E8C" w:rsidP="006D0E8C">
      <w:pPr>
        <w:pStyle w:val="ListParagraph"/>
        <w:spacing w:line="360" w:lineRule="auto"/>
        <w:ind w:left="1080"/>
        <w:jc w:val="both"/>
        <w:rPr>
          <w:rFonts w:ascii="Times New Roman" w:hAnsi="Times New Roman" w:cs="Times New Roman"/>
          <w:b/>
          <w:bCs/>
          <w:color w:val="000000" w:themeColor="text1"/>
        </w:rPr>
      </w:pPr>
      <w:r w:rsidRPr="006D0E8C">
        <w:rPr>
          <w:rFonts w:ascii="Times New Roman" w:hAnsi="Times New Roman" w:cs="Times New Roman"/>
          <w:color w:val="000000" w:themeColor="text1"/>
        </w:rPr>
        <w:t>Most of the N-P</w:t>
      </w:r>
      <w:r w:rsidR="008707CC" w:rsidRPr="006D0E8C">
        <w:rPr>
          <w:rFonts w:ascii="Times New Roman" w:hAnsi="Times New Roman" w:cs="Times New Roman"/>
          <w:color w:val="000000" w:themeColor="text1"/>
        </w:rPr>
        <w:t>LPMP factors show stronger evidence due to pooled estimates and consistent findings across multiple studies</w:t>
      </w:r>
      <w:r w:rsidR="00865FBB">
        <w:rPr>
          <w:rFonts w:ascii="Times New Roman" w:hAnsi="Times New Roman" w:cs="Times New Roman"/>
          <w:color w:val="000000" w:themeColor="text1"/>
        </w:rPr>
        <w:t xml:space="preserve"> </w:t>
      </w:r>
      <w:r w:rsidR="00CE4748">
        <w:rPr>
          <w:rFonts w:ascii="Times New Roman" w:hAnsi="Times New Roman" w:cs="Times New Roman"/>
          <w:color w:val="000000" w:themeColor="text1"/>
        </w:rPr>
        <w:t>(</w:t>
      </w:r>
      <w:r w:rsidR="00CE4748">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8c</w:t>
      </w:r>
      <w:r w:rsidR="00CE4748">
        <w:rPr>
          <w:rFonts w:ascii="Times New Roman" w:hAnsi="Times New Roman" w:cs="Times New Roman"/>
        </w:rPr>
        <w:t>)</w:t>
      </w:r>
      <w:r w:rsidR="00865FBB">
        <w:rPr>
          <w:rFonts w:ascii="Times New Roman" w:hAnsi="Times New Roman" w:cs="Times New Roman"/>
          <w:color w:val="000000" w:themeColor="text1"/>
        </w:rPr>
        <w:t xml:space="preserve">. </w:t>
      </w:r>
      <w:r w:rsidRPr="006D0E8C">
        <w:rPr>
          <w:rFonts w:ascii="Times New Roman" w:hAnsi="Times New Roman" w:cs="Times New Roman"/>
          <w:color w:val="000000" w:themeColor="text1"/>
        </w:rPr>
        <w:t xml:space="preserve"> </w:t>
      </w:r>
      <w:r>
        <w:rPr>
          <w:rFonts w:ascii="Times New Roman" w:hAnsi="Times New Roman" w:cs="Times New Roman"/>
          <w:color w:val="000000" w:themeColor="text1"/>
        </w:rPr>
        <w:t>However, some factors reported by only by</w:t>
      </w:r>
      <w:r w:rsidRPr="006D0E8C">
        <w:rPr>
          <w:rFonts w:ascii="Times New Roman" w:hAnsi="Times New Roman" w:cs="Times New Roman"/>
        </w:rPr>
        <w:t xml:space="preserve"> individual studies</w:t>
      </w:r>
      <w:r>
        <w:rPr>
          <w:rFonts w:ascii="Times New Roman" w:hAnsi="Times New Roman" w:cs="Times New Roman"/>
        </w:rPr>
        <w:t xml:space="preserve"> and the </w:t>
      </w:r>
      <w:r w:rsidRPr="006D0E8C">
        <w:rPr>
          <w:rFonts w:ascii="Times New Roman" w:hAnsi="Times New Roman" w:cs="Times New Roman"/>
        </w:rPr>
        <w:t xml:space="preserve">GRADE certainty </w:t>
      </w:r>
      <w:r>
        <w:rPr>
          <w:rFonts w:ascii="Times New Roman" w:hAnsi="Times New Roman" w:cs="Times New Roman"/>
        </w:rPr>
        <w:t>becomes</w:t>
      </w:r>
      <w:r w:rsidRPr="006D0E8C">
        <w:rPr>
          <w:rFonts w:ascii="Times New Roman" w:hAnsi="Times New Roman" w:cs="Times New Roman"/>
        </w:rPr>
        <w:t xml:space="preserve"> very low due to lack of replication and pooling</w:t>
      </w:r>
      <w:r w:rsidR="00865FBB">
        <w:rPr>
          <w:rFonts w:ascii="Times New Roman" w:hAnsi="Times New Roman" w:cs="Times New Roman"/>
        </w:rPr>
        <w:t xml:space="preserve">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d</w:t>
      </w:r>
      <w:r w:rsidR="00865FBB">
        <w:rPr>
          <w:rFonts w:ascii="Times New Roman" w:hAnsi="Times New Roman" w:cs="Times New Roman"/>
        </w:rPr>
        <w:t>).</w:t>
      </w:r>
    </w:p>
    <w:p w14:paraId="226FB063" w14:textId="6B0F5FF4" w:rsidR="006774B2" w:rsidRPr="006774B2" w:rsidRDefault="0053320F" w:rsidP="006774B2">
      <w:pPr>
        <w:spacing w:line="360" w:lineRule="auto"/>
        <w:jc w:val="both"/>
        <w:rPr>
          <w:rFonts w:ascii="Times New Roman" w:hAnsi="Times New Roman" w:cs="Times New Roman"/>
        </w:rPr>
      </w:pPr>
      <w:r>
        <w:rPr>
          <w:rFonts w:ascii="Times New Roman" w:hAnsi="Times New Roman" w:cs="Times New Roman"/>
          <w:b/>
          <w:bCs/>
          <w:color w:val="000000" w:themeColor="text1"/>
        </w:rPr>
        <w:t xml:space="preserve">Supplementary </w:t>
      </w:r>
      <w:r w:rsidRPr="00B42657">
        <w:rPr>
          <w:rFonts w:ascii="Times New Roman" w:hAnsi="Times New Roman" w:cs="Times New Roman"/>
          <w:b/>
          <w:bCs/>
          <w:color w:val="000000" w:themeColor="text1"/>
        </w:rPr>
        <w:t xml:space="preserve">Table </w:t>
      </w:r>
      <w:r w:rsidR="00CE4748">
        <w:rPr>
          <w:rFonts w:ascii="Times New Roman" w:hAnsi="Times New Roman" w:cs="Times New Roman"/>
          <w:b/>
          <w:bCs/>
          <w:color w:val="000000" w:themeColor="text1"/>
        </w:rPr>
        <w:t>8</w:t>
      </w:r>
      <w:r>
        <w:rPr>
          <w:rFonts w:ascii="Times New Roman" w:hAnsi="Times New Roman" w:cs="Times New Roman"/>
          <w:b/>
          <w:bCs/>
          <w:color w:val="000000" w:themeColor="text1"/>
        </w:rPr>
        <w:t>c</w:t>
      </w:r>
      <w:r w:rsidRPr="00B42657">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00B73577" w:rsidRPr="00B73577">
        <w:rPr>
          <w:rFonts w:ascii="Times New Roman" w:hAnsi="Times New Roman" w:cs="Times New Roman"/>
        </w:rPr>
        <w:t>GRADE Summary Table – Associated Factors with N-PLPMP</w:t>
      </w:r>
    </w:p>
    <w:tbl>
      <w:tblPr>
        <w:tblStyle w:val="TableGrid"/>
        <w:tblW w:w="10260" w:type="dxa"/>
        <w:tblInd w:w="-455" w:type="dxa"/>
        <w:tblLook w:val="04A0" w:firstRow="1" w:lastRow="0" w:firstColumn="1" w:lastColumn="0" w:noHBand="0" w:noVBand="1"/>
      </w:tblPr>
      <w:tblGrid>
        <w:gridCol w:w="1955"/>
        <w:gridCol w:w="957"/>
        <w:gridCol w:w="1726"/>
        <w:gridCol w:w="861"/>
        <w:gridCol w:w="1292"/>
        <w:gridCol w:w="1158"/>
        <w:gridCol w:w="2311"/>
      </w:tblGrid>
      <w:tr w:rsidR="00D378FB" w:rsidRPr="00D378FB" w14:paraId="175C33A3" w14:textId="77777777" w:rsidTr="00D378FB">
        <w:trPr>
          <w:trHeight w:val="422"/>
        </w:trPr>
        <w:tc>
          <w:tcPr>
            <w:tcW w:w="1976" w:type="dxa"/>
            <w:vAlign w:val="center"/>
          </w:tcPr>
          <w:p w14:paraId="24A04CB3" w14:textId="77777777" w:rsidR="00D378FB" w:rsidRPr="00D378FB" w:rsidRDefault="00D378FB" w:rsidP="001E2CE6">
            <w:pPr>
              <w:jc w:val="both"/>
              <w:rPr>
                <w:rFonts w:ascii="Times New Roman" w:hAnsi="Times New Roman" w:cs="Times New Roman"/>
                <w:color w:val="000000" w:themeColor="text1"/>
                <w:sz w:val="22"/>
                <w:szCs w:val="22"/>
              </w:rPr>
            </w:pPr>
            <w:r w:rsidRPr="0091734B">
              <w:rPr>
                <w:rFonts w:ascii="Times New Roman" w:hAnsi="Times New Roman" w:cs="Times New Roman"/>
                <w:b/>
                <w:bCs/>
                <w:sz w:val="22"/>
                <w:szCs w:val="22"/>
              </w:rPr>
              <w:t>Factor</w:t>
            </w:r>
          </w:p>
        </w:tc>
        <w:tc>
          <w:tcPr>
            <w:tcW w:w="959" w:type="dxa"/>
            <w:vAlign w:val="center"/>
          </w:tcPr>
          <w:p w14:paraId="34AB298C" w14:textId="77777777" w:rsidR="00D378FB" w:rsidRPr="00D378FB" w:rsidRDefault="00D378FB" w:rsidP="001E2CE6">
            <w:pPr>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No. of Studies</w:t>
            </w:r>
          </w:p>
        </w:tc>
        <w:tc>
          <w:tcPr>
            <w:tcW w:w="1756" w:type="dxa"/>
            <w:vAlign w:val="center"/>
          </w:tcPr>
          <w:p w14:paraId="2565B461" w14:textId="77777777" w:rsidR="00D378FB" w:rsidRPr="00D378FB" w:rsidRDefault="00D378FB" w:rsidP="001E2CE6">
            <w:pPr>
              <w:jc w:val="both"/>
              <w:rPr>
                <w:rFonts w:ascii="Times New Roman" w:hAnsi="Times New Roman" w:cs="Times New Roman"/>
                <w:color w:val="000000" w:themeColor="text1"/>
                <w:sz w:val="22"/>
                <w:szCs w:val="22"/>
              </w:rPr>
            </w:pPr>
            <w:r w:rsidRPr="0091734B">
              <w:rPr>
                <w:rFonts w:ascii="Times New Roman" w:hAnsi="Times New Roman" w:cs="Times New Roman"/>
                <w:b/>
                <w:bCs/>
                <w:sz w:val="22"/>
                <w:szCs w:val="22"/>
              </w:rPr>
              <w:t>AOR (95% CI</w:t>
            </w:r>
          </w:p>
        </w:tc>
        <w:tc>
          <w:tcPr>
            <w:tcW w:w="869" w:type="dxa"/>
            <w:vAlign w:val="center"/>
          </w:tcPr>
          <w:p w14:paraId="49C5C2E2" w14:textId="77777777" w:rsidR="00D378FB" w:rsidRPr="00D378FB" w:rsidRDefault="00D378FB" w:rsidP="001E2CE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I² (%)</w:t>
            </w:r>
          </w:p>
        </w:tc>
        <w:tc>
          <w:tcPr>
            <w:tcW w:w="1292" w:type="dxa"/>
          </w:tcPr>
          <w:p w14:paraId="6FAED253" w14:textId="15C0690D" w:rsidR="00D378FB" w:rsidRPr="00D378FB" w:rsidRDefault="00D378FB" w:rsidP="001E2CE6">
            <w:pPr>
              <w:jc w:val="both"/>
              <w:rPr>
                <w:rFonts w:ascii="Times New Roman" w:hAnsi="Times New Roman" w:cs="Times New Roman"/>
                <w:b/>
                <w:bCs/>
                <w:color w:val="000000" w:themeColor="text1"/>
                <w:sz w:val="22"/>
                <w:szCs w:val="22"/>
              </w:rPr>
            </w:pPr>
            <w:r w:rsidRPr="00D378FB">
              <w:rPr>
                <w:rFonts w:ascii="Times New Roman" w:hAnsi="Times New Roman" w:cs="Times New Roman"/>
                <w:b/>
                <w:bCs/>
                <w:color w:val="000000" w:themeColor="text1"/>
                <w:sz w:val="22"/>
                <w:szCs w:val="22"/>
              </w:rPr>
              <w:t>Publication bias</w:t>
            </w:r>
          </w:p>
        </w:tc>
        <w:tc>
          <w:tcPr>
            <w:tcW w:w="1068" w:type="dxa"/>
            <w:vAlign w:val="center"/>
          </w:tcPr>
          <w:p w14:paraId="42D2232E" w14:textId="248A7B74" w:rsidR="00D378FB" w:rsidRPr="00D378FB" w:rsidRDefault="00D378FB" w:rsidP="001E2CE6">
            <w:pPr>
              <w:jc w:val="both"/>
              <w:rPr>
                <w:rFonts w:ascii="Times New Roman" w:hAnsi="Times New Roman" w:cs="Times New Roman"/>
                <w:color w:val="000000" w:themeColor="text1"/>
                <w:sz w:val="22"/>
                <w:szCs w:val="22"/>
              </w:rPr>
            </w:pPr>
            <w:r w:rsidRPr="00111306">
              <w:rPr>
                <w:rFonts w:ascii="Times New Roman" w:hAnsi="Times New Roman" w:cs="Times New Roman"/>
                <w:b/>
                <w:bCs/>
                <w:color w:val="000000" w:themeColor="text1"/>
                <w:sz w:val="22"/>
                <w:szCs w:val="22"/>
              </w:rPr>
              <w:t>Certainty (GRADE)</w:t>
            </w:r>
          </w:p>
        </w:tc>
        <w:tc>
          <w:tcPr>
            <w:tcW w:w="2340" w:type="dxa"/>
            <w:vAlign w:val="center"/>
          </w:tcPr>
          <w:p w14:paraId="129C75B4" w14:textId="221D16F8" w:rsidR="00D378FB" w:rsidRPr="00D378FB" w:rsidRDefault="00843848" w:rsidP="001E2CE6">
            <w:pPr>
              <w:jc w:val="both"/>
              <w:rPr>
                <w:rFonts w:ascii="Times New Roman" w:hAnsi="Times New Roman" w:cs="Times New Roman"/>
                <w:color w:val="000000" w:themeColor="text1"/>
                <w:sz w:val="22"/>
                <w:szCs w:val="22"/>
              </w:rPr>
            </w:pPr>
            <w:r>
              <w:rPr>
                <w:rFonts w:ascii="Times New Roman" w:hAnsi="Times New Roman" w:cs="Times New Roman"/>
                <w:b/>
                <w:bCs/>
                <w:sz w:val="22"/>
                <w:szCs w:val="22"/>
              </w:rPr>
              <w:t>Rational for d</w:t>
            </w:r>
            <w:r w:rsidRPr="00111306">
              <w:rPr>
                <w:rFonts w:ascii="Times New Roman" w:hAnsi="Times New Roman" w:cs="Times New Roman"/>
                <w:b/>
                <w:bCs/>
                <w:sz w:val="22"/>
                <w:szCs w:val="22"/>
              </w:rPr>
              <w:t>own</w:t>
            </w:r>
            <w:r>
              <w:rPr>
                <w:rFonts w:ascii="Times New Roman" w:hAnsi="Times New Roman" w:cs="Times New Roman"/>
                <w:b/>
                <w:bCs/>
                <w:sz w:val="22"/>
                <w:szCs w:val="22"/>
              </w:rPr>
              <w:t xml:space="preserve"> or up</w:t>
            </w:r>
            <w:r w:rsidRPr="00111306">
              <w:rPr>
                <w:rFonts w:ascii="Times New Roman" w:hAnsi="Times New Roman" w:cs="Times New Roman"/>
                <w:b/>
                <w:bCs/>
                <w:sz w:val="22"/>
                <w:szCs w:val="22"/>
              </w:rPr>
              <w:t>grade</w:t>
            </w:r>
          </w:p>
        </w:tc>
      </w:tr>
      <w:tr w:rsidR="00D378FB" w:rsidRPr="00D378FB" w14:paraId="4E1D3E32" w14:textId="77777777" w:rsidTr="00D378FB">
        <w:tc>
          <w:tcPr>
            <w:tcW w:w="1976" w:type="dxa"/>
            <w:vAlign w:val="center"/>
          </w:tcPr>
          <w:p w14:paraId="4735C55D" w14:textId="28AF594F" w:rsidR="00D378FB" w:rsidRPr="00D378FB" w:rsidRDefault="00D378FB" w:rsidP="00D378FB">
            <w:pPr>
              <w:rPr>
                <w:rFonts w:ascii="Times New Roman" w:hAnsi="Times New Roman" w:cs="Times New Roman"/>
                <w:color w:val="000000" w:themeColor="text1"/>
                <w:sz w:val="22"/>
                <w:szCs w:val="22"/>
              </w:rPr>
            </w:pPr>
            <w:r w:rsidRPr="00487DF2">
              <w:rPr>
                <w:rFonts w:ascii="Times New Roman" w:hAnsi="Times New Roman" w:cs="Times New Roman"/>
                <w:sz w:val="22"/>
                <w:szCs w:val="22"/>
              </w:rPr>
              <w:t>Knowledge of LPM</w:t>
            </w:r>
          </w:p>
        </w:tc>
        <w:tc>
          <w:tcPr>
            <w:tcW w:w="959" w:type="dxa"/>
            <w:vAlign w:val="center"/>
          </w:tcPr>
          <w:p w14:paraId="74E14FC2" w14:textId="68ACE70C"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4</w:t>
            </w:r>
          </w:p>
        </w:tc>
        <w:tc>
          <w:tcPr>
            <w:tcW w:w="1756" w:type="dxa"/>
            <w:vAlign w:val="center"/>
          </w:tcPr>
          <w:p w14:paraId="02BDB08E" w14:textId="4E03446B" w:rsidR="00D378FB" w:rsidRPr="00D378FB" w:rsidRDefault="00D378FB" w:rsidP="00D378FB">
            <w:pPr>
              <w:rPr>
                <w:rFonts w:ascii="Times New Roman" w:hAnsi="Times New Roman" w:cs="Times New Roman"/>
                <w:color w:val="000000" w:themeColor="text1"/>
                <w:sz w:val="22"/>
                <w:szCs w:val="22"/>
              </w:rPr>
            </w:pPr>
            <w:r w:rsidRPr="00487DF2">
              <w:rPr>
                <w:rFonts w:ascii="Times New Roman" w:hAnsi="Times New Roman" w:cs="Times New Roman"/>
                <w:sz w:val="22"/>
                <w:szCs w:val="22"/>
              </w:rPr>
              <w:t>2.62 (1.97–3.48)</w:t>
            </w:r>
          </w:p>
        </w:tc>
        <w:tc>
          <w:tcPr>
            <w:tcW w:w="869" w:type="dxa"/>
            <w:vAlign w:val="center"/>
          </w:tcPr>
          <w:p w14:paraId="422ADA6E" w14:textId="266379DB"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21.1</w:t>
            </w:r>
          </w:p>
        </w:tc>
        <w:tc>
          <w:tcPr>
            <w:tcW w:w="1292" w:type="dxa"/>
            <w:vAlign w:val="center"/>
          </w:tcPr>
          <w:p w14:paraId="296D44FF" w14:textId="260444A8" w:rsidR="00D378FB" w:rsidRPr="00D378FB" w:rsidRDefault="00D378FB" w:rsidP="00D378FB">
            <w:pPr>
              <w:jc w:val="both"/>
              <w:rPr>
                <w:rFonts w:ascii="Times New Roman" w:hAnsi="Times New Roman" w:cs="Times New Roman"/>
                <w:sz w:val="22"/>
                <w:szCs w:val="22"/>
              </w:rPr>
            </w:pPr>
            <w:r w:rsidRPr="00D378FB">
              <w:rPr>
                <w:rFonts w:ascii="Times New Roman" w:hAnsi="Times New Roman" w:cs="Times New Roman"/>
                <w:sz w:val="22"/>
                <w:szCs w:val="22"/>
              </w:rPr>
              <w:t>Not assessed</w:t>
            </w:r>
          </w:p>
        </w:tc>
        <w:tc>
          <w:tcPr>
            <w:tcW w:w="1068" w:type="dxa"/>
            <w:vAlign w:val="center"/>
          </w:tcPr>
          <w:p w14:paraId="010A7334" w14:textId="20C7BB68"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Moderate</w:t>
            </w:r>
          </w:p>
        </w:tc>
        <w:tc>
          <w:tcPr>
            <w:tcW w:w="2340" w:type="dxa"/>
            <w:vAlign w:val="center"/>
          </w:tcPr>
          <w:p w14:paraId="08F22FB7" w14:textId="347513F8" w:rsidR="00D378FB" w:rsidRPr="00D378FB" w:rsidRDefault="00843848" w:rsidP="00D378FB">
            <w:pPr>
              <w:rPr>
                <w:rFonts w:ascii="Times New Roman" w:hAnsi="Times New Roman" w:cs="Times New Roman"/>
                <w:color w:val="000000" w:themeColor="text1"/>
                <w:sz w:val="22"/>
                <w:szCs w:val="22"/>
              </w:rPr>
            </w:pPr>
            <w:r w:rsidRPr="00843848">
              <w:rPr>
                <w:rFonts w:ascii="Times New Roman" w:hAnsi="Times New Roman" w:cs="Times New Roman"/>
                <w:sz w:val="22"/>
                <w:szCs w:val="22"/>
              </w:rPr>
              <w:t>Upgraded for consistency and precision</w:t>
            </w:r>
          </w:p>
        </w:tc>
      </w:tr>
      <w:tr w:rsidR="00D378FB" w:rsidRPr="00D378FB" w14:paraId="207C5F3A" w14:textId="77777777" w:rsidTr="00D378FB">
        <w:tc>
          <w:tcPr>
            <w:tcW w:w="1976" w:type="dxa"/>
            <w:vAlign w:val="center"/>
          </w:tcPr>
          <w:p w14:paraId="52E7EAC7" w14:textId="21340E0F"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Favorable attitude</w:t>
            </w:r>
          </w:p>
        </w:tc>
        <w:tc>
          <w:tcPr>
            <w:tcW w:w="959" w:type="dxa"/>
            <w:vAlign w:val="center"/>
          </w:tcPr>
          <w:p w14:paraId="2626B7F3" w14:textId="1B90E8D2"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5</w:t>
            </w:r>
          </w:p>
        </w:tc>
        <w:tc>
          <w:tcPr>
            <w:tcW w:w="1756" w:type="dxa"/>
            <w:vAlign w:val="center"/>
          </w:tcPr>
          <w:p w14:paraId="366BAF15" w14:textId="44045114" w:rsidR="00D378FB" w:rsidRPr="00D378FB" w:rsidRDefault="00D378FB" w:rsidP="00D378FB">
            <w:pPr>
              <w:rPr>
                <w:rFonts w:ascii="Times New Roman" w:hAnsi="Times New Roman" w:cs="Times New Roman"/>
                <w:color w:val="000000" w:themeColor="text1"/>
                <w:sz w:val="22"/>
                <w:szCs w:val="22"/>
              </w:rPr>
            </w:pPr>
            <w:r w:rsidRPr="00487DF2">
              <w:rPr>
                <w:rFonts w:ascii="Times New Roman" w:hAnsi="Times New Roman" w:cs="Times New Roman"/>
                <w:sz w:val="22"/>
                <w:szCs w:val="22"/>
              </w:rPr>
              <w:t>3.54 (2.12–5.93)</w:t>
            </w:r>
          </w:p>
        </w:tc>
        <w:tc>
          <w:tcPr>
            <w:tcW w:w="869" w:type="dxa"/>
            <w:vAlign w:val="center"/>
          </w:tcPr>
          <w:p w14:paraId="5C288F3F" w14:textId="4EDA9B42"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79.5</w:t>
            </w:r>
          </w:p>
        </w:tc>
        <w:tc>
          <w:tcPr>
            <w:tcW w:w="1292" w:type="dxa"/>
            <w:vAlign w:val="center"/>
          </w:tcPr>
          <w:p w14:paraId="7D1EC41A" w14:textId="0CCAA7D8" w:rsidR="00D378FB" w:rsidRPr="00D378FB" w:rsidRDefault="00D378FB" w:rsidP="00D378FB">
            <w:pPr>
              <w:jc w:val="both"/>
              <w:rPr>
                <w:rFonts w:ascii="Times New Roman" w:hAnsi="Times New Roman" w:cs="Times New Roman"/>
                <w:sz w:val="22"/>
                <w:szCs w:val="22"/>
              </w:rPr>
            </w:pPr>
            <w:r w:rsidRPr="00D378FB">
              <w:rPr>
                <w:rFonts w:ascii="Times New Roman" w:hAnsi="Times New Roman" w:cs="Times New Roman"/>
                <w:sz w:val="22"/>
                <w:szCs w:val="22"/>
              </w:rPr>
              <w:t>Not assessed</w:t>
            </w:r>
          </w:p>
        </w:tc>
        <w:tc>
          <w:tcPr>
            <w:tcW w:w="1068" w:type="dxa"/>
            <w:vAlign w:val="center"/>
          </w:tcPr>
          <w:p w14:paraId="1B0C3CD4" w14:textId="5FFCB7A9"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Low</w:t>
            </w:r>
          </w:p>
        </w:tc>
        <w:tc>
          <w:tcPr>
            <w:tcW w:w="2340" w:type="dxa"/>
            <w:vAlign w:val="center"/>
          </w:tcPr>
          <w:p w14:paraId="3F865BCB" w14:textId="2D1A2902" w:rsidR="00D378FB" w:rsidRPr="00D378FB" w:rsidRDefault="00843848" w:rsidP="00D378FB">
            <w:pPr>
              <w:rPr>
                <w:rFonts w:ascii="Times New Roman" w:hAnsi="Times New Roman" w:cs="Times New Roman"/>
                <w:color w:val="000000" w:themeColor="text1"/>
                <w:sz w:val="22"/>
                <w:szCs w:val="22"/>
              </w:rPr>
            </w:pPr>
            <w:r w:rsidRPr="00843848">
              <w:rPr>
                <w:rFonts w:ascii="Times New Roman" w:hAnsi="Times New Roman" w:cs="Times New Roman"/>
                <w:color w:val="000000" w:themeColor="text1"/>
                <w:sz w:val="22"/>
                <w:szCs w:val="22"/>
              </w:rPr>
              <w:t>Downgraded for inconsistency</w:t>
            </w:r>
          </w:p>
        </w:tc>
      </w:tr>
      <w:tr w:rsidR="00D378FB" w:rsidRPr="00D378FB" w14:paraId="55EF52DD" w14:textId="77777777" w:rsidTr="00D378FB">
        <w:tc>
          <w:tcPr>
            <w:tcW w:w="1976" w:type="dxa"/>
            <w:vAlign w:val="center"/>
          </w:tcPr>
          <w:p w14:paraId="5E5DFDCC" w14:textId="5971D0C2"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Protocol availability</w:t>
            </w:r>
          </w:p>
        </w:tc>
        <w:tc>
          <w:tcPr>
            <w:tcW w:w="959" w:type="dxa"/>
            <w:vAlign w:val="center"/>
          </w:tcPr>
          <w:p w14:paraId="56DE711F" w14:textId="26DA17F9"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2</w:t>
            </w:r>
          </w:p>
        </w:tc>
        <w:tc>
          <w:tcPr>
            <w:tcW w:w="1756" w:type="dxa"/>
            <w:vAlign w:val="center"/>
          </w:tcPr>
          <w:p w14:paraId="2EA68F53" w14:textId="1AC791AA" w:rsidR="00D378FB" w:rsidRPr="00D378FB" w:rsidRDefault="00D378FB" w:rsidP="00D378FB">
            <w:pPr>
              <w:rPr>
                <w:rFonts w:ascii="Times New Roman" w:hAnsi="Times New Roman" w:cs="Times New Roman"/>
                <w:color w:val="000000" w:themeColor="text1"/>
                <w:sz w:val="22"/>
                <w:szCs w:val="22"/>
              </w:rPr>
            </w:pPr>
            <w:r w:rsidRPr="00487DF2">
              <w:rPr>
                <w:rFonts w:ascii="Times New Roman" w:hAnsi="Times New Roman" w:cs="Times New Roman"/>
                <w:sz w:val="22"/>
                <w:szCs w:val="22"/>
              </w:rPr>
              <w:t>2.45 (1.09–5.53)</w:t>
            </w:r>
          </w:p>
        </w:tc>
        <w:tc>
          <w:tcPr>
            <w:tcW w:w="869" w:type="dxa"/>
            <w:vAlign w:val="center"/>
          </w:tcPr>
          <w:p w14:paraId="46D52D8E" w14:textId="30E9A43E"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71.0</w:t>
            </w:r>
          </w:p>
        </w:tc>
        <w:tc>
          <w:tcPr>
            <w:tcW w:w="1292" w:type="dxa"/>
            <w:vAlign w:val="center"/>
          </w:tcPr>
          <w:p w14:paraId="2430CF76" w14:textId="5595AF88" w:rsidR="00D378FB" w:rsidRPr="00D378FB" w:rsidRDefault="00D378FB" w:rsidP="00D378FB">
            <w:pPr>
              <w:jc w:val="both"/>
              <w:rPr>
                <w:rFonts w:ascii="Times New Roman" w:hAnsi="Times New Roman" w:cs="Times New Roman"/>
                <w:sz w:val="22"/>
                <w:szCs w:val="22"/>
              </w:rPr>
            </w:pPr>
            <w:r w:rsidRPr="00D378FB">
              <w:rPr>
                <w:rFonts w:ascii="Times New Roman" w:hAnsi="Times New Roman" w:cs="Times New Roman"/>
                <w:sz w:val="22"/>
                <w:szCs w:val="22"/>
              </w:rPr>
              <w:t>Not assessed</w:t>
            </w:r>
          </w:p>
        </w:tc>
        <w:tc>
          <w:tcPr>
            <w:tcW w:w="1068" w:type="dxa"/>
            <w:vAlign w:val="center"/>
          </w:tcPr>
          <w:p w14:paraId="7B418895" w14:textId="2056275D" w:rsidR="00D378FB" w:rsidRPr="00D378FB" w:rsidRDefault="00D378FB" w:rsidP="00D378FB">
            <w:pPr>
              <w:jc w:val="both"/>
              <w:rPr>
                <w:rFonts w:ascii="Times New Roman" w:hAnsi="Times New Roman" w:cs="Times New Roman"/>
                <w:color w:val="000000" w:themeColor="text1"/>
                <w:sz w:val="22"/>
                <w:szCs w:val="22"/>
              </w:rPr>
            </w:pPr>
            <w:r w:rsidRPr="00487DF2">
              <w:rPr>
                <w:rFonts w:ascii="Times New Roman" w:hAnsi="Times New Roman" w:cs="Times New Roman"/>
                <w:sz w:val="22"/>
                <w:szCs w:val="22"/>
              </w:rPr>
              <w:t>Low</w:t>
            </w:r>
          </w:p>
        </w:tc>
        <w:tc>
          <w:tcPr>
            <w:tcW w:w="2340" w:type="dxa"/>
            <w:vAlign w:val="center"/>
          </w:tcPr>
          <w:p w14:paraId="1C21C0D4" w14:textId="5B32B2B6" w:rsidR="00D378FB" w:rsidRPr="00D378FB" w:rsidRDefault="00843848" w:rsidP="00D378FB">
            <w:pPr>
              <w:rPr>
                <w:rFonts w:ascii="Times New Roman" w:hAnsi="Times New Roman" w:cs="Times New Roman"/>
                <w:color w:val="000000" w:themeColor="text1"/>
                <w:sz w:val="22"/>
                <w:szCs w:val="22"/>
              </w:rPr>
            </w:pPr>
            <w:r w:rsidRPr="00843848">
              <w:rPr>
                <w:rFonts w:ascii="Times New Roman" w:hAnsi="Times New Roman" w:cs="Times New Roman"/>
                <w:color w:val="000000" w:themeColor="text1"/>
                <w:sz w:val="22"/>
                <w:szCs w:val="22"/>
              </w:rPr>
              <w:t>Downgraded for inconsistency and limited data</w:t>
            </w:r>
          </w:p>
        </w:tc>
      </w:tr>
      <w:tr w:rsidR="00D378FB" w:rsidRPr="00D378FB" w14:paraId="4C27B598" w14:textId="77777777" w:rsidTr="00D378FB">
        <w:tc>
          <w:tcPr>
            <w:tcW w:w="1976" w:type="dxa"/>
            <w:vAlign w:val="center"/>
          </w:tcPr>
          <w:p w14:paraId="1E68E69B" w14:textId="13B2E1BF" w:rsidR="00D378FB" w:rsidRPr="00D378FB" w:rsidRDefault="00D378FB" w:rsidP="00D378FB">
            <w:pPr>
              <w:rPr>
                <w:rFonts w:ascii="Times New Roman" w:hAnsi="Times New Roman" w:cs="Times New Roman"/>
                <w:sz w:val="22"/>
                <w:szCs w:val="22"/>
              </w:rPr>
            </w:pPr>
            <w:r w:rsidRPr="00487DF2">
              <w:rPr>
                <w:rFonts w:ascii="Times New Roman" w:hAnsi="Times New Roman" w:cs="Times New Roman"/>
                <w:sz w:val="22"/>
                <w:szCs w:val="22"/>
              </w:rPr>
              <w:t xml:space="preserve">6–9 </w:t>
            </w:r>
            <w:r w:rsidRPr="00D378FB">
              <w:rPr>
                <w:rFonts w:ascii="Times New Roman" w:hAnsi="Times New Roman" w:cs="Times New Roman"/>
                <w:sz w:val="22"/>
                <w:szCs w:val="22"/>
              </w:rPr>
              <w:t>years’ experience</w:t>
            </w:r>
          </w:p>
        </w:tc>
        <w:tc>
          <w:tcPr>
            <w:tcW w:w="959" w:type="dxa"/>
            <w:vAlign w:val="center"/>
          </w:tcPr>
          <w:p w14:paraId="39637F62" w14:textId="7F8CC4DE"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2</w:t>
            </w:r>
          </w:p>
        </w:tc>
        <w:tc>
          <w:tcPr>
            <w:tcW w:w="1756" w:type="dxa"/>
            <w:vAlign w:val="center"/>
          </w:tcPr>
          <w:p w14:paraId="391A997C" w14:textId="255FAB30" w:rsidR="00D378FB" w:rsidRPr="00D378FB" w:rsidRDefault="00D378FB" w:rsidP="00D378FB">
            <w:pPr>
              <w:rPr>
                <w:rFonts w:ascii="Times New Roman" w:hAnsi="Times New Roman" w:cs="Times New Roman"/>
                <w:sz w:val="22"/>
                <w:szCs w:val="22"/>
              </w:rPr>
            </w:pPr>
            <w:r w:rsidRPr="00487DF2">
              <w:rPr>
                <w:rFonts w:ascii="Times New Roman" w:hAnsi="Times New Roman" w:cs="Times New Roman"/>
                <w:sz w:val="22"/>
                <w:szCs w:val="22"/>
              </w:rPr>
              <w:t>3.20 (1.89–5.42)</w:t>
            </w:r>
          </w:p>
        </w:tc>
        <w:tc>
          <w:tcPr>
            <w:tcW w:w="869" w:type="dxa"/>
            <w:vAlign w:val="center"/>
          </w:tcPr>
          <w:p w14:paraId="4C7EFD71" w14:textId="77556EDF"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0.0</w:t>
            </w:r>
          </w:p>
        </w:tc>
        <w:tc>
          <w:tcPr>
            <w:tcW w:w="1292" w:type="dxa"/>
            <w:vAlign w:val="center"/>
          </w:tcPr>
          <w:p w14:paraId="5FD194BA" w14:textId="6A7BD8BC" w:rsidR="00D378FB" w:rsidRPr="00D378FB" w:rsidRDefault="00D378FB" w:rsidP="00D378FB">
            <w:pPr>
              <w:jc w:val="both"/>
              <w:rPr>
                <w:rFonts w:ascii="Times New Roman" w:hAnsi="Times New Roman" w:cs="Times New Roman"/>
                <w:sz w:val="22"/>
                <w:szCs w:val="22"/>
              </w:rPr>
            </w:pPr>
            <w:r w:rsidRPr="00D378FB">
              <w:rPr>
                <w:rFonts w:ascii="Times New Roman" w:hAnsi="Times New Roman" w:cs="Times New Roman"/>
                <w:sz w:val="22"/>
                <w:szCs w:val="22"/>
              </w:rPr>
              <w:t>Not assessed</w:t>
            </w:r>
          </w:p>
        </w:tc>
        <w:tc>
          <w:tcPr>
            <w:tcW w:w="1068" w:type="dxa"/>
            <w:vAlign w:val="center"/>
          </w:tcPr>
          <w:p w14:paraId="3ECDB842" w14:textId="7F93AFF0"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Moderate</w:t>
            </w:r>
          </w:p>
        </w:tc>
        <w:tc>
          <w:tcPr>
            <w:tcW w:w="2340" w:type="dxa"/>
            <w:vAlign w:val="center"/>
          </w:tcPr>
          <w:p w14:paraId="75229E81" w14:textId="4714D06F" w:rsidR="00D378FB" w:rsidRPr="00D378FB" w:rsidRDefault="00843848" w:rsidP="00D378FB">
            <w:pPr>
              <w:rPr>
                <w:rFonts w:ascii="Times New Roman" w:hAnsi="Times New Roman" w:cs="Times New Roman"/>
                <w:sz w:val="22"/>
                <w:szCs w:val="22"/>
              </w:rPr>
            </w:pPr>
            <w:r w:rsidRPr="00843848">
              <w:rPr>
                <w:rFonts w:ascii="Times New Roman" w:hAnsi="Times New Roman" w:cs="Times New Roman"/>
                <w:sz w:val="22"/>
                <w:szCs w:val="22"/>
              </w:rPr>
              <w:t>Upgraded for strong association and consistency</w:t>
            </w:r>
          </w:p>
        </w:tc>
      </w:tr>
      <w:tr w:rsidR="00D378FB" w:rsidRPr="00D378FB" w14:paraId="2C20D598" w14:textId="77777777" w:rsidTr="00D378FB">
        <w:tc>
          <w:tcPr>
            <w:tcW w:w="1976" w:type="dxa"/>
            <w:vAlign w:val="center"/>
          </w:tcPr>
          <w:p w14:paraId="2A6E7671" w14:textId="5EED4B26" w:rsidR="00D378FB" w:rsidRPr="00D378FB" w:rsidRDefault="00D378FB" w:rsidP="00D378FB">
            <w:pPr>
              <w:rPr>
                <w:rFonts w:ascii="Times New Roman" w:hAnsi="Times New Roman" w:cs="Times New Roman"/>
                <w:sz w:val="22"/>
                <w:szCs w:val="22"/>
              </w:rPr>
            </w:pPr>
            <w:r w:rsidRPr="00487DF2">
              <w:rPr>
                <w:rFonts w:ascii="Times New Roman" w:hAnsi="Times New Roman" w:cs="Times New Roman"/>
                <w:sz w:val="22"/>
                <w:szCs w:val="22"/>
              </w:rPr>
              <w:t>Favorable environment</w:t>
            </w:r>
          </w:p>
        </w:tc>
        <w:tc>
          <w:tcPr>
            <w:tcW w:w="959" w:type="dxa"/>
            <w:vAlign w:val="center"/>
          </w:tcPr>
          <w:p w14:paraId="6AC287F1" w14:textId="5F0D8F4B"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2</w:t>
            </w:r>
          </w:p>
        </w:tc>
        <w:tc>
          <w:tcPr>
            <w:tcW w:w="1756" w:type="dxa"/>
            <w:vAlign w:val="center"/>
          </w:tcPr>
          <w:p w14:paraId="43E61FE9" w14:textId="5DA9062F" w:rsidR="00D378FB" w:rsidRPr="00D378FB" w:rsidRDefault="00D378FB" w:rsidP="00D378FB">
            <w:pPr>
              <w:rPr>
                <w:rFonts w:ascii="Times New Roman" w:hAnsi="Times New Roman" w:cs="Times New Roman"/>
                <w:sz w:val="22"/>
                <w:szCs w:val="22"/>
              </w:rPr>
            </w:pPr>
            <w:r w:rsidRPr="00487DF2">
              <w:rPr>
                <w:rFonts w:ascii="Times New Roman" w:hAnsi="Times New Roman" w:cs="Times New Roman"/>
                <w:sz w:val="22"/>
                <w:szCs w:val="22"/>
              </w:rPr>
              <w:t>3.24 (2.00–5.27)</w:t>
            </w:r>
          </w:p>
        </w:tc>
        <w:tc>
          <w:tcPr>
            <w:tcW w:w="869" w:type="dxa"/>
            <w:vAlign w:val="center"/>
          </w:tcPr>
          <w:p w14:paraId="6E63150B" w14:textId="372555FA"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0.0</w:t>
            </w:r>
          </w:p>
        </w:tc>
        <w:tc>
          <w:tcPr>
            <w:tcW w:w="1292" w:type="dxa"/>
            <w:vAlign w:val="center"/>
          </w:tcPr>
          <w:p w14:paraId="6B19FE2B" w14:textId="2C368674" w:rsidR="00D378FB" w:rsidRPr="00D378FB" w:rsidRDefault="00D378FB" w:rsidP="00D378FB">
            <w:pPr>
              <w:jc w:val="both"/>
              <w:rPr>
                <w:rFonts w:ascii="Times New Roman" w:hAnsi="Times New Roman" w:cs="Times New Roman"/>
                <w:sz w:val="22"/>
                <w:szCs w:val="22"/>
              </w:rPr>
            </w:pPr>
            <w:r w:rsidRPr="00D378FB">
              <w:rPr>
                <w:rFonts w:ascii="Times New Roman" w:hAnsi="Times New Roman" w:cs="Times New Roman"/>
                <w:sz w:val="22"/>
                <w:szCs w:val="22"/>
              </w:rPr>
              <w:t>Not assessed</w:t>
            </w:r>
          </w:p>
        </w:tc>
        <w:tc>
          <w:tcPr>
            <w:tcW w:w="1068" w:type="dxa"/>
            <w:vAlign w:val="center"/>
          </w:tcPr>
          <w:p w14:paraId="6A2B3A4F" w14:textId="06439E3B" w:rsidR="00D378FB" w:rsidRPr="00D378FB" w:rsidRDefault="00D378FB" w:rsidP="00D378FB">
            <w:pPr>
              <w:jc w:val="both"/>
              <w:rPr>
                <w:rFonts w:ascii="Times New Roman" w:hAnsi="Times New Roman" w:cs="Times New Roman"/>
                <w:sz w:val="22"/>
                <w:szCs w:val="22"/>
              </w:rPr>
            </w:pPr>
            <w:r w:rsidRPr="00487DF2">
              <w:rPr>
                <w:rFonts w:ascii="Times New Roman" w:hAnsi="Times New Roman" w:cs="Times New Roman"/>
                <w:sz w:val="22"/>
                <w:szCs w:val="22"/>
              </w:rPr>
              <w:t>Moderate</w:t>
            </w:r>
          </w:p>
        </w:tc>
        <w:tc>
          <w:tcPr>
            <w:tcW w:w="2340" w:type="dxa"/>
            <w:vAlign w:val="center"/>
          </w:tcPr>
          <w:p w14:paraId="1768D785" w14:textId="03F72326" w:rsidR="00D378FB" w:rsidRPr="00D378FB" w:rsidRDefault="00843848" w:rsidP="00D378FB">
            <w:pPr>
              <w:rPr>
                <w:rFonts w:ascii="Times New Roman" w:hAnsi="Times New Roman" w:cs="Times New Roman"/>
                <w:sz w:val="22"/>
                <w:szCs w:val="22"/>
              </w:rPr>
            </w:pPr>
            <w:r w:rsidRPr="00843848">
              <w:rPr>
                <w:rFonts w:ascii="Times New Roman" w:hAnsi="Times New Roman" w:cs="Times New Roman"/>
                <w:sz w:val="22"/>
                <w:szCs w:val="22"/>
              </w:rPr>
              <w:t>Upgraded for strong association and consistency</w:t>
            </w:r>
          </w:p>
        </w:tc>
      </w:tr>
    </w:tbl>
    <w:p w14:paraId="60CD71A3" w14:textId="77777777" w:rsidR="00487DF2" w:rsidRDefault="00487DF2" w:rsidP="00D63BB4">
      <w:pPr>
        <w:spacing w:line="360" w:lineRule="auto"/>
        <w:rPr>
          <w:rFonts w:ascii="Times New Roman" w:hAnsi="Times New Roman" w:cs="Times New Roman"/>
        </w:rPr>
      </w:pPr>
    </w:p>
    <w:p w14:paraId="027A305C" w14:textId="405CD867" w:rsidR="00052E36" w:rsidRDefault="0053320F" w:rsidP="00D63BB4">
      <w:pPr>
        <w:spacing w:line="360" w:lineRule="auto"/>
        <w:rPr>
          <w:rFonts w:ascii="Times New Roman" w:hAnsi="Times New Roman" w:cs="Times New Roman"/>
        </w:rPr>
      </w:pPr>
      <w:r>
        <w:rPr>
          <w:rFonts w:ascii="Times New Roman" w:hAnsi="Times New Roman" w:cs="Times New Roman"/>
          <w:b/>
          <w:bCs/>
          <w:color w:val="000000" w:themeColor="text1"/>
        </w:rPr>
        <w:t xml:space="preserve">Supplementary </w:t>
      </w:r>
      <w:r w:rsidRPr="00B42657">
        <w:rPr>
          <w:rFonts w:ascii="Times New Roman" w:hAnsi="Times New Roman" w:cs="Times New Roman"/>
          <w:b/>
          <w:bCs/>
          <w:color w:val="000000" w:themeColor="text1"/>
        </w:rPr>
        <w:t xml:space="preserve">Table </w:t>
      </w:r>
      <w:r w:rsidR="00CE4748">
        <w:rPr>
          <w:rFonts w:ascii="Times New Roman" w:hAnsi="Times New Roman" w:cs="Times New Roman"/>
          <w:b/>
          <w:bCs/>
          <w:color w:val="000000" w:themeColor="text1"/>
        </w:rPr>
        <w:t>8</w:t>
      </w:r>
      <w:r>
        <w:rPr>
          <w:rFonts w:ascii="Times New Roman" w:hAnsi="Times New Roman" w:cs="Times New Roman"/>
          <w:b/>
          <w:bCs/>
          <w:color w:val="000000" w:themeColor="text1"/>
        </w:rPr>
        <w:t>d</w:t>
      </w:r>
      <w:r w:rsidRPr="00B42657">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00052E36" w:rsidRPr="00052E36">
        <w:rPr>
          <w:rFonts w:ascii="Times New Roman" w:hAnsi="Times New Roman" w:cs="Times New Roman"/>
        </w:rPr>
        <w:t xml:space="preserve">Additional </w:t>
      </w:r>
      <w:r w:rsidR="00052E36">
        <w:rPr>
          <w:rFonts w:ascii="Times New Roman" w:hAnsi="Times New Roman" w:cs="Times New Roman"/>
        </w:rPr>
        <w:t>f</w:t>
      </w:r>
      <w:r w:rsidR="00052E36" w:rsidRPr="00052E36">
        <w:rPr>
          <w:rFonts w:ascii="Times New Roman" w:hAnsi="Times New Roman" w:cs="Times New Roman"/>
        </w:rPr>
        <w:t xml:space="preserve">actors </w:t>
      </w:r>
      <w:r w:rsidR="00052E36">
        <w:rPr>
          <w:rFonts w:ascii="Times New Roman" w:hAnsi="Times New Roman" w:cs="Times New Roman"/>
        </w:rPr>
        <w:t xml:space="preserve">associated with the N-PLPMP </w:t>
      </w:r>
      <w:r w:rsidR="00052E36" w:rsidRPr="00052E36">
        <w:rPr>
          <w:rFonts w:ascii="Times New Roman" w:hAnsi="Times New Roman" w:cs="Times New Roman"/>
        </w:rPr>
        <w:t xml:space="preserve">from </w:t>
      </w:r>
      <w:r w:rsidR="00052E36">
        <w:rPr>
          <w:rFonts w:ascii="Times New Roman" w:hAnsi="Times New Roman" w:cs="Times New Roman"/>
        </w:rPr>
        <w:t>i</w:t>
      </w:r>
      <w:r w:rsidR="00052E36" w:rsidRPr="00052E36">
        <w:rPr>
          <w:rFonts w:ascii="Times New Roman" w:hAnsi="Times New Roman" w:cs="Times New Roman"/>
        </w:rPr>
        <w:t xml:space="preserve">ndividual </w:t>
      </w:r>
      <w:r w:rsidR="00052E36">
        <w:rPr>
          <w:rFonts w:ascii="Times New Roman" w:hAnsi="Times New Roman" w:cs="Times New Roman"/>
        </w:rPr>
        <w:t>s</w:t>
      </w:r>
      <w:r w:rsidR="00052E36" w:rsidRPr="00052E36">
        <w:rPr>
          <w:rFonts w:ascii="Times New Roman" w:hAnsi="Times New Roman" w:cs="Times New Roman"/>
        </w:rPr>
        <w:t>tudies (</w:t>
      </w:r>
      <w:r w:rsidR="00A87F5A">
        <w:rPr>
          <w:rFonts w:ascii="Times New Roman" w:hAnsi="Times New Roman" w:cs="Times New Roman"/>
        </w:rPr>
        <w:t>i</w:t>
      </w:r>
      <w:r w:rsidR="00A87F5A" w:rsidRPr="00487DF2">
        <w:rPr>
          <w:rFonts w:ascii="Times New Roman" w:hAnsi="Times New Roman" w:cs="Times New Roman"/>
        </w:rPr>
        <w:t xml:space="preserve">ndividual </w:t>
      </w:r>
      <w:r w:rsidR="00A87F5A">
        <w:rPr>
          <w:rFonts w:ascii="Times New Roman" w:hAnsi="Times New Roman" w:cs="Times New Roman"/>
        </w:rPr>
        <w:t>s</w:t>
      </w:r>
      <w:r w:rsidR="00A87F5A" w:rsidRPr="00487DF2">
        <w:rPr>
          <w:rFonts w:ascii="Times New Roman" w:hAnsi="Times New Roman" w:cs="Times New Roman"/>
        </w:rPr>
        <w:t xml:space="preserve">tudies </w:t>
      </w:r>
      <w:r w:rsidR="00A87F5A">
        <w:rPr>
          <w:rFonts w:ascii="Times New Roman" w:hAnsi="Times New Roman" w:cs="Times New Roman"/>
        </w:rPr>
        <w:t>o</w:t>
      </w:r>
      <w:r w:rsidR="00A87F5A" w:rsidRPr="00487DF2">
        <w:rPr>
          <w:rFonts w:ascii="Times New Roman" w:hAnsi="Times New Roman" w:cs="Times New Roman"/>
        </w:rPr>
        <w:t>nly</w:t>
      </w:r>
      <w:r w:rsidR="00A87F5A">
        <w:rPr>
          <w:rFonts w:ascii="Times New Roman" w:hAnsi="Times New Roman" w:cs="Times New Roman"/>
        </w:rPr>
        <w:t xml:space="preserve"> and </w:t>
      </w:r>
      <w:r w:rsidR="00052E36">
        <w:rPr>
          <w:rFonts w:ascii="Times New Roman" w:hAnsi="Times New Roman" w:cs="Times New Roman"/>
        </w:rPr>
        <w:t>n</w:t>
      </w:r>
      <w:r w:rsidR="00052E36" w:rsidRPr="00052E36">
        <w:rPr>
          <w:rFonts w:ascii="Times New Roman" w:hAnsi="Times New Roman" w:cs="Times New Roman"/>
        </w:rPr>
        <w:t xml:space="preserve">ot </w:t>
      </w:r>
      <w:r w:rsidR="00052E36">
        <w:rPr>
          <w:rFonts w:ascii="Times New Roman" w:hAnsi="Times New Roman" w:cs="Times New Roman"/>
        </w:rPr>
        <w:t>p</w:t>
      </w:r>
      <w:r w:rsidR="00052E36" w:rsidRPr="00052E36">
        <w:rPr>
          <w:rFonts w:ascii="Times New Roman" w:hAnsi="Times New Roman" w:cs="Times New Roman"/>
        </w:rPr>
        <w:t>ooled)</w:t>
      </w:r>
    </w:p>
    <w:tbl>
      <w:tblPr>
        <w:tblStyle w:val="TableGrid"/>
        <w:tblW w:w="10170" w:type="dxa"/>
        <w:tblInd w:w="-455" w:type="dxa"/>
        <w:tblLook w:val="04A0" w:firstRow="1" w:lastRow="0" w:firstColumn="1" w:lastColumn="0" w:noHBand="0" w:noVBand="1"/>
      </w:tblPr>
      <w:tblGrid>
        <w:gridCol w:w="2880"/>
        <w:gridCol w:w="2160"/>
        <w:gridCol w:w="1980"/>
        <w:gridCol w:w="1440"/>
        <w:gridCol w:w="1710"/>
      </w:tblGrid>
      <w:tr w:rsidR="00AA38ED" w:rsidRPr="00D85CD6" w14:paraId="164127AD" w14:textId="77777777" w:rsidTr="00D85CD6">
        <w:trPr>
          <w:trHeight w:val="422"/>
        </w:trPr>
        <w:tc>
          <w:tcPr>
            <w:tcW w:w="2880" w:type="dxa"/>
            <w:vAlign w:val="center"/>
          </w:tcPr>
          <w:p w14:paraId="39092313" w14:textId="77777777" w:rsidR="00AA38ED" w:rsidRPr="00D85CD6" w:rsidRDefault="00AA38ED" w:rsidP="00D85CD6">
            <w:pPr>
              <w:jc w:val="both"/>
              <w:rPr>
                <w:rFonts w:ascii="Times New Roman" w:hAnsi="Times New Roman" w:cs="Times New Roman"/>
                <w:sz w:val="22"/>
                <w:szCs w:val="22"/>
              </w:rPr>
            </w:pPr>
            <w:r w:rsidRPr="0091734B">
              <w:rPr>
                <w:rFonts w:ascii="Times New Roman" w:hAnsi="Times New Roman" w:cs="Times New Roman"/>
                <w:b/>
                <w:bCs/>
                <w:sz w:val="22"/>
                <w:szCs w:val="22"/>
              </w:rPr>
              <w:t>Factor</w:t>
            </w:r>
          </w:p>
        </w:tc>
        <w:tc>
          <w:tcPr>
            <w:tcW w:w="2160" w:type="dxa"/>
            <w:vAlign w:val="center"/>
          </w:tcPr>
          <w:p w14:paraId="2E93676C" w14:textId="77777777" w:rsidR="00AA38ED" w:rsidRPr="00D85CD6" w:rsidRDefault="00AA38ED" w:rsidP="00D85CD6">
            <w:pPr>
              <w:rPr>
                <w:rFonts w:ascii="Times New Roman" w:hAnsi="Times New Roman" w:cs="Times New Roman"/>
                <w:sz w:val="22"/>
                <w:szCs w:val="22"/>
              </w:rPr>
            </w:pPr>
            <w:r w:rsidRPr="00111306">
              <w:rPr>
                <w:rFonts w:ascii="Times New Roman" w:hAnsi="Times New Roman" w:cs="Times New Roman"/>
                <w:b/>
                <w:bCs/>
                <w:sz w:val="22"/>
                <w:szCs w:val="22"/>
              </w:rPr>
              <w:t>No. of Studies</w:t>
            </w:r>
          </w:p>
        </w:tc>
        <w:tc>
          <w:tcPr>
            <w:tcW w:w="1980" w:type="dxa"/>
            <w:vAlign w:val="center"/>
          </w:tcPr>
          <w:p w14:paraId="67F353B4" w14:textId="77777777" w:rsidR="00AA38ED" w:rsidRPr="00D85CD6" w:rsidRDefault="00AA38ED" w:rsidP="00D85CD6">
            <w:pPr>
              <w:jc w:val="both"/>
              <w:rPr>
                <w:rFonts w:ascii="Times New Roman" w:hAnsi="Times New Roman" w:cs="Times New Roman"/>
                <w:sz w:val="22"/>
                <w:szCs w:val="22"/>
              </w:rPr>
            </w:pPr>
            <w:r w:rsidRPr="0091734B">
              <w:rPr>
                <w:rFonts w:ascii="Times New Roman" w:hAnsi="Times New Roman" w:cs="Times New Roman"/>
                <w:b/>
                <w:bCs/>
                <w:sz w:val="22"/>
                <w:szCs w:val="22"/>
              </w:rPr>
              <w:t>AOR (95% CI</w:t>
            </w:r>
          </w:p>
        </w:tc>
        <w:tc>
          <w:tcPr>
            <w:tcW w:w="1440" w:type="dxa"/>
            <w:vAlign w:val="center"/>
          </w:tcPr>
          <w:p w14:paraId="13070607" w14:textId="77777777" w:rsidR="00AA38ED" w:rsidRPr="00D85CD6" w:rsidRDefault="00AA38ED" w:rsidP="00D85CD6">
            <w:pPr>
              <w:jc w:val="both"/>
              <w:rPr>
                <w:rFonts w:ascii="Times New Roman" w:hAnsi="Times New Roman" w:cs="Times New Roman"/>
                <w:sz w:val="22"/>
                <w:szCs w:val="22"/>
              </w:rPr>
            </w:pPr>
            <w:r w:rsidRPr="00111306">
              <w:rPr>
                <w:rFonts w:ascii="Times New Roman" w:hAnsi="Times New Roman" w:cs="Times New Roman"/>
                <w:b/>
                <w:bCs/>
                <w:sz w:val="22"/>
                <w:szCs w:val="22"/>
              </w:rPr>
              <w:t>Certainty (GRADE)</w:t>
            </w:r>
          </w:p>
        </w:tc>
        <w:tc>
          <w:tcPr>
            <w:tcW w:w="1710" w:type="dxa"/>
            <w:vAlign w:val="center"/>
          </w:tcPr>
          <w:p w14:paraId="0F7F0074" w14:textId="77777777" w:rsidR="00AA38ED" w:rsidRPr="00D85CD6" w:rsidRDefault="00AA38ED" w:rsidP="00D85CD6">
            <w:pPr>
              <w:jc w:val="both"/>
              <w:rPr>
                <w:rFonts w:ascii="Times New Roman" w:hAnsi="Times New Roman" w:cs="Times New Roman"/>
                <w:sz w:val="22"/>
                <w:szCs w:val="22"/>
              </w:rPr>
            </w:pPr>
            <w:r w:rsidRPr="00111306">
              <w:rPr>
                <w:rFonts w:ascii="Times New Roman" w:hAnsi="Times New Roman" w:cs="Times New Roman"/>
                <w:b/>
                <w:bCs/>
                <w:sz w:val="22"/>
                <w:szCs w:val="22"/>
              </w:rPr>
              <w:t>Downgrade Rationale</w:t>
            </w:r>
          </w:p>
        </w:tc>
      </w:tr>
      <w:tr w:rsidR="00AA38ED" w:rsidRPr="00D85CD6" w14:paraId="09B47FD7" w14:textId="77777777" w:rsidTr="00D85CD6">
        <w:trPr>
          <w:trHeight w:val="143"/>
        </w:trPr>
        <w:tc>
          <w:tcPr>
            <w:tcW w:w="2880" w:type="dxa"/>
            <w:vAlign w:val="center"/>
          </w:tcPr>
          <w:p w14:paraId="5C9BE0E7" w14:textId="0C83A862" w:rsidR="00AA38ED" w:rsidRPr="00D85CD6" w:rsidRDefault="00AA38ED" w:rsidP="00D85CD6">
            <w:pPr>
              <w:jc w:val="both"/>
              <w:rPr>
                <w:rFonts w:ascii="Times New Roman" w:hAnsi="Times New Roman" w:cs="Times New Roman"/>
                <w:sz w:val="22"/>
                <w:szCs w:val="22"/>
              </w:rPr>
            </w:pPr>
            <w:r w:rsidRPr="00AA38ED">
              <w:rPr>
                <w:rFonts w:ascii="Times New Roman" w:hAnsi="Times New Roman" w:cs="Times New Roman"/>
                <w:sz w:val="22"/>
                <w:szCs w:val="22"/>
              </w:rPr>
              <w:lastRenderedPageBreak/>
              <w:t xml:space="preserve">Age 20–29 </w:t>
            </w:r>
          </w:p>
        </w:tc>
        <w:tc>
          <w:tcPr>
            <w:tcW w:w="2160" w:type="dxa"/>
            <w:vAlign w:val="center"/>
          </w:tcPr>
          <w:p w14:paraId="630FDB94" w14:textId="4CBEB6C3"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rPr>
              <w:t>Getu, A.A et a.</w:t>
            </w:r>
          </w:p>
        </w:tc>
        <w:tc>
          <w:tcPr>
            <w:tcW w:w="1980" w:type="dxa"/>
            <w:vAlign w:val="center"/>
          </w:tcPr>
          <w:p w14:paraId="7267988D" w14:textId="612DA872"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4.92 (2.24–10.77)</w:t>
            </w:r>
          </w:p>
        </w:tc>
        <w:tc>
          <w:tcPr>
            <w:tcW w:w="1440" w:type="dxa"/>
            <w:vAlign w:val="center"/>
          </w:tcPr>
          <w:p w14:paraId="3B25FCBB" w14:textId="7777777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3B5D69E6"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0AABD628" w14:textId="77777777" w:rsidTr="00D85CD6">
        <w:tc>
          <w:tcPr>
            <w:tcW w:w="2880" w:type="dxa"/>
            <w:vAlign w:val="center"/>
          </w:tcPr>
          <w:p w14:paraId="6C990211" w14:textId="7136B716" w:rsidR="00AA38ED" w:rsidRPr="00D85CD6" w:rsidRDefault="00AA38ED" w:rsidP="00D85CD6">
            <w:pPr>
              <w:jc w:val="both"/>
              <w:rPr>
                <w:rFonts w:ascii="Times New Roman" w:hAnsi="Times New Roman" w:cs="Times New Roman"/>
                <w:sz w:val="22"/>
                <w:szCs w:val="22"/>
              </w:rPr>
            </w:pPr>
            <w:r w:rsidRPr="00AA38ED">
              <w:rPr>
                <w:rFonts w:ascii="Times New Roman" w:hAnsi="Times New Roman" w:cs="Times New Roman"/>
                <w:sz w:val="22"/>
                <w:szCs w:val="22"/>
              </w:rPr>
              <w:t>Age &gt;30</w:t>
            </w:r>
          </w:p>
        </w:tc>
        <w:tc>
          <w:tcPr>
            <w:tcW w:w="2160" w:type="dxa"/>
            <w:vAlign w:val="center"/>
          </w:tcPr>
          <w:p w14:paraId="44F13166" w14:textId="0F750716" w:rsidR="00AA38ED" w:rsidRPr="00D85CD6" w:rsidRDefault="00D85CD6" w:rsidP="00D85CD6">
            <w:pPr>
              <w:jc w:val="both"/>
              <w:rPr>
                <w:rFonts w:ascii="Times New Roman" w:hAnsi="Times New Roman" w:cs="Times New Roman"/>
                <w:sz w:val="22"/>
                <w:szCs w:val="22"/>
              </w:rPr>
            </w:pPr>
            <w:r w:rsidRPr="00D85CD6">
              <w:rPr>
                <w:rFonts w:ascii="Times New Roman" w:hAnsi="Times New Roman" w:cs="Times New Roman"/>
              </w:rPr>
              <w:t>Ganta, M et al.</w:t>
            </w:r>
          </w:p>
        </w:tc>
        <w:tc>
          <w:tcPr>
            <w:tcW w:w="1980" w:type="dxa"/>
            <w:vAlign w:val="center"/>
          </w:tcPr>
          <w:p w14:paraId="7400ED32" w14:textId="42A7A8C3"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2.66 (1.11–6.26)</w:t>
            </w:r>
          </w:p>
        </w:tc>
        <w:tc>
          <w:tcPr>
            <w:tcW w:w="1440" w:type="dxa"/>
            <w:vAlign w:val="center"/>
          </w:tcPr>
          <w:p w14:paraId="0EA114C4" w14:textId="77777777" w:rsidR="00AA38ED" w:rsidRPr="00D85CD6" w:rsidRDefault="00AA38ED" w:rsidP="00D85CD6">
            <w:pPr>
              <w:jc w:val="both"/>
              <w:rPr>
                <w:rFonts w:ascii="Times New Roman" w:hAnsi="Times New Roman" w:cs="Times New Roman"/>
                <w:sz w:val="22"/>
                <w:szCs w:val="22"/>
              </w:rPr>
            </w:pPr>
            <w:r w:rsidRPr="00D85CD6">
              <w:rPr>
                <w:rFonts w:ascii="Times New Roman" w:hAnsi="Times New Roman" w:cs="Times New Roman"/>
                <w:sz w:val="22"/>
                <w:szCs w:val="22"/>
              </w:rPr>
              <w:t>Single study</w:t>
            </w:r>
          </w:p>
        </w:tc>
        <w:tc>
          <w:tcPr>
            <w:tcW w:w="1710" w:type="dxa"/>
          </w:tcPr>
          <w:p w14:paraId="54A64B83"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10D72F5A" w14:textId="77777777" w:rsidTr="00D85CD6">
        <w:tc>
          <w:tcPr>
            <w:tcW w:w="2880" w:type="dxa"/>
            <w:vAlign w:val="center"/>
          </w:tcPr>
          <w:p w14:paraId="7D436FC7" w14:textId="68F69F38"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 xml:space="preserve">3–4 </w:t>
            </w:r>
            <w:r w:rsidRPr="00D85CD6">
              <w:rPr>
                <w:rFonts w:ascii="Times New Roman" w:hAnsi="Times New Roman" w:cs="Times New Roman"/>
                <w:sz w:val="22"/>
                <w:szCs w:val="22"/>
              </w:rPr>
              <w:t>years’ experience</w:t>
            </w:r>
            <w:r w:rsidRPr="00AA38ED">
              <w:rPr>
                <w:rFonts w:ascii="Times New Roman" w:hAnsi="Times New Roman" w:cs="Times New Roman"/>
                <w:sz w:val="22"/>
                <w:szCs w:val="22"/>
              </w:rPr>
              <w:t xml:space="preserve"> vs. &lt;2 years</w:t>
            </w:r>
          </w:p>
        </w:tc>
        <w:tc>
          <w:tcPr>
            <w:tcW w:w="2160" w:type="dxa"/>
            <w:vAlign w:val="center"/>
          </w:tcPr>
          <w:p w14:paraId="1F242ECA" w14:textId="005ACFAE" w:rsidR="00AA38ED" w:rsidRPr="00D85CD6" w:rsidRDefault="00A87F5A" w:rsidP="00D85CD6">
            <w:pPr>
              <w:jc w:val="both"/>
              <w:rPr>
                <w:rFonts w:ascii="Times New Roman" w:hAnsi="Times New Roman" w:cs="Times New Roman"/>
                <w:sz w:val="22"/>
                <w:szCs w:val="22"/>
              </w:rPr>
            </w:pPr>
            <w:r w:rsidRPr="00D85CD6">
              <w:rPr>
                <w:rFonts w:ascii="Times New Roman" w:hAnsi="Times New Roman" w:cs="Times New Roman"/>
              </w:rPr>
              <w:t>Wassihun B et al.</w:t>
            </w:r>
          </w:p>
        </w:tc>
        <w:tc>
          <w:tcPr>
            <w:tcW w:w="1980" w:type="dxa"/>
            <w:vAlign w:val="center"/>
          </w:tcPr>
          <w:p w14:paraId="4A23BAD9" w14:textId="38E21DA5"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6.98 (2.29–12.50)</w:t>
            </w:r>
          </w:p>
        </w:tc>
        <w:tc>
          <w:tcPr>
            <w:tcW w:w="1440" w:type="dxa"/>
            <w:vAlign w:val="center"/>
          </w:tcPr>
          <w:p w14:paraId="1217721E" w14:textId="7777777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2881A657"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69227FE9" w14:textId="77777777" w:rsidTr="00D85CD6">
        <w:tc>
          <w:tcPr>
            <w:tcW w:w="2880" w:type="dxa"/>
            <w:vAlign w:val="center"/>
          </w:tcPr>
          <w:p w14:paraId="2A4037B5" w14:textId="73FBDB75"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Being a midwife</w:t>
            </w:r>
          </w:p>
        </w:tc>
        <w:tc>
          <w:tcPr>
            <w:tcW w:w="2160" w:type="dxa"/>
            <w:vAlign w:val="center"/>
          </w:tcPr>
          <w:p w14:paraId="7CA5F471" w14:textId="2E64F7B5" w:rsidR="00AA38ED" w:rsidRPr="00D85CD6" w:rsidRDefault="00AA38ED" w:rsidP="00D85CD6">
            <w:pPr>
              <w:jc w:val="both"/>
              <w:rPr>
                <w:rFonts w:ascii="Times New Roman" w:hAnsi="Times New Roman" w:cs="Times New Roman"/>
                <w:sz w:val="22"/>
                <w:szCs w:val="22"/>
              </w:rPr>
            </w:pPr>
          </w:p>
        </w:tc>
        <w:tc>
          <w:tcPr>
            <w:tcW w:w="1980" w:type="dxa"/>
            <w:vAlign w:val="center"/>
          </w:tcPr>
          <w:p w14:paraId="059F7D27" w14:textId="0620B1CF"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1.45 (1.08–4.27)</w:t>
            </w:r>
          </w:p>
        </w:tc>
        <w:tc>
          <w:tcPr>
            <w:tcW w:w="1440" w:type="dxa"/>
            <w:vAlign w:val="center"/>
          </w:tcPr>
          <w:p w14:paraId="1F31222A" w14:textId="7777777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3AF8780E"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016618E5" w14:textId="77777777" w:rsidTr="00D85CD6">
        <w:tc>
          <w:tcPr>
            <w:tcW w:w="2880" w:type="dxa"/>
            <w:vAlign w:val="center"/>
          </w:tcPr>
          <w:p w14:paraId="6B91EAC7" w14:textId="0C4D7F2F"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Head midwife role</w:t>
            </w:r>
          </w:p>
        </w:tc>
        <w:tc>
          <w:tcPr>
            <w:tcW w:w="2160" w:type="dxa"/>
            <w:vAlign w:val="center"/>
          </w:tcPr>
          <w:p w14:paraId="57E8CC07" w14:textId="0CE4DD2A"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color w:val="000000"/>
              </w:rPr>
              <w:t xml:space="preserve">Ganta M et al. </w:t>
            </w:r>
          </w:p>
        </w:tc>
        <w:tc>
          <w:tcPr>
            <w:tcW w:w="1980" w:type="dxa"/>
            <w:vAlign w:val="center"/>
          </w:tcPr>
          <w:p w14:paraId="18E80C93" w14:textId="3C5FCA83"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2.63 (1.44–4.80)</w:t>
            </w:r>
          </w:p>
        </w:tc>
        <w:tc>
          <w:tcPr>
            <w:tcW w:w="1440" w:type="dxa"/>
            <w:vAlign w:val="center"/>
          </w:tcPr>
          <w:p w14:paraId="744706F2" w14:textId="7777777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63E27317"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51071BFD" w14:textId="77777777" w:rsidTr="00D85CD6">
        <w:tc>
          <w:tcPr>
            <w:tcW w:w="2880" w:type="dxa"/>
            <w:vAlign w:val="center"/>
          </w:tcPr>
          <w:p w14:paraId="44D5AD02" w14:textId="3B75B49E"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High workload perception</w:t>
            </w:r>
          </w:p>
        </w:tc>
        <w:tc>
          <w:tcPr>
            <w:tcW w:w="2160" w:type="dxa"/>
            <w:vAlign w:val="center"/>
          </w:tcPr>
          <w:p w14:paraId="545AF8D3" w14:textId="02DF33B2"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color w:val="000000"/>
              </w:rPr>
              <w:t xml:space="preserve">Ganta M et al. </w:t>
            </w:r>
          </w:p>
        </w:tc>
        <w:tc>
          <w:tcPr>
            <w:tcW w:w="1980" w:type="dxa"/>
            <w:vAlign w:val="center"/>
          </w:tcPr>
          <w:p w14:paraId="41088674" w14:textId="3FED06A9"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0.34 (0.16–0.71)</w:t>
            </w:r>
          </w:p>
        </w:tc>
        <w:tc>
          <w:tcPr>
            <w:tcW w:w="1440" w:type="dxa"/>
            <w:vAlign w:val="center"/>
          </w:tcPr>
          <w:p w14:paraId="43619874" w14:textId="7777777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122282F8" w14:textId="77777777"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2B00DBD8" w14:textId="77777777" w:rsidTr="00D85CD6">
        <w:tc>
          <w:tcPr>
            <w:tcW w:w="2880" w:type="dxa"/>
            <w:vAlign w:val="center"/>
          </w:tcPr>
          <w:p w14:paraId="6733713A" w14:textId="24A9E3F5"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Having t</w:t>
            </w:r>
            <w:r w:rsidRPr="00AA38ED">
              <w:rPr>
                <w:rFonts w:ascii="Times New Roman" w:hAnsi="Times New Roman" w:cs="Times New Roman"/>
                <w:sz w:val="22"/>
                <w:szCs w:val="22"/>
              </w:rPr>
              <w:t>raining on LPM</w:t>
            </w:r>
          </w:p>
        </w:tc>
        <w:tc>
          <w:tcPr>
            <w:tcW w:w="2160" w:type="dxa"/>
            <w:vAlign w:val="center"/>
          </w:tcPr>
          <w:p w14:paraId="3B8BB355" w14:textId="66F978FA"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color w:val="000000"/>
              </w:rPr>
              <w:t>Ganta M et al.</w:t>
            </w:r>
          </w:p>
        </w:tc>
        <w:tc>
          <w:tcPr>
            <w:tcW w:w="1980" w:type="dxa"/>
            <w:vAlign w:val="center"/>
          </w:tcPr>
          <w:p w14:paraId="796BA7FB" w14:textId="273FC607"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4.66 (2.52–8.61)</w:t>
            </w:r>
          </w:p>
        </w:tc>
        <w:tc>
          <w:tcPr>
            <w:tcW w:w="1440" w:type="dxa"/>
            <w:vAlign w:val="center"/>
          </w:tcPr>
          <w:p w14:paraId="32183BCD" w14:textId="1ED25CD7"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66BAE570" w14:textId="074060E0"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6ADEDAFA" w14:textId="77777777" w:rsidTr="00D85CD6">
        <w:tc>
          <w:tcPr>
            <w:tcW w:w="2880" w:type="dxa"/>
            <w:vAlign w:val="center"/>
          </w:tcPr>
          <w:p w14:paraId="053E1651" w14:textId="391A918D"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 xml:space="preserve">≥10 </w:t>
            </w:r>
            <w:r w:rsidRPr="00D85CD6">
              <w:rPr>
                <w:rFonts w:ascii="Times New Roman" w:hAnsi="Times New Roman" w:cs="Times New Roman"/>
                <w:sz w:val="22"/>
                <w:szCs w:val="22"/>
              </w:rPr>
              <w:t>years’ experience</w:t>
            </w:r>
          </w:p>
        </w:tc>
        <w:tc>
          <w:tcPr>
            <w:tcW w:w="2160" w:type="dxa"/>
            <w:vAlign w:val="center"/>
          </w:tcPr>
          <w:p w14:paraId="39EAC46B" w14:textId="6125DED0"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rPr>
              <w:t>Mekete, D., et al.</w:t>
            </w:r>
          </w:p>
        </w:tc>
        <w:tc>
          <w:tcPr>
            <w:tcW w:w="1980" w:type="dxa"/>
            <w:vAlign w:val="center"/>
          </w:tcPr>
          <w:p w14:paraId="7E7E100A" w14:textId="574E4188"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5.45 (1.95–14.97)</w:t>
            </w:r>
          </w:p>
        </w:tc>
        <w:tc>
          <w:tcPr>
            <w:tcW w:w="1440" w:type="dxa"/>
            <w:vAlign w:val="center"/>
          </w:tcPr>
          <w:p w14:paraId="453A414D" w14:textId="4BD130C4"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66E7EF93" w14:textId="33489C4E"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r w:rsidR="00AA38ED" w:rsidRPr="00D85CD6" w14:paraId="7E78269E" w14:textId="77777777" w:rsidTr="00D85CD6">
        <w:tc>
          <w:tcPr>
            <w:tcW w:w="2880" w:type="dxa"/>
            <w:vAlign w:val="center"/>
          </w:tcPr>
          <w:p w14:paraId="6E1BAB04" w14:textId="626E6F50"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Positive perception of LPM</w:t>
            </w:r>
          </w:p>
        </w:tc>
        <w:tc>
          <w:tcPr>
            <w:tcW w:w="2160" w:type="dxa"/>
            <w:vAlign w:val="center"/>
          </w:tcPr>
          <w:p w14:paraId="367CA301" w14:textId="47CED41C" w:rsidR="00AA38ED" w:rsidRPr="00D85CD6" w:rsidRDefault="00ED5525" w:rsidP="00D85CD6">
            <w:pPr>
              <w:rPr>
                <w:rFonts w:ascii="Times New Roman" w:hAnsi="Times New Roman" w:cs="Times New Roman"/>
                <w:sz w:val="22"/>
                <w:szCs w:val="22"/>
              </w:rPr>
            </w:pPr>
            <w:r w:rsidRPr="00D85CD6">
              <w:rPr>
                <w:rFonts w:ascii="Times New Roman" w:hAnsi="Times New Roman" w:cs="Times New Roman"/>
              </w:rPr>
              <w:t>Mekete, D., et al.,</w:t>
            </w:r>
          </w:p>
        </w:tc>
        <w:tc>
          <w:tcPr>
            <w:tcW w:w="1980" w:type="dxa"/>
            <w:vAlign w:val="center"/>
          </w:tcPr>
          <w:p w14:paraId="66861C3A" w14:textId="7C36FE3E" w:rsidR="00AA38ED" w:rsidRPr="00D85CD6" w:rsidRDefault="00AA38ED" w:rsidP="00D85CD6">
            <w:pPr>
              <w:rPr>
                <w:rFonts w:ascii="Times New Roman" w:hAnsi="Times New Roman" w:cs="Times New Roman"/>
                <w:sz w:val="22"/>
                <w:szCs w:val="22"/>
              </w:rPr>
            </w:pPr>
            <w:r w:rsidRPr="00AA38ED">
              <w:rPr>
                <w:rFonts w:ascii="Times New Roman" w:hAnsi="Times New Roman" w:cs="Times New Roman"/>
                <w:sz w:val="22"/>
                <w:szCs w:val="22"/>
              </w:rPr>
              <w:t>3.42 (1.37–9.13)</w:t>
            </w:r>
          </w:p>
        </w:tc>
        <w:tc>
          <w:tcPr>
            <w:tcW w:w="1440" w:type="dxa"/>
            <w:vAlign w:val="center"/>
          </w:tcPr>
          <w:p w14:paraId="41F5C61F" w14:textId="03A132A8" w:rsidR="00AA38ED" w:rsidRPr="00D85CD6" w:rsidRDefault="00AA38ED" w:rsidP="00D85CD6">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0CBE6011" w14:textId="5A211419" w:rsidR="00AA38ED" w:rsidRPr="00D85CD6" w:rsidRDefault="00AA38ED" w:rsidP="00D85CD6">
            <w:pPr>
              <w:rPr>
                <w:rFonts w:ascii="Times New Roman" w:hAnsi="Times New Roman" w:cs="Times New Roman"/>
                <w:sz w:val="22"/>
                <w:szCs w:val="22"/>
              </w:rPr>
            </w:pPr>
            <w:r w:rsidRPr="00D85CD6">
              <w:rPr>
                <w:rFonts w:ascii="Times New Roman" w:hAnsi="Times New Roman" w:cs="Times New Roman"/>
                <w:sz w:val="22"/>
                <w:szCs w:val="22"/>
              </w:rPr>
              <w:t>No pooling</w:t>
            </w:r>
          </w:p>
        </w:tc>
      </w:tr>
    </w:tbl>
    <w:p w14:paraId="1A246F19" w14:textId="77777777" w:rsidR="00865FBB" w:rsidRDefault="00865FBB" w:rsidP="00865FBB">
      <w:pPr>
        <w:pStyle w:val="ListParagraph"/>
        <w:spacing w:line="360" w:lineRule="auto"/>
        <w:ind w:left="1080"/>
        <w:jc w:val="both"/>
        <w:rPr>
          <w:rFonts w:ascii="Times New Roman" w:hAnsi="Times New Roman" w:cs="Times New Roman"/>
          <w:b/>
          <w:bCs/>
          <w:color w:val="000000" w:themeColor="text1"/>
        </w:rPr>
      </w:pPr>
    </w:p>
    <w:p w14:paraId="329BB474" w14:textId="50885B53" w:rsidR="008707CC" w:rsidRPr="008707CC" w:rsidRDefault="008707CC" w:rsidP="008707CC">
      <w:pPr>
        <w:pStyle w:val="ListParagraph"/>
        <w:numPr>
          <w:ilvl w:val="0"/>
          <w:numId w:val="20"/>
        </w:numPr>
        <w:spacing w:line="360" w:lineRule="auto"/>
        <w:jc w:val="both"/>
        <w:rPr>
          <w:rFonts w:ascii="Times New Roman" w:hAnsi="Times New Roman" w:cs="Times New Roman"/>
          <w:b/>
          <w:bCs/>
          <w:color w:val="000000" w:themeColor="text1"/>
        </w:rPr>
      </w:pPr>
      <w:r w:rsidRPr="008707CC">
        <w:rPr>
          <w:rFonts w:ascii="Times New Roman" w:hAnsi="Times New Roman" w:cs="Times New Roman"/>
          <w:b/>
          <w:bCs/>
          <w:color w:val="000000" w:themeColor="text1"/>
        </w:rPr>
        <w:t xml:space="preserve">Factors associated with the </w:t>
      </w:r>
      <w:r>
        <w:rPr>
          <w:rFonts w:ascii="Times New Roman" w:hAnsi="Times New Roman" w:cs="Times New Roman"/>
          <w:b/>
          <w:bCs/>
          <w:color w:val="000000" w:themeColor="text1"/>
        </w:rPr>
        <w:t>P-</w:t>
      </w:r>
      <w:r w:rsidRPr="008707CC">
        <w:rPr>
          <w:rFonts w:ascii="Times New Roman" w:hAnsi="Times New Roman" w:cs="Times New Roman"/>
          <w:b/>
          <w:bCs/>
          <w:color w:val="000000" w:themeColor="text1"/>
        </w:rPr>
        <w:t>LPMP</w:t>
      </w:r>
    </w:p>
    <w:p w14:paraId="595CD67C" w14:textId="4C3A8854" w:rsidR="008707CC" w:rsidRPr="008707CC" w:rsidRDefault="008707CC" w:rsidP="00D63BB4">
      <w:pPr>
        <w:spacing w:line="360" w:lineRule="auto"/>
        <w:rPr>
          <w:rFonts w:ascii="Times New Roman" w:hAnsi="Times New Roman" w:cs="Times New Roman"/>
        </w:rPr>
      </w:pPr>
      <w:r w:rsidRPr="008707CC">
        <w:rPr>
          <w:rFonts w:ascii="Times New Roman" w:hAnsi="Times New Roman" w:cs="Times New Roman"/>
        </w:rPr>
        <w:t>Pharmacological LPMP factors are promising but limited to individual studies; GRADE certainty remains very low due to lack of replication and pooling</w:t>
      </w:r>
      <w:r w:rsidR="00865FBB">
        <w:rPr>
          <w:rFonts w:ascii="Times New Roman" w:hAnsi="Times New Roman" w:cs="Times New Roman"/>
        </w:rPr>
        <w:t xml:space="preserve"> </w:t>
      </w:r>
      <w:r w:rsidR="0053320F">
        <w:rPr>
          <w:rFonts w:ascii="Times New Roman" w:hAnsi="Times New Roman" w:cs="Times New Roman"/>
        </w:rPr>
        <w:t xml:space="preserve">(Table </w:t>
      </w:r>
      <w:r w:rsidR="006F0D6F">
        <w:rPr>
          <w:rFonts w:ascii="Times New Roman" w:hAnsi="Times New Roman" w:cs="Times New Roman"/>
        </w:rPr>
        <w:t>S</w:t>
      </w:r>
      <w:r w:rsidR="00CE4748">
        <w:rPr>
          <w:rFonts w:ascii="Times New Roman" w:hAnsi="Times New Roman" w:cs="Times New Roman"/>
        </w:rPr>
        <w:t>8</w:t>
      </w:r>
      <w:r w:rsidR="0053320F">
        <w:rPr>
          <w:rFonts w:ascii="Times New Roman" w:hAnsi="Times New Roman" w:cs="Times New Roman"/>
        </w:rPr>
        <w:t>e).</w:t>
      </w:r>
    </w:p>
    <w:p w14:paraId="5CA2F3A7" w14:textId="4EBDD072" w:rsidR="00D63BB4" w:rsidRDefault="0053320F" w:rsidP="00D63BB4">
      <w:pPr>
        <w:spacing w:line="360" w:lineRule="auto"/>
        <w:rPr>
          <w:rFonts w:ascii="Times New Roman" w:hAnsi="Times New Roman" w:cs="Times New Roman"/>
        </w:rPr>
      </w:pPr>
      <w:r>
        <w:rPr>
          <w:rFonts w:ascii="Times New Roman" w:hAnsi="Times New Roman" w:cs="Times New Roman"/>
          <w:b/>
          <w:bCs/>
          <w:color w:val="000000" w:themeColor="text1"/>
        </w:rPr>
        <w:t xml:space="preserve">Supplementary </w:t>
      </w:r>
      <w:r w:rsidRPr="00B42657">
        <w:rPr>
          <w:rFonts w:ascii="Times New Roman" w:hAnsi="Times New Roman" w:cs="Times New Roman"/>
          <w:b/>
          <w:bCs/>
          <w:color w:val="000000" w:themeColor="text1"/>
        </w:rPr>
        <w:t xml:space="preserve">Table </w:t>
      </w:r>
      <w:r w:rsidR="00CE4748">
        <w:rPr>
          <w:rFonts w:ascii="Times New Roman" w:hAnsi="Times New Roman" w:cs="Times New Roman"/>
          <w:b/>
          <w:bCs/>
          <w:color w:val="000000" w:themeColor="text1"/>
        </w:rPr>
        <w:t>8</w:t>
      </w:r>
      <w:r>
        <w:rPr>
          <w:rFonts w:ascii="Times New Roman" w:hAnsi="Times New Roman" w:cs="Times New Roman"/>
          <w:b/>
          <w:bCs/>
          <w:color w:val="000000" w:themeColor="text1"/>
        </w:rPr>
        <w:t>e</w:t>
      </w:r>
      <w:r w:rsidRPr="00B42657">
        <w:rPr>
          <w:rFonts w:ascii="Times New Roman" w:hAnsi="Times New Roman" w:cs="Times New Roman"/>
          <w:b/>
          <w:bCs/>
          <w:color w:val="000000" w:themeColor="text1"/>
        </w:rPr>
        <w:t>:</w:t>
      </w:r>
      <w:r w:rsidR="00A87F5A">
        <w:rPr>
          <w:rFonts w:ascii="Times New Roman" w:hAnsi="Times New Roman" w:cs="Times New Roman"/>
        </w:rPr>
        <w:t xml:space="preserve"> </w:t>
      </w:r>
      <w:r w:rsidR="00487DF2" w:rsidRPr="00487DF2">
        <w:rPr>
          <w:rFonts w:ascii="Times New Roman" w:hAnsi="Times New Roman" w:cs="Times New Roman"/>
        </w:rPr>
        <w:t xml:space="preserve">GRADE Summary Table – Associated Factors with P-LPMP </w:t>
      </w:r>
      <w:r w:rsidR="00A87F5A" w:rsidRPr="00052E36">
        <w:rPr>
          <w:rFonts w:ascii="Times New Roman" w:hAnsi="Times New Roman" w:cs="Times New Roman"/>
        </w:rPr>
        <w:t>(</w:t>
      </w:r>
      <w:r w:rsidR="00A87F5A">
        <w:rPr>
          <w:rFonts w:ascii="Times New Roman" w:hAnsi="Times New Roman" w:cs="Times New Roman"/>
        </w:rPr>
        <w:t>i</w:t>
      </w:r>
      <w:r w:rsidR="00A87F5A" w:rsidRPr="00487DF2">
        <w:rPr>
          <w:rFonts w:ascii="Times New Roman" w:hAnsi="Times New Roman" w:cs="Times New Roman"/>
        </w:rPr>
        <w:t xml:space="preserve">ndividual </w:t>
      </w:r>
      <w:r w:rsidR="00A87F5A">
        <w:rPr>
          <w:rFonts w:ascii="Times New Roman" w:hAnsi="Times New Roman" w:cs="Times New Roman"/>
        </w:rPr>
        <w:t>s</w:t>
      </w:r>
      <w:r w:rsidR="00A87F5A" w:rsidRPr="00487DF2">
        <w:rPr>
          <w:rFonts w:ascii="Times New Roman" w:hAnsi="Times New Roman" w:cs="Times New Roman"/>
        </w:rPr>
        <w:t xml:space="preserve">tudies </w:t>
      </w:r>
      <w:r w:rsidR="00A87F5A">
        <w:rPr>
          <w:rFonts w:ascii="Times New Roman" w:hAnsi="Times New Roman" w:cs="Times New Roman"/>
        </w:rPr>
        <w:t>o</w:t>
      </w:r>
      <w:r w:rsidR="00A87F5A" w:rsidRPr="00487DF2">
        <w:rPr>
          <w:rFonts w:ascii="Times New Roman" w:hAnsi="Times New Roman" w:cs="Times New Roman"/>
        </w:rPr>
        <w:t>nly</w:t>
      </w:r>
      <w:r w:rsidR="00A87F5A">
        <w:rPr>
          <w:rFonts w:ascii="Times New Roman" w:hAnsi="Times New Roman" w:cs="Times New Roman"/>
        </w:rPr>
        <w:t xml:space="preserve"> and n</w:t>
      </w:r>
      <w:r w:rsidR="00A87F5A" w:rsidRPr="00052E36">
        <w:rPr>
          <w:rFonts w:ascii="Times New Roman" w:hAnsi="Times New Roman" w:cs="Times New Roman"/>
        </w:rPr>
        <w:t xml:space="preserve">ot </w:t>
      </w:r>
      <w:r w:rsidR="00A87F5A">
        <w:rPr>
          <w:rFonts w:ascii="Times New Roman" w:hAnsi="Times New Roman" w:cs="Times New Roman"/>
        </w:rPr>
        <w:t>p</w:t>
      </w:r>
      <w:r w:rsidR="00A87F5A" w:rsidRPr="00052E36">
        <w:rPr>
          <w:rFonts w:ascii="Times New Roman" w:hAnsi="Times New Roman" w:cs="Times New Roman"/>
        </w:rPr>
        <w:t>ooled)</w:t>
      </w:r>
    </w:p>
    <w:tbl>
      <w:tblPr>
        <w:tblStyle w:val="TableGrid"/>
        <w:tblW w:w="9900" w:type="dxa"/>
        <w:tblInd w:w="-455" w:type="dxa"/>
        <w:tblLook w:val="04A0" w:firstRow="1" w:lastRow="0" w:firstColumn="1" w:lastColumn="0" w:noHBand="0" w:noVBand="1"/>
      </w:tblPr>
      <w:tblGrid>
        <w:gridCol w:w="2250"/>
        <w:gridCol w:w="1800"/>
        <w:gridCol w:w="2340"/>
        <w:gridCol w:w="1800"/>
        <w:gridCol w:w="1710"/>
      </w:tblGrid>
      <w:tr w:rsidR="00AA38ED" w:rsidRPr="006D0E8C" w14:paraId="536C4F98" w14:textId="77777777" w:rsidTr="00AA38ED">
        <w:trPr>
          <w:trHeight w:val="422"/>
        </w:trPr>
        <w:tc>
          <w:tcPr>
            <w:tcW w:w="2250" w:type="dxa"/>
            <w:vAlign w:val="center"/>
          </w:tcPr>
          <w:p w14:paraId="74D7DEDA" w14:textId="77777777" w:rsidR="00AA38ED" w:rsidRPr="006D0E8C" w:rsidRDefault="00AA38ED" w:rsidP="001E2CE6">
            <w:pPr>
              <w:jc w:val="both"/>
              <w:rPr>
                <w:rFonts w:ascii="Times New Roman" w:hAnsi="Times New Roman" w:cs="Times New Roman"/>
                <w:sz w:val="22"/>
                <w:szCs w:val="22"/>
              </w:rPr>
            </w:pPr>
            <w:r w:rsidRPr="0091734B">
              <w:rPr>
                <w:rFonts w:ascii="Times New Roman" w:hAnsi="Times New Roman" w:cs="Times New Roman"/>
                <w:b/>
                <w:bCs/>
                <w:sz w:val="22"/>
                <w:szCs w:val="22"/>
              </w:rPr>
              <w:t>Factor</w:t>
            </w:r>
          </w:p>
        </w:tc>
        <w:tc>
          <w:tcPr>
            <w:tcW w:w="1800" w:type="dxa"/>
            <w:vAlign w:val="center"/>
          </w:tcPr>
          <w:p w14:paraId="188D4EED" w14:textId="035721B9" w:rsidR="00AA38ED" w:rsidRPr="006D0E8C" w:rsidRDefault="00A87F5A" w:rsidP="001E2CE6">
            <w:pPr>
              <w:rPr>
                <w:rFonts w:ascii="Times New Roman" w:hAnsi="Times New Roman" w:cs="Times New Roman"/>
                <w:sz w:val="22"/>
                <w:szCs w:val="22"/>
              </w:rPr>
            </w:pPr>
            <w:r>
              <w:rPr>
                <w:rFonts w:ascii="Times New Roman" w:hAnsi="Times New Roman" w:cs="Times New Roman"/>
                <w:b/>
                <w:bCs/>
                <w:sz w:val="22"/>
                <w:szCs w:val="22"/>
              </w:rPr>
              <w:t>Study author</w:t>
            </w:r>
          </w:p>
        </w:tc>
        <w:tc>
          <w:tcPr>
            <w:tcW w:w="2340" w:type="dxa"/>
            <w:vAlign w:val="center"/>
          </w:tcPr>
          <w:p w14:paraId="0019AC26" w14:textId="77777777" w:rsidR="00AA38ED" w:rsidRPr="006D0E8C" w:rsidRDefault="00AA38ED" w:rsidP="001E2CE6">
            <w:pPr>
              <w:jc w:val="both"/>
              <w:rPr>
                <w:rFonts w:ascii="Times New Roman" w:hAnsi="Times New Roman" w:cs="Times New Roman"/>
                <w:sz w:val="22"/>
                <w:szCs w:val="22"/>
              </w:rPr>
            </w:pPr>
            <w:r w:rsidRPr="0091734B">
              <w:rPr>
                <w:rFonts w:ascii="Times New Roman" w:hAnsi="Times New Roman" w:cs="Times New Roman"/>
                <w:b/>
                <w:bCs/>
                <w:sz w:val="22"/>
                <w:szCs w:val="22"/>
              </w:rPr>
              <w:t>AOR (95% CI</w:t>
            </w:r>
          </w:p>
        </w:tc>
        <w:tc>
          <w:tcPr>
            <w:tcW w:w="1800" w:type="dxa"/>
            <w:vAlign w:val="center"/>
          </w:tcPr>
          <w:p w14:paraId="074FFFB0" w14:textId="77777777" w:rsidR="00AA38ED" w:rsidRPr="006D0E8C" w:rsidRDefault="00AA38ED" w:rsidP="001E2CE6">
            <w:pPr>
              <w:jc w:val="both"/>
              <w:rPr>
                <w:rFonts w:ascii="Times New Roman" w:hAnsi="Times New Roman" w:cs="Times New Roman"/>
                <w:sz w:val="22"/>
                <w:szCs w:val="22"/>
              </w:rPr>
            </w:pPr>
            <w:r w:rsidRPr="00111306">
              <w:rPr>
                <w:rFonts w:ascii="Times New Roman" w:hAnsi="Times New Roman" w:cs="Times New Roman"/>
                <w:b/>
                <w:bCs/>
                <w:sz w:val="22"/>
                <w:szCs w:val="22"/>
              </w:rPr>
              <w:t>Certainty (GRADE)</w:t>
            </w:r>
          </w:p>
        </w:tc>
        <w:tc>
          <w:tcPr>
            <w:tcW w:w="1710" w:type="dxa"/>
            <w:vAlign w:val="center"/>
          </w:tcPr>
          <w:p w14:paraId="2310B7EA" w14:textId="77777777" w:rsidR="00AA38ED" w:rsidRPr="006D0E8C" w:rsidRDefault="00AA38ED" w:rsidP="001E2CE6">
            <w:pPr>
              <w:jc w:val="both"/>
              <w:rPr>
                <w:rFonts w:ascii="Times New Roman" w:hAnsi="Times New Roman" w:cs="Times New Roman"/>
                <w:sz w:val="22"/>
                <w:szCs w:val="22"/>
              </w:rPr>
            </w:pPr>
            <w:r w:rsidRPr="00111306">
              <w:rPr>
                <w:rFonts w:ascii="Times New Roman" w:hAnsi="Times New Roman" w:cs="Times New Roman"/>
                <w:b/>
                <w:bCs/>
                <w:sz w:val="22"/>
                <w:szCs w:val="22"/>
              </w:rPr>
              <w:t>Downgrade Rationale</w:t>
            </w:r>
          </w:p>
        </w:tc>
      </w:tr>
      <w:tr w:rsidR="00AA38ED" w:rsidRPr="006D0E8C" w14:paraId="1A1FB4D4" w14:textId="77777777" w:rsidTr="00AA38ED">
        <w:tc>
          <w:tcPr>
            <w:tcW w:w="2250" w:type="dxa"/>
            <w:vAlign w:val="center"/>
          </w:tcPr>
          <w:p w14:paraId="7D364DE9" w14:textId="70A69BC8"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Training on LPM</w:t>
            </w:r>
          </w:p>
        </w:tc>
        <w:tc>
          <w:tcPr>
            <w:tcW w:w="1800" w:type="dxa"/>
            <w:vAlign w:val="center"/>
          </w:tcPr>
          <w:p w14:paraId="2757DFBA" w14:textId="73992C13"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Eyeberu A et al.</w:t>
            </w:r>
          </w:p>
        </w:tc>
        <w:tc>
          <w:tcPr>
            <w:tcW w:w="2340" w:type="dxa"/>
            <w:vAlign w:val="center"/>
          </w:tcPr>
          <w:p w14:paraId="712EB49D" w14:textId="77AB5469"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1.60 (1.02–2.53)</w:t>
            </w:r>
          </w:p>
        </w:tc>
        <w:tc>
          <w:tcPr>
            <w:tcW w:w="1800" w:type="dxa"/>
            <w:vAlign w:val="center"/>
          </w:tcPr>
          <w:p w14:paraId="075BFBD7" w14:textId="54E45222"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6ED91C4D" w14:textId="6E5E6EAB"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r w:rsidR="00AA38ED" w:rsidRPr="006D0E8C" w14:paraId="473C99A3" w14:textId="77777777" w:rsidTr="00AA38ED">
        <w:tc>
          <w:tcPr>
            <w:tcW w:w="2250" w:type="dxa"/>
            <w:vAlign w:val="center"/>
          </w:tcPr>
          <w:p w14:paraId="4D68F06C" w14:textId="7EE38606"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Favorable attitude</w:t>
            </w:r>
          </w:p>
        </w:tc>
        <w:tc>
          <w:tcPr>
            <w:tcW w:w="1800" w:type="dxa"/>
            <w:vAlign w:val="center"/>
          </w:tcPr>
          <w:p w14:paraId="4DDC3D0B" w14:textId="125D16AE"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Eyeberu A et al.</w:t>
            </w:r>
          </w:p>
        </w:tc>
        <w:tc>
          <w:tcPr>
            <w:tcW w:w="2340" w:type="dxa"/>
            <w:vAlign w:val="center"/>
          </w:tcPr>
          <w:p w14:paraId="151EB8B9" w14:textId="4B37001B"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9.10 (5.34–15.35)</w:t>
            </w:r>
          </w:p>
        </w:tc>
        <w:tc>
          <w:tcPr>
            <w:tcW w:w="1800" w:type="dxa"/>
            <w:vAlign w:val="center"/>
          </w:tcPr>
          <w:p w14:paraId="0586CBB9" w14:textId="192B82F7" w:rsidR="00AA38ED" w:rsidRPr="006D0E8C" w:rsidRDefault="00AA38ED" w:rsidP="00843848">
            <w:pPr>
              <w:jc w:val="both"/>
              <w:rPr>
                <w:rFonts w:ascii="Times New Roman" w:hAnsi="Times New Roman" w:cs="Times New Roman"/>
                <w:sz w:val="22"/>
                <w:szCs w:val="22"/>
              </w:rPr>
            </w:pPr>
            <w:r w:rsidRPr="006D0E8C">
              <w:rPr>
                <w:rFonts w:ascii="Times New Roman" w:hAnsi="Times New Roman" w:cs="Times New Roman"/>
                <w:sz w:val="22"/>
                <w:szCs w:val="22"/>
              </w:rPr>
              <w:t>Single study</w:t>
            </w:r>
          </w:p>
        </w:tc>
        <w:tc>
          <w:tcPr>
            <w:tcW w:w="1710" w:type="dxa"/>
          </w:tcPr>
          <w:p w14:paraId="1F4222C5" w14:textId="79D97D73"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r w:rsidR="00AA38ED" w:rsidRPr="006D0E8C" w14:paraId="7FCCEAE8" w14:textId="77777777" w:rsidTr="00AA38ED">
        <w:tc>
          <w:tcPr>
            <w:tcW w:w="2250" w:type="dxa"/>
            <w:vAlign w:val="center"/>
          </w:tcPr>
          <w:p w14:paraId="7ADED349" w14:textId="584B838B"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Female gender</w:t>
            </w:r>
          </w:p>
        </w:tc>
        <w:tc>
          <w:tcPr>
            <w:tcW w:w="1800" w:type="dxa"/>
            <w:vAlign w:val="center"/>
          </w:tcPr>
          <w:p w14:paraId="515C85E3" w14:textId="46A94039"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Eyeberu A et al.</w:t>
            </w:r>
          </w:p>
        </w:tc>
        <w:tc>
          <w:tcPr>
            <w:tcW w:w="2340" w:type="dxa"/>
            <w:vAlign w:val="center"/>
          </w:tcPr>
          <w:p w14:paraId="658944BB" w14:textId="4F638F33"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2.07 (1.31–3.26)</w:t>
            </w:r>
          </w:p>
        </w:tc>
        <w:tc>
          <w:tcPr>
            <w:tcW w:w="1800" w:type="dxa"/>
            <w:vAlign w:val="center"/>
          </w:tcPr>
          <w:p w14:paraId="5A5393D8" w14:textId="19372014"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535BB21D" w14:textId="416164E4"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r w:rsidR="00AA38ED" w:rsidRPr="006D0E8C" w14:paraId="0641C3BC" w14:textId="77777777" w:rsidTr="00AA38ED">
        <w:tc>
          <w:tcPr>
            <w:tcW w:w="2250" w:type="dxa"/>
            <w:vAlign w:val="center"/>
          </w:tcPr>
          <w:p w14:paraId="735CC774" w14:textId="275E6497"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Knowledge of LPM</w:t>
            </w:r>
          </w:p>
        </w:tc>
        <w:tc>
          <w:tcPr>
            <w:tcW w:w="1800" w:type="dxa"/>
            <w:vAlign w:val="center"/>
          </w:tcPr>
          <w:p w14:paraId="495CB30A" w14:textId="6A85947B"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Gido R et al.</w:t>
            </w:r>
          </w:p>
        </w:tc>
        <w:tc>
          <w:tcPr>
            <w:tcW w:w="2340" w:type="dxa"/>
            <w:vAlign w:val="center"/>
          </w:tcPr>
          <w:p w14:paraId="044D50E4" w14:textId="48E5B03F"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2.70 (1.37–5.23)</w:t>
            </w:r>
          </w:p>
        </w:tc>
        <w:tc>
          <w:tcPr>
            <w:tcW w:w="1800" w:type="dxa"/>
            <w:vAlign w:val="center"/>
          </w:tcPr>
          <w:p w14:paraId="14DF979F" w14:textId="2EE08BF6"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60C87BC9" w14:textId="1F646816"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r w:rsidR="00AA38ED" w:rsidRPr="006D0E8C" w14:paraId="5CE71DD9" w14:textId="77777777" w:rsidTr="00AA38ED">
        <w:tc>
          <w:tcPr>
            <w:tcW w:w="2250" w:type="dxa"/>
            <w:vAlign w:val="center"/>
          </w:tcPr>
          <w:p w14:paraId="23FEC47D" w14:textId="27571FA2"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Analgesic availability</w:t>
            </w:r>
          </w:p>
        </w:tc>
        <w:tc>
          <w:tcPr>
            <w:tcW w:w="1800" w:type="dxa"/>
            <w:vAlign w:val="center"/>
          </w:tcPr>
          <w:p w14:paraId="7FC4A3EE" w14:textId="502FD4AA"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Gido R et al.</w:t>
            </w:r>
          </w:p>
        </w:tc>
        <w:tc>
          <w:tcPr>
            <w:tcW w:w="2340" w:type="dxa"/>
            <w:vAlign w:val="center"/>
          </w:tcPr>
          <w:p w14:paraId="35D1EE54" w14:textId="17CFAD23"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3.30 (1.99–5.53)</w:t>
            </w:r>
          </w:p>
        </w:tc>
        <w:tc>
          <w:tcPr>
            <w:tcW w:w="1800" w:type="dxa"/>
            <w:vAlign w:val="center"/>
          </w:tcPr>
          <w:p w14:paraId="078B24E0" w14:textId="5AD3414F"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00126631" w14:textId="39F3FAE6"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r w:rsidR="00AA38ED" w:rsidRPr="006D0E8C" w14:paraId="2162FE70" w14:textId="77777777" w:rsidTr="00AA38ED">
        <w:tc>
          <w:tcPr>
            <w:tcW w:w="2250" w:type="dxa"/>
            <w:vAlign w:val="center"/>
          </w:tcPr>
          <w:p w14:paraId="76A4F513" w14:textId="486FEF35"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 xml:space="preserve">≥10 </w:t>
            </w:r>
            <w:r w:rsidRPr="006D0E8C">
              <w:rPr>
                <w:rFonts w:ascii="Times New Roman" w:hAnsi="Times New Roman" w:cs="Times New Roman"/>
                <w:sz w:val="22"/>
                <w:szCs w:val="22"/>
              </w:rPr>
              <w:t>years’ experience</w:t>
            </w:r>
          </w:p>
        </w:tc>
        <w:tc>
          <w:tcPr>
            <w:tcW w:w="1800" w:type="dxa"/>
            <w:vAlign w:val="center"/>
          </w:tcPr>
          <w:p w14:paraId="315AC979" w14:textId="6364F52F"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Gido R et al.</w:t>
            </w:r>
          </w:p>
        </w:tc>
        <w:tc>
          <w:tcPr>
            <w:tcW w:w="2340" w:type="dxa"/>
            <w:vAlign w:val="center"/>
          </w:tcPr>
          <w:p w14:paraId="02EFEC45" w14:textId="331EE551" w:rsidR="00AA38ED" w:rsidRPr="006D0E8C" w:rsidRDefault="00AA38ED" w:rsidP="00843848">
            <w:pPr>
              <w:rPr>
                <w:rFonts w:ascii="Times New Roman" w:hAnsi="Times New Roman" w:cs="Times New Roman"/>
                <w:sz w:val="22"/>
                <w:szCs w:val="22"/>
              </w:rPr>
            </w:pPr>
            <w:r w:rsidRPr="00487DF2">
              <w:rPr>
                <w:rFonts w:ascii="Times New Roman" w:hAnsi="Times New Roman" w:cs="Times New Roman"/>
                <w:sz w:val="22"/>
                <w:szCs w:val="22"/>
              </w:rPr>
              <w:t>4.30 (1.81–10.83)</w:t>
            </w:r>
          </w:p>
        </w:tc>
        <w:tc>
          <w:tcPr>
            <w:tcW w:w="1800" w:type="dxa"/>
            <w:vAlign w:val="center"/>
          </w:tcPr>
          <w:p w14:paraId="61B27301" w14:textId="72378479" w:rsidR="00AA38ED" w:rsidRPr="006D0E8C" w:rsidRDefault="00AA38ED" w:rsidP="00843848">
            <w:pPr>
              <w:jc w:val="both"/>
              <w:rPr>
                <w:rFonts w:ascii="Times New Roman" w:hAnsi="Times New Roman" w:cs="Times New Roman"/>
                <w:sz w:val="22"/>
                <w:szCs w:val="22"/>
              </w:rPr>
            </w:pPr>
            <w:r w:rsidRPr="00487DF2">
              <w:rPr>
                <w:rFonts w:ascii="Times New Roman" w:hAnsi="Times New Roman" w:cs="Times New Roman"/>
                <w:sz w:val="22"/>
                <w:szCs w:val="22"/>
              </w:rPr>
              <w:t>Single study</w:t>
            </w:r>
          </w:p>
        </w:tc>
        <w:tc>
          <w:tcPr>
            <w:tcW w:w="1710" w:type="dxa"/>
          </w:tcPr>
          <w:p w14:paraId="15F2DF08" w14:textId="1BD20869" w:rsidR="00AA38ED" w:rsidRPr="006D0E8C" w:rsidRDefault="00AA38ED" w:rsidP="00843848">
            <w:pPr>
              <w:rPr>
                <w:rFonts w:ascii="Times New Roman" w:hAnsi="Times New Roman" w:cs="Times New Roman"/>
                <w:sz w:val="22"/>
                <w:szCs w:val="22"/>
              </w:rPr>
            </w:pPr>
            <w:r w:rsidRPr="006D0E8C">
              <w:rPr>
                <w:rFonts w:ascii="Times New Roman" w:hAnsi="Times New Roman" w:cs="Times New Roman"/>
                <w:sz w:val="22"/>
                <w:szCs w:val="22"/>
              </w:rPr>
              <w:t>No pooling</w:t>
            </w:r>
          </w:p>
        </w:tc>
      </w:tr>
    </w:tbl>
    <w:p w14:paraId="5797C7C6" w14:textId="77777777" w:rsidR="00487DF2" w:rsidRPr="00D63BB4" w:rsidRDefault="00487DF2" w:rsidP="00D63BB4">
      <w:pPr>
        <w:spacing w:line="360" w:lineRule="auto"/>
        <w:rPr>
          <w:rFonts w:ascii="Times New Roman" w:hAnsi="Times New Roman" w:cs="Times New Roman"/>
        </w:rPr>
      </w:pPr>
    </w:p>
    <w:sectPr w:rsidR="00487DF2" w:rsidRPr="00D63B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6F872" w14:textId="77777777" w:rsidR="00CC48E9" w:rsidRDefault="00CC48E9" w:rsidP="0053320F">
      <w:pPr>
        <w:spacing w:after="0" w:line="240" w:lineRule="auto"/>
      </w:pPr>
      <w:r>
        <w:separator/>
      </w:r>
    </w:p>
  </w:endnote>
  <w:endnote w:type="continuationSeparator" w:id="0">
    <w:p w14:paraId="51AFC01B" w14:textId="77777777" w:rsidR="00CC48E9" w:rsidRDefault="00CC48E9" w:rsidP="0053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2A2DF" w14:textId="77777777" w:rsidR="0053320F" w:rsidRDefault="005332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957417"/>
      <w:docPartObj>
        <w:docPartGallery w:val="Page Numbers (Bottom of Page)"/>
        <w:docPartUnique/>
      </w:docPartObj>
    </w:sdtPr>
    <w:sdtEndPr>
      <w:rPr>
        <w:noProof/>
      </w:rPr>
    </w:sdtEndPr>
    <w:sdtContent>
      <w:p w14:paraId="4AFB40E4" w14:textId="1EB97002" w:rsidR="0053320F" w:rsidRDefault="005332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7C06B" w14:textId="77777777" w:rsidR="0053320F" w:rsidRDefault="005332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E461" w14:textId="77777777" w:rsidR="0053320F" w:rsidRDefault="00533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BD4C2" w14:textId="77777777" w:rsidR="00CC48E9" w:rsidRDefault="00CC48E9" w:rsidP="0053320F">
      <w:pPr>
        <w:spacing w:after="0" w:line="240" w:lineRule="auto"/>
      </w:pPr>
      <w:r>
        <w:separator/>
      </w:r>
    </w:p>
  </w:footnote>
  <w:footnote w:type="continuationSeparator" w:id="0">
    <w:p w14:paraId="74CA38CF" w14:textId="77777777" w:rsidR="00CC48E9" w:rsidRDefault="00CC48E9" w:rsidP="00533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916D" w14:textId="77777777" w:rsidR="0053320F" w:rsidRDefault="005332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B4FA" w14:textId="77777777" w:rsidR="0053320F" w:rsidRDefault="005332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5210" w14:textId="77777777" w:rsidR="0053320F" w:rsidRDefault="00533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0C8A"/>
    <w:multiLevelType w:val="hybridMultilevel"/>
    <w:tmpl w:val="7A9E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C52B9A"/>
    <w:multiLevelType w:val="hybridMultilevel"/>
    <w:tmpl w:val="E7F07A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9D56C0"/>
    <w:multiLevelType w:val="hybridMultilevel"/>
    <w:tmpl w:val="4A7AA62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7A1E0A"/>
    <w:multiLevelType w:val="hybridMultilevel"/>
    <w:tmpl w:val="3F5E67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BA807A8"/>
    <w:multiLevelType w:val="hybridMultilevel"/>
    <w:tmpl w:val="3F5E67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E2A2E03"/>
    <w:multiLevelType w:val="multilevel"/>
    <w:tmpl w:val="E5FC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91988"/>
    <w:multiLevelType w:val="hybridMultilevel"/>
    <w:tmpl w:val="4A7AA62C"/>
    <w:lvl w:ilvl="0" w:tplc="FFFFFFFF">
      <w:start w:val="1"/>
      <w:numFmt w:val="decimal"/>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3E04650A"/>
    <w:multiLevelType w:val="multilevel"/>
    <w:tmpl w:val="F62EEB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3F432720"/>
    <w:multiLevelType w:val="hybridMultilevel"/>
    <w:tmpl w:val="5602E87A"/>
    <w:lvl w:ilvl="0" w:tplc="01A6B1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944635"/>
    <w:multiLevelType w:val="hybridMultilevel"/>
    <w:tmpl w:val="A5F08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1A4C18"/>
    <w:multiLevelType w:val="hybridMultilevel"/>
    <w:tmpl w:val="11C65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F80637"/>
    <w:multiLevelType w:val="multilevel"/>
    <w:tmpl w:val="BECE9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5005EC"/>
    <w:multiLevelType w:val="hybridMultilevel"/>
    <w:tmpl w:val="D64492E6"/>
    <w:lvl w:ilvl="0" w:tplc="B1520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B73420"/>
    <w:multiLevelType w:val="hybridMultilevel"/>
    <w:tmpl w:val="2766E94E"/>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7E204A"/>
    <w:multiLevelType w:val="hybridMultilevel"/>
    <w:tmpl w:val="F1247B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59E2C1E"/>
    <w:multiLevelType w:val="multilevel"/>
    <w:tmpl w:val="BECE9D8E"/>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687B00DC"/>
    <w:multiLevelType w:val="hybridMultilevel"/>
    <w:tmpl w:val="6AA83E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95B074E"/>
    <w:multiLevelType w:val="multilevel"/>
    <w:tmpl w:val="B272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DE3684"/>
    <w:multiLevelType w:val="hybridMultilevel"/>
    <w:tmpl w:val="60144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230620"/>
    <w:multiLevelType w:val="multilevel"/>
    <w:tmpl w:val="41166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A13C28"/>
    <w:multiLevelType w:val="multilevel"/>
    <w:tmpl w:val="1C62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E42826"/>
    <w:multiLevelType w:val="multilevel"/>
    <w:tmpl w:val="FD6A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75292"/>
    <w:multiLevelType w:val="hybridMultilevel"/>
    <w:tmpl w:val="3F5E674A"/>
    <w:lvl w:ilvl="0" w:tplc="E6D05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5296F90"/>
    <w:multiLevelType w:val="hybridMultilevel"/>
    <w:tmpl w:val="A6E66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2195852">
    <w:abstractNumId w:val="23"/>
  </w:num>
  <w:num w:numId="2" w16cid:durableId="401486056">
    <w:abstractNumId w:val="18"/>
  </w:num>
  <w:num w:numId="3" w16cid:durableId="488594887">
    <w:abstractNumId w:val="12"/>
  </w:num>
  <w:num w:numId="4" w16cid:durableId="1163543361">
    <w:abstractNumId w:val="2"/>
  </w:num>
  <w:num w:numId="5" w16cid:durableId="1304772960">
    <w:abstractNumId w:val="10"/>
  </w:num>
  <w:num w:numId="6" w16cid:durableId="1222329449">
    <w:abstractNumId w:val="16"/>
  </w:num>
  <w:num w:numId="7" w16cid:durableId="820537126">
    <w:abstractNumId w:val="14"/>
  </w:num>
  <w:num w:numId="8" w16cid:durableId="1478298887">
    <w:abstractNumId w:val="5"/>
  </w:num>
  <w:num w:numId="9" w16cid:durableId="427585452">
    <w:abstractNumId w:val="6"/>
  </w:num>
  <w:num w:numId="10" w16cid:durableId="2078243164">
    <w:abstractNumId w:val="1"/>
  </w:num>
  <w:num w:numId="11" w16cid:durableId="99228468">
    <w:abstractNumId w:val="13"/>
  </w:num>
  <w:num w:numId="12" w16cid:durableId="613751774">
    <w:abstractNumId w:val="9"/>
  </w:num>
  <w:num w:numId="13" w16cid:durableId="952830673">
    <w:abstractNumId w:val="0"/>
  </w:num>
  <w:num w:numId="14" w16cid:durableId="740369671">
    <w:abstractNumId w:val="15"/>
  </w:num>
  <w:num w:numId="15" w16cid:durableId="1325890768">
    <w:abstractNumId w:val="21"/>
  </w:num>
  <w:num w:numId="16" w16cid:durableId="1329358314">
    <w:abstractNumId w:val="8"/>
  </w:num>
  <w:num w:numId="17" w16cid:durableId="390349356">
    <w:abstractNumId w:val="17"/>
  </w:num>
  <w:num w:numId="18" w16cid:durableId="64646536">
    <w:abstractNumId w:val="7"/>
  </w:num>
  <w:num w:numId="19" w16cid:durableId="722172178">
    <w:abstractNumId w:val="19"/>
  </w:num>
  <w:num w:numId="20" w16cid:durableId="1357805311">
    <w:abstractNumId w:val="22"/>
  </w:num>
  <w:num w:numId="21" w16cid:durableId="641345238">
    <w:abstractNumId w:val="3"/>
  </w:num>
  <w:num w:numId="22" w16cid:durableId="1504471793">
    <w:abstractNumId w:val="4"/>
  </w:num>
  <w:num w:numId="23" w16cid:durableId="397822248">
    <w:abstractNumId w:val="20"/>
  </w:num>
  <w:num w:numId="24" w16cid:durableId="2792643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E5"/>
    <w:rsid w:val="00043DE6"/>
    <w:rsid w:val="00052E36"/>
    <w:rsid w:val="00082AA7"/>
    <w:rsid w:val="000D1AE8"/>
    <w:rsid w:val="00111306"/>
    <w:rsid w:val="0014252A"/>
    <w:rsid w:val="001915CE"/>
    <w:rsid w:val="00245B96"/>
    <w:rsid w:val="002D466A"/>
    <w:rsid w:val="00304490"/>
    <w:rsid w:val="00315DC4"/>
    <w:rsid w:val="003372BA"/>
    <w:rsid w:val="003D36A2"/>
    <w:rsid w:val="0042272D"/>
    <w:rsid w:val="00487DF2"/>
    <w:rsid w:val="004A42BC"/>
    <w:rsid w:val="0053320F"/>
    <w:rsid w:val="006034E5"/>
    <w:rsid w:val="006774B2"/>
    <w:rsid w:val="006D0E8C"/>
    <w:rsid w:val="006F0D6F"/>
    <w:rsid w:val="00764EBB"/>
    <w:rsid w:val="007E10BA"/>
    <w:rsid w:val="007E64DB"/>
    <w:rsid w:val="00843848"/>
    <w:rsid w:val="00865FBB"/>
    <w:rsid w:val="008707CC"/>
    <w:rsid w:val="0091734B"/>
    <w:rsid w:val="00A87F5A"/>
    <w:rsid w:val="00AA38ED"/>
    <w:rsid w:val="00B42657"/>
    <w:rsid w:val="00B545FF"/>
    <w:rsid w:val="00B73577"/>
    <w:rsid w:val="00BB18DB"/>
    <w:rsid w:val="00C01819"/>
    <w:rsid w:val="00C01A43"/>
    <w:rsid w:val="00C11978"/>
    <w:rsid w:val="00C81BF5"/>
    <w:rsid w:val="00C94774"/>
    <w:rsid w:val="00CC48E9"/>
    <w:rsid w:val="00CE4748"/>
    <w:rsid w:val="00D378FB"/>
    <w:rsid w:val="00D4352C"/>
    <w:rsid w:val="00D63BB4"/>
    <w:rsid w:val="00D85CD6"/>
    <w:rsid w:val="00D97A63"/>
    <w:rsid w:val="00E04B23"/>
    <w:rsid w:val="00E61B56"/>
    <w:rsid w:val="00ED1E5C"/>
    <w:rsid w:val="00ED5525"/>
    <w:rsid w:val="00F11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0F30"/>
  <w15:chartTrackingRefBased/>
  <w15:docId w15:val="{C420B090-5964-4DE8-A805-F630C81B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4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34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34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34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34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34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4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4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4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4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34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34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34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34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3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4E5"/>
    <w:rPr>
      <w:rFonts w:eastAsiaTheme="majorEastAsia" w:cstheme="majorBidi"/>
      <w:color w:val="272727" w:themeColor="text1" w:themeTint="D8"/>
    </w:rPr>
  </w:style>
  <w:style w:type="paragraph" w:styleId="Title">
    <w:name w:val="Title"/>
    <w:basedOn w:val="Normal"/>
    <w:next w:val="Normal"/>
    <w:link w:val="TitleChar"/>
    <w:uiPriority w:val="10"/>
    <w:qFormat/>
    <w:rsid w:val="00603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4E5"/>
    <w:pPr>
      <w:spacing w:before="160"/>
      <w:jc w:val="center"/>
    </w:pPr>
    <w:rPr>
      <w:i/>
      <w:iCs/>
      <w:color w:val="404040" w:themeColor="text1" w:themeTint="BF"/>
    </w:rPr>
  </w:style>
  <w:style w:type="character" w:customStyle="1" w:styleId="QuoteChar">
    <w:name w:val="Quote Char"/>
    <w:basedOn w:val="DefaultParagraphFont"/>
    <w:link w:val="Quote"/>
    <w:uiPriority w:val="29"/>
    <w:rsid w:val="006034E5"/>
    <w:rPr>
      <w:i/>
      <w:iCs/>
      <w:color w:val="404040" w:themeColor="text1" w:themeTint="BF"/>
    </w:rPr>
  </w:style>
  <w:style w:type="paragraph" w:styleId="ListParagraph">
    <w:name w:val="List Paragraph"/>
    <w:basedOn w:val="Normal"/>
    <w:uiPriority w:val="34"/>
    <w:qFormat/>
    <w:rsid w:val="006034E5"/>
    <w:pPr>
      <w:ind w:left="720"/>
      <w:contextualSpacing/>
    </w:pPr>
  </w:style>
  <w:style w:type="character" w:styleId="IntenseEmphasis">
    <w:name w:val="Intense Emphasis"/>
    <w:basedOn w:val="DefaultParagraphFont"/>
    <w:uiPriority w:val="21"/>
    <w:qFormat/>
    <w:rsid w:val="006034E5"/>
    <w:rPr>
      <w:i/>
      <w:iCs/>
      <w:color w:val="2F5496" w:themeColor="accent1" w:themeShade="BF"/>
    </w:rPr>
  </w:style>
  <w:style w:type="paragraph" w:styleId="IntenseQuote">
    <w:name w:val="Intense Quote"/>
    <w:basedOn w:val="Normal"/>
    <w:next w:val="Normal"/>
    <w:link w:val="IntenseQuoteChar"/>
    <w:uiPriority w:val="30"/>
    <w:qFormat/>
    <w:rsid w:val="006034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34E5"/>
    <w:rPr>
      <w:i/>
      <w:iCs/>
      <w:color w:val="2F5496" w:themeColor="accent1" w:themeShade="BF"/>
    </w:rPr>
  </w:style>
  <w:style w:type="character" w:styleId="IntenseReference">
    <w:name w:val="Intense Reference"/>
    <w:basedOn w:val="DefaultParagraphFont"/>
    <w:uiPriority w:val="32"/>
    <w:qFormat/>
    <w:rsid w:val="006034E5"/>
    <w:rPr>
      <w:b/>
      <w:bCs/>
      <w:smallCaps/>
      <w:color w:val="2F5496" w:themeColor="accent1" w:themeShade="BF"/>
      <w:spacing w:val="5"/>
    </w:rPr>
  </w:style>
  <w:style w:type="paragraph" w:styleId="NormalWeb">
    <w:name w:val="Normal (Web)"/>
    <w:basedOn w:val="Normal"/>
    <w:uiPriority w:val="99"/>
    <w:unhideWhenUsed/>
    <w:rsid w:val="00D63BB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3D36A2"/>
    <w:pPr>
      <w:spacing w:after="0" w:line="240" w:lineRule="auto"/>
    </w:pPr>
  </w:style>
  <w:style w:type="table" w:styleId="TableGrid">
    <w:name w:val="Table Grid"/>
    <w:basedOn w:val="TableNormal"/>
    <w:uiPriority w:val="39"/>
    <w:rsid w:val="00111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85CD6"/>
    <w:rPr>
      <w:b/>
      <w:bCs/>
    </w:rPr>
  </w:style>
  <w:style w:type="paragraph" w:styleId="Header">
    <w:name w:val="header"/>
    <w:basedOn w:val="Normal"/>
    <w:link w:val="HeaderChar"/>
    <w:uiPriority w:val="99"/>
    <w:unhideWhenUsed/>
    <w:rsid w:val="005332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20F"/>
  </w:style>
  <w:style w:type="paragraph" w:styleId="Footer">
    <w:name w:val="footer"/>
    <w:basedOn w:val="Normal"/>
    <w:link w:val="FooterChar"/>
    <w:uiPriority w:val="99"/>
    <w:unhideWhenUsed/>
    <w:rsid w:val="00533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6</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Wondu Feyisa</dc:creator>
  <cp:keywords/>
  <dc:description/>
  <cp:lastModifiedBy>Wondu Feyisa</cp:lastModifiedBy>
  <cp:revision>30</cp:revision>
  <dcterms:created xsi:type="dcterms:W3CDTF">2025-11-07T08:18:00Z</dcterms:created>
  <dcterms:modified xsi:type="dcterms:W3CDTF">2025-11-16T14:15:00Z</dcterms:modified>
</cp:coreProperties>
</file>