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AC41A" w14:textId="07BBF9BF" w:rsidR="00AC2F74" w:rsidRPr="00AC2F74" w:rsidRDefault="00AC2F74" w:rsidP="00AC2F74">
      <w:pPr>
        <w:spacing w:line="360" w:lineRule="auto"/>
        <w:jc w:val="both"/>
        <w:rPr>
          <w:rFonts w:ascii="Times New Roman" w:hAnsi="Times New Roman" w:cs="Times New Roman"/>
        </w:rPr>
      </w:pPr>
      <w:r w:rsidRPr="00AC2F74">
        <w:rPr>
          <w:rFonts w:ascii="Times New Roman" w:hAnsi="Times New Roman" w:cs="Times New Roman"/>
          <w:b/>
          <w:bCs/>
        </w:rPr>
        <w:t>Newcastle-Ottawa Scale Domain-Specific Scoring Criteria</w:t>
      </w:r>
    </w:p>
    <w:p w14:paraId="09621229" w14:textId="77777777" w:rsidR="00AC2F74" w:rsidRPr="00AC2F74" w:rsidRDefault="00AC2F74" w:rsidP="00AC2F74">
      <w:pPr>
        <w:spacing w:line="360" w:lineRule="auto"/>
        <w:jc w:val="both"/>
        <w:rPr>
          <w:rFonts w:ascii="Times New Roman" w:hAnsi="Times New Roman" w:cs="Times New Roman"/>
        </w:rPr>
      </w:pPr>
      <w:r w:rsidRPr="00AC2F74">
        <w:rPr>
          <w:rFonts w:ascii="Times New Roman" w:hAnsi="Times New Roman" w:cs="Times New Roman"/>
        </w:rPr>
        <w:t>Domain one, “study sample selection,” had a maximum score of two stars (</w:t>
      </w:r>
      <w:r w:rsidRPr="00AC2F74">
        <w:rPr>
          <w:rFonts w:ascii="Segoe UI Symbol" w:hAnsi="Segoe UI Symbol" w:cs="Segoe UI Symbol"/>
        </w:rPr>
        <w:t>★★</w:t>
      </w:r>
      <w:r w:rsidRPr="00AC2F74">
        <w:rPr>
          <w:rFonts w:ascii="Times New Roman" w:hAnsi="Times New Roman" w:cs="Times New Roman"/>
        </w:rPr>
        <w:t>) and included two items: representativeness of the study sample and sample size justification. One star was awarded if the sample was truly or somewhat representative of the target population (e.g., census, random sampling, or non-random sampling). The second star was awarded if the sample size was formally calculated or adjusted for response rate or population size. Domain two, “assessment of exposure and outcome,” had a maximum of four stars (</w:t>
      </w:r>
      <w:r w:rsidRPr="00AC2F74">
        <w:rPr>
          <w:rFonts w:ascii="Segoe UI Symbol" w:hAnsi="Segoe UI Symbol" w:cs="Segoe UI Symbol"/>
        </w:rPr>
        <w:t>★★★★</w:t>
      </w:r>
      <w:r w:rsidRPr="00AC2F74">
        <w:rPr>
          <w:rFonts w:ascii="Times New Roman" w:hAnsi="Times New Roman" w:cs="Times New Roman"/>
        </w:rPr>
        <w:t>) and focused on measurement quality. For exposure assessment (Item 3, applicable to association studies), two stars were awarded for gold-standard methods (e.g., direct observation, validated checklists with reliability testing), and one star for acceptable but less rigorous tools (e.g., structured self-report, pretested questionnaires). For outcome assessment (Item 4, applicable to both association and prevalence studies), two stars were awarded for gold-standard methods and one star for acceptable alternatives; vague or unstructured measurement approaches received no stars.</w:t>
      </w:r>
    </w:p>
    <w:p w14:paraId="125F53EA" w14:textId="1D27DAF4" w:rsidR="00AC2F74" w:rsidRPr="00AC2F74" w:rsidRDefault="00AC2F74" w:rsidP="00AC2F74">
      <w:pPr>
        <w:spacing w:line="360" w:lineRule="auto"/>
        <w:jc w:val="both"/>
        <w:rPr>
          <w:rFonts w:ascii="Times New Roman" w:hAnsi="Times New Roman" w:cs="Times New Roman"/>
          <w:shd w:val="clear" w:color="auto" w:fill="F6F6F6"/>
        </w:rPr>
      </w:pPr>
      <w:r w:rsidRPr="00AC2F74">
        <w:rPr>
          <w:rFonts w:ascii="Times New Roman" w:hAnsi="Times New Roman" w:cs="Times New Roman"/>
        </w:rPr>
        <w:t>Domain three, “confounding factors,” applied only to association studies and had a maximum of three stars (</w:t>
      </w:r>
      <w:r w:rsidRPr="00AC2F74">
        <w:rPr>
          <w:rFonts w:ascii="Segoe UI Symbol" w:hAnsi="Segoe UI Symbol" w:cs="Segoe UI Symbol"/>
        </w:rPr>
        <w:t>★★★</w:t>
      </w:r>
      <w:r w:rsidRPr="00AC2F74">
        <w:rPr>
          <w:rFonts w:ascii="Times New Roman" w:hAnsi="Times New Roman" w:cs="Times New Roman"/>
        </w:rPr>
        <w:t xml:space="preserve">). For confounder adjustment (Item 5), two stars were awarded if the study adjusted for all key confounders (e.g., provider age, sex, years of experience, profession, facility type) without adjusting for potential mediators such as knowledge or attitudes. One star was given if the study adjusted for all important confounders but also included mediators, or if it adjusted for some but not all key confounders. For confounder measurement (Item 6), one additional star was awarded if most confounders were measured using gold-standard methods (e.g., validated scales, clinical records) or acceptable validated tools (e.g., structured questionnaires, mean-based cutoffs) </w:t>
      </w:r>
      <w:r w:rsidRPr="00AC2F74">
        <w:rPr>
          <w:rFonts w:ascii="Times New Roman" w:hAnsi="Times New Roman" w:cs="Times New Roman"/>
          <w:highlight w:val="magenta"/>
        </w:rPr>
        <w:t>(</w:t>
      </w:r>
      <w:r>
        <w:rPr>
          <w:rFonts w:ascii="Times New Roman" w:hAnsi="Times New Roman" w:cs="Times New Roman"/>
          <w:highlight w:val="magenta"/>
        </w:rPr>
        <w:t xml:space="preserve">SUP. </w:t>
      </w:r>
      <w:r w:rsidRPr="00AC2F74">
        <w:rPr>
          <w:rFonts w:ascii="Times New Roman" w:hAnsi="Times New Roman" w:cs="Times New Roman"/>
          <w:highlight w:val="magenta"/>
        </w:rPr>
        <w:t>Table 5).</w:t>
      </w:r>
    </w:p>
    <w:p w14:paraId="600688BF" w14:textId="536AAD45" w:rsidR="00B7673D" w:rsidRPr="00B7673D" w:rsidRDefault="00AC2F74" w:rsidP="00AC2F74">
      <w:pPr>
        <w:spacing w:line="276" w:lineRule="auto"/>
        <w:jc w:val="both"/>
        <w:rPr>
          <w:rFonts w:ascii="Times New Roman" w:hAnsi="Times New Roman" w:cs="Times New Roman"/>
        </w:rPr>
      </w:pPr>
      <w:r w:rsidRPr="00AC2F74">
        <w:rPr>
          <w:rFonts w:ascii="Times New Roman" w:hAnsi="Times New Roman" w:cs="Times New Roman"/>
          <w:b/>
        </w:rPr>
        <w:t>Supplementary Table 5:</w:t>
      </w:r>
      <w:r w:rsidRPr="00AC2F74">
        <w:rPr>
          <w:rFonts w:ascii="Times New Roman" w:hAnsi="Times New Roman" w:cs="Times New Roman"/>
        </w:rPr>
        <w:t xml:space="preserve"> Description of the modified NOS-based RoB (NOS-xs and NOS-xs2) </w:t>
      </w:r>
      <w:r w:rsidRPr="00AC2F74">
        <w:rPr>
          <w:rFonts w:ascii="Times New Roman" w:eastAsia="Times New Roman" w:hAnsi="Times New Roman" w:cs="Times New Roman"/>
          <w:bCs/>
          <w:kern w:val="0"/>
          <w14:ligatures w14:val="none"/>
        </w:rPr>
        <w:t>for cross-sectional prevalence and association studies assessment</w:t>
      </w:r>
      <w:r w:rsidRPr="00AC2F74">
        <w:rPr>
          <w:rFonts w:ascii="Times New Roman" w:hAnsi="Times New Roman" w:cs="Times New Roman"/>
        </w:rPr>
        <w:t xml:space="preserve"> checklist </w:t>
      </w:r>
      <w:r w:rsidRPr="00AC2F74">
        <w:rPr>
          <w:rFonts w:ascii="Times New Roman" w:eastAsia="Times New Roman" w:hAnsi="Times New Roman" w:cs="Times New Roman"/>
          <w:bCs/>
          <w:kern w:val="0"/>
          <w14:ligatures w14:val="none"/>
        </w:rPr>
        <w:t xml:space="preserve">utilized in the </w:t>
      </w:r>
      <w:r w:rsidRPr="00AC2F74">
        <w:rPr>
          <w:rFonts w:ascii="Times New Roman" w:hAnsi="Times New Roman" w:cs="Times New Roman"/>
        </w:rPr>
        <w:t xml:space="preserve">systematic review and meta-analysis of </w:t>
      </w:r>
      <w:r w:rsidR="00F93360" w:rsidRPr="00785C82">
        <w:rPr>
          <w:rFonts w:ascii="Times New Roman" w:hAnsi="Times New Roman" w:cs="Times New Roman"/>
        </w:rPr>
        <w:t>pharmacological and non-pharmacological labor pain management and associated factors among licensed obstetric care providers in Ethiopia, 2025.</w:t>
      </w:r>
    </w:p>
    <w:tbl>
      <w:tblPr>
        <w:tblStyle w:val="TableGrid"/>
        <w:tblW w:w="10350" w:type="dxa"/>
        <w:tblInd w:w="-545" w:type="dxa"/>
        <w:tblLayout w:type="fixed"/>
        <w:tblLook w:val="04A0" w:firstRow="1" w:lastRow="0" w:firstColumn="1" w:lastColumn="0" w:noHBand="0" w:noVBand="1"/>
      </w:tblPr>
      <w:tblGrid>
        <w:gridCol w:w="1440"/>
        <w:gridCol w:w="990"/>
        <w:gridCol w:w="7110"/>
        <w:gridCol w:w="810"/>
      </w:tblGrid>
      <w:tr w:rsidR="00AC2F74" w:rsidRPr="00AC2F74" w14:paraId="7BC6F5B6" w14:textId="77777777" w:rsidTr="00B7673D">
        <w:tc>
          <w:tcPr>
            <w:tcW w:w="1440" w:type="dxa"/>
          </w:tcPr>
          <w:p w14:paraId="4B241791" w14:textId="77777777" w:rsidR="00AC2F74" w:rsidRPr="00AC2F74" w:rsidRDefault="00AC2F74" w:rsidP="00AC2F74">
            <w:pPr>
              <w:tabs>
                <w:tab w:val="left" w:pos="3150"/>
              </w:tabs>
              <w:jc w:val="both"/>
              <w:rPr>
                <w:rFonts w:ascii="Times New Roman" w:hAnsi="Times New Roman" w:cs="Times New Roman"/>
                <w:b/>
                <w:iCs/>
              </w:rPr>
            </w:pPr>
            <w:r w:rsidRPr="00AC2F74">
              <w:rPr>
                <w:rFonts w:ascii="Times New Roman" w:hAnsi="Times New Roman" w:cs="Times New Roman"/>
                <w:b/>
                <w:iCs/>
              </w:rPr>
              <w:t xml:space="preserve">Domain </w:t>
            </w:r>
          </w:p>
        </w:tc>
        <w:tc>
          <w:tcPr>
            <w:tcW w:w="990" w:type="dxa"/>
          </w:tcPr>
          <w:p w14:paraId="42A8E852" w14:textId="77777777" w:rsidR="00AC2F74" w:rsidRPr="00AC2F74" w:rsidRDefault="00AC2F74" w:rsidP="00AC2F74">
            <w:pPr>
              <w:tabs>
                <w:tab w:val="left" w:pos="3150"/>
              </w:tabs>
              <w:jc w:val="both"/>
              <w:rPr>
                <w:rFonts w:ascii="Times New Roman" w:hAnsi="Times New Roman" w:cs="Times New Roman"/>
                <w:b/>
                <w:iCs/>
              </w:rPr>
            </w:pPr>
            <w:r w:rsidRPr="00AC2F74">
              <w:rPr>
                <w:rFonts w:ascii="Times New Roman" w:hAnsi="Times New Roman" w:cs="Times New Roman"/>
                <w:b/>
                <w:iCs/>
              </w:rPr>
              <w:t xml:space="preserve">Item </w:t>
            </w:r>
          </w:p>
        </w:tc>
        <w:tc>
          <w:tcPr>
            <w:tcW w:w="7110" w:type="dxa"/>
          </w:tcPr>
          <w:p w14:paraId="64E5790A" w14:textId="77777777" w:rsidR="00AC2F74" w:rsidRPr="00AC2F74" w:rsidRDefault="00AC2F74" w:rsidP="00AC2F74">
            <w:pPr>
              <w:tabs>
                <w:tab w:val="left" w:pos="3150"/>
              </w:tabs>
              <w:jc w:val="both"/>
              <w:rPr>
                <w:rFonts w:ascii="Times New Roman" w:hAnsi="Times New Roman" w:cs="Times New Roman"/>
                <w:b/>
                <w:iCs/>
              </w:rPr>
            </w:pPr>
            <w:r w:rsidRPr="00AC2F74">
              <w:rPr>
                <w:rFonts w:ascii="Times New Roman" w:hAnsi="Times New Roman" w:cs="Times New Roman"/>
                <w:b/>
                <w:iCs/>
              </w:rPr>
              <w:t>Description</w:t>
            </w:r>
          </w:p>
        </w:tc>
        <w:tc>
          <w:tcPr>
            <w:tcW w:w="810" w:type="dxa"/>
          </w:tcPr>
          <w:p w14:paraId="52615A03" w14:textId="77777777" w:rsidR="00AC2F74" w:rsidRPr="00AC2F74" w:rsidRDefault="00AC2F74" w:rsidP="00AC2F74">
            <w:pPr>
              <w:tabs>
                <w:tab w:val="left" w:pos="3150"/>
              </w:tabs>
              <w:jc w:val="both"/>
              <w:rPr>
                <w:rFonts w:ascii="Times New Roman" w:hAnsi="Times New Roman" w:cs="Times New Roman"/>
                <w:b/>
                <w:iCs/>
              </w:rPr>
            </w:pPr>
            <w:r w:rsidRPr="00AC2F74">
              <w:rPr>
                <w:rFonts w:ascii="Times New Roman" w:hAnsi="Times New Roman" w:cs="Times New Roman"/>
                <w:b/>
                <w:iCs/>
              </w:rPr>
              <w:t xml:space="preserve">Stars </w:t>
            </w:r>
          </w:p>
        </w:tc>
      </w:tr>
      <w:tr w:rsidR="00AC2F74" w:rsidRPr="00AC2F74" w14:paraId="05BAEA0E" w14:textId="77777777" w:rsidTr="00B7673D">
        <w:tc>
          <w:tcPr>
            <w:tcW w:w="1440" w:type="dxa"/>
            <w:vMerge w:val="restart"/>
            <w:textDirection w:val="btLr"/>
          </w:tcPr>
          <w:p w14:paraId="1ACD320B" w14:textId="77777777" w:rsidR="00AC2F74" w:rsidRPr="00AC2F74" w:rsidRDefault="00AC2F74" w:rsidP="00AC2F74">
            <w:pPr>
              <w:tabs>
                <w:tab w:val="left" w:pos="3150"/>
              </w:tabs>
              <w:ind w:left="113" w:right="113"/>
              <w:rPr>
                <w:rFonts w:ascii="Times New Roman" w:hAnsi="Times New Roman" w:cs="Times New Roman"/>
                <w:iCs/>
              </w:rPr>
            </w:pPr>
            <w:r w:rsidRPr="00AC2F74">
              <w:rPr>
                <w:rFonts w:ascii="Times New Roman" w:hAnsi="Times New Roman" w:cs="Times New Roman"/>
                <w:iCs/>
              </w:rPr>
              <w:t>Study selection (max. 2 stars)</w:t>
            </w:r>
          </w:p>
        </w:tc>
        <w:tc>
          <w:tcPr>
            <w:tcW w:w="990" w:type="dxa"/>
            <w:vMerge w:val="restart"/>
          </w:tcPr>
          <w:p w14:paraId="4D058B44" w14:textId="77777777" w:rsidR="00AC2F74" w:rsidRPr="00AC2F74" w:rsidRDefault="00AC2F74" w:rsidP="00AC2F74">
            <w:pPr>
              <w:tabs>
                <w:tab w:val="left" w:pos="3150"/>
              </w:tabs>
              <w:rPr>
                <w:rFonts w:ascii="Times New Roman" w:hAnsi="Times New Roman" w:cs="Times New Roman"/>
                <w:iCs/>
              </w:rPr>
            </w:pPr>
            <w:r w:rsidRPr="00AC2F74">
              <w:rPr>
                <w:rFonts w:ascii="Times New Roman" w:hAnsi="Times New Roman" w:cs="Times New Roman"/>
                <w:iCs/>
              </w:rPr>
              <w:t xml:space="preserve">Representativeness of the </w:t>
            </w:r>
            <w:r w:rsidRPr="00AC2F74">
              <w:rPr>
                <w:rFonts w:ascii="Times New Roman" w:hAnsi="Times New Roman" w:cs="Times New Roman"/>
                <w:iCs/>
              </w:rPr>
              <w:lastRenderedPageBreak/>
              <w:t>study sample</w:t>
            </w:r>
          </w:p>
        </w:tc>
        <w:tc>
          <w:tcPr>
            <w:tcW w:w="7110" w:type="dxa"/>
          </w:tcPr>
          <w:p w14:paraId="68BC7D2D" w14:textId="77777777" w:rsidR="00AC2F74" w:rsidRPr="00AC2F74" w:rsidRDefault="00AC2F74" w:rsidP="00AC2F74">
            <w:pPr>
              <w:numPr>
                <w:ilvl w:val="0"/>
                <w:numId w:val="2"/>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lastRenderedPageBreak/>
              <w:t>Truly representative of the target population (e.g., all eligible subjects or random sampling)</w:t>
            </w:r>
          </w:p>
        </w:tc>
        <w:tc>
          <w:tcPr>
            <w:tcW w:w="810" w:type="dxa"/>
          </w:tcPr>
          <w:p w14:paraId="221B2082"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23CBBA48" w14:textId="77777777" w:rsidTr="00B7673D">
        <w:tc>
          <w:tcPr>
            <w:tcW w:w="1440" w:type="dxa"/>
            <w:vMerge/>
          </w:tcPr>
          <w:p w14:paraId="6EB1D1DB"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6CCB64B"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667A3F46" w14:textId="77777777" w:rsidR="00AC2F74" w:rsidRPr="00AC2F74" w:rsidRDefault="00AC2F74" w:rsidP="00AC2F74">
            <w:pPr>
              <w:numPr>
                <w:ilvl w:val="0"/>
                <w:numId w:val="2"/>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Somewhat representative (e.g., non-random sampling, limited scope)</w:t>
            </w:r>
          </w:p>
        </w:tc>
        <w:tc>
          <w:tcPr>
            <w:tcW w:w="810" w:type="dxa"/>
          </w:tcPr>
          <w:p w14:paraId="7ADA4D13"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704D071E" w14:textId="77777777" w:rsidTr="00B7673D">
        <w:tc>
          <w:tcPr>
            <w:tcW w:w="1440" w:type="dxa"/>
            <w:vMerge/>
          </w:tcPr>
          <w:p w14:paraId="59B610AE"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8AAC9B7"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0B09378B" w14:textId="77777777" w:rsidR="00AC2F74" w:rsidRPr="00AC2F74" w:rsidRDefault="00AC2F74" w:rsidP="00AC2F74">
            <w:pPr>
              <w:numPr>
                <w:ilvl w:val="0"/>
                <w:numId w:val="2"/>
              </w:numPr>
              <w:tabs>
                <w:tab w:val="left" w:pos="3150"/>
              </w:tabs>
              <w:contextualSpacing/>
              <w:rPr>
                <w:rFonts w:ascii="Times New Roman" w:hAnsi="Times New Roman" w:cs="Times New Roman"/>
                <w:iCs/>
                <w:kern w:val="0"/>
                <w:lang w:val="en-AU"/>
                <w14:ligatures w14:val="none"/>
              </w:rPr>
            </w:pPr>
            <w:r w:rsidRPr="00AC2F74">
              <w:rPr>
                <w:rFonts w:ascii="Times New Roman" w:hAnsi="Times New Roman" w:cs="Times New Roman"/>
                <w:kern w:val="0"/>
                <w:lang w:val="en-AU"/>
                <w14:ligatures w14:val="none"/>
              </w:rPr>
              <w:t>No representative of the target population (selected group of users).</w:t>
            </w:r>
          </w:p>
        </w:tc>
        <w:tc>
          <w:tcPr>
            <w:tcW w:w="810" w:type="dxa"/>
          </w:tcPr>
          <w:p w14:paraId="7BA47C9A"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0CB47D02" w14:textId="77777777" w:rsidTr="00B7673D">
        <w:trPr>
          <w:trHeight w:val="80"/>
        </w:trPr>
        <w:tc>
          <w:tcPr>
            <w:tcW w:w="1440" w:type="dxa"/>
            <w:vMerge/>
          </w:tcPr>
          <w:p w14:paraId="56170EBF"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4D9D912C"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30D73262" w14:textId="77777777" w:rsidR="00AC2F74" w:rsidRPr="00AC2F74" w:rsidRDefault="00AC2F74" w:rsidP="00AC2F74">
            <w:pPr>
              <w:numPr>
                <w:ilvl w:val="0"/>
                <w:numId w:val="2"/>
              </w:numPr>
              <w:tabs>
                <w:tab w:val="left" w:pos="3150"/>
              </w:tabs>
              <w:contextualSpacing/>
              <w:jc w:val="both"/>
              <w:rPr>
                <w:rFonts w:ascii="Times New Roman" w:hAnsi="Times New Roman" w:cs="Times New Roman"/>
                <w:kern w:val="0"/>
                <w:lang w:val="en-AU"/>
                <w14:ligatures w14:val="none"/>
              </w:rPr>
            </w:pPr>
            <w:r w:rsidRPr="00AC2F74">
              <w:rPr>
                <w:rFonts w:ascii="Times New Roman" w:hAnsi="Times New Roman" w:cs="Times New Roman"/>
                <w:kern w:val="0"/>
                <w:lang w:val="en-AU"/>
                <w14:ligatures w14:val="none"/>
              </w:rPr>
              <w:t>No description of the sampling strategy.</w:t>
            </w:r>
          </w:p>
        </w:tc>
        <w:tc>
          <w:tcPr>
            <w:tcW w:w="810" w:type="dxa"/>
          </w:tcPr>
          <w:p w14:paraId="4AB49492"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7D0696F0" w14:textId="77777777" w:rsidTr="00B7673D">
        <w:tc>
          <w:tcPr>
            <w:tcW w:w="1440" w:type="dxa"/>
            <w:vMerge/>
          </w:tcPr>
          <w:p w14:paraId="032C72A6" w14:textId="77777777" w:rsidR="00AC2F74" w:rsidRPr="00AC2F74" w:rsidRDefault="00AC2F74" w:rsidP="00AC2F74">
            <w:pPr>
              <w:tabs>
                <w:tab w:val="left" w:pos="3150"/>
              </w:tabs>
              <w:jc w:val="both"/>
              <w:rPr>
                <w:rFonts w:ascii="Times New Roman" w:hAnsi="Times New Roman" w:cs="Times New Roman"/>
                <w:iCs/>
              </w:rPr>
            </w:pPr>
          </w:p>
        </w:tc>
        <w:tc>
          <w:tcPr>
            <w:tcW w:w="990" w:type="dxa"/>
            <w:vMerge w:val="restart"/>
          </w:tcPr>
          <w:p w14:paraId="5B36F144" w14:textId="77777777" w:rsidR="00AC2F74" w:rsidRPr="00AC2F74" w:rsidRDefault="00AC2F74" w:rsidP="00AC2F74">
            <w:pPr>
              <w:tabs>
                <w:tab w:val="left" w:pos="3150"/>
              </w:tabs>
              <w:rPr>
                <w:rFonts w:ascii="Times New Roman" w:hAnsi="Times New Roman" w:cs="Times New Roman"/>
                <w:iCs/>
              </w:rPr>
            </w:pPr>
            <w:r w:rsidRPr="00AC2F74">
              <w:rPr>
                <w:rFonts w:ascii="Times New Roman" w:hAnsi="Times New Roman" w:cs="Times New Roman"/>
                <w:iCs/>
              </w:rPr>
              <w:t>Sample size justification</w:t>
            </w:r>
          </w:p>
        </w:tc>
        <w:tc>
          <w:tcPr>
            <w:tcW w:w="7110" w:type="dxa"/>
          </w:tcPr>
          <w:p w14:paraId="65D2A8ED" w14:textId="77777777" w:rsidR="00AC2F74" w:rsidRPr="00AC2F74" w:rsidRDefault="00AC2F74" w:rsidP="00AC2F74">
            <w:pPr>
              <w:numPr>
                <w:ilvl w:val="0"/>
                <w:numId w:val="1"/>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Justified and satisfactory (e.g., formal calculation, adjusted for response rate or population size)</w:t>
            </w:r>
          </w:p>
        </w:tc>
        <w:tc>
          <w:tcPr>
            <w:tcW w:w="810" w:type="dxa"/>
          </w:tcPr>
          <w:p w14:paraId="5DA77A2A"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5E9732BC" w14:textId="77777777" w:rsidTr="00B7673D">
        <w:tc>
          <w:tcPr>
            <w:tcW w:w="1440" w:type="dxa"/>
            <w:vMerge/>
          </w:tcPr>
          <w:p w14:paraId="00D974CB"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162501C"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23A81D23" w14:textId="77777777" w:rsidR="00AC2F74" w:rsidRPr="00AC2F74" w:rsidRDefault="00AC2F74" w:rsidP="00AC2F74">
            <w:pPr>
              <w:numPr>
                <w:ilvl w:val="0"/>
                <w:numId w:val="1"/>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Not justified or unsatisfactory</w:t>
            </w:r>
          </w:p>
        </w:tc>
        <w:tc>
          <w:tcPr>
            <w:tcW w:w="810" w:type="dxa"/>
          </w:tcPr>
          <w:p w14:paraId="03729A54"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1861E850" w14:textId="77777777" w:rsidTr="00B7673D">
        <w:tc>
          <w:tcPr>
            <w:tcW w:w="1440" w:type="dxa"/>
            <w:vMerge w:val="restart"/>
            <w:textDirection w:val="btLr"/>
          </w:tcPr>
          <w:p w14:paraId="698250EA" w14:textId="77777777" w:rsidR="00AC2F74" w:rsidRPr="00AC2F74" w:rsidRDefault="00AC2F74" w:rsidP="00AC2F74">
            <w:pPr>
              <w:tabs>
                <w:tab w:val="left" w:pos="3150"/>
              </w:tabs>
              <w:ind w:left="113" w:right="113"/>
              <w:rPr>
                <w:rFonts w:ascii="Times New Roman" w:hAnsi="Times New Roman" w:cs="Times New Roman"/>
                <w:iCs/>
              </w:rPr>
            </w:pPr>
            <w:r w:rsidRPr="00AC2F74">
              <w:rPr>
                <w:rFonts w:ascii="Times New Roman" w:hAnsi="Times New Roman" w:cs="Times New Roman"/>
                <w:iCs/>
              </w:rPr>
              <w:t>Assessment of exposure and outcome (max. 4 stars)</w:t>
            </w:r>
          </w:p>
        </w:tc>
        <w:tc>
          <w:tcPr>
            <w:tcW w:w="990" w:type="dxa"/>
            <w:vMerge w:val="restart"/>
          </w:tcPr>
          <w:p w14:paraId="476717D8"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Assessment of the exposure(s)</w:t>
            </w:r>
            <w:r w:rsidRPr="00AC2F74">
              <w:rPr>
                <w:rFonts w:ascii="Times New Roman" w:hAnsi="Times New Roman" w:cs="Times New Roman"/>
                <w:iCs/>
                <w:vertAlign w:val="superscript"/>
              </w:rPr>
              <w:t>a</w:t>
            </w:r>
          </w:p>
        </w:tc>
        <w:tc>
          <w:tcPr>
            <w:tcW w:w="7110" w:type="dxa"/>
          </w:tcPr>
          <w:p w14:paraId="590A9674" w14:textId="77777777" w:rsidR="00AC2F74" w:rsidRPr="00AC2F74" w:rsidRDefault="00AC2F74" w:rsidP="00AC2F74">
            <w:pPr>
              <w:numPr>
                <w:ilvl w:val="0"/>
                <w:numId w:val="3"/>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Gold-standard assessment tool (e.g., direct observation, validated checklist with reliability testing)</w:t>
            </w:r>
          </w:p>
        </w:tc>
        <w:tc>
          <w:tcPr>
            <w:tcW w:w="810" w:type="dxa"/>
          </w:tcPr>
          <w:p w14:paraId="063AC9F1"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789C6C8B" w14:textId="77777777" w:rsidTr="00B7673D">
        <w:tc>
          <w:tcPr>
            <w:tcW w:w="1440" w:type="dxa"/>
            <w:vMerge/>
          </w:tcPr>
          <w:p w14:paraId="7F19FCA8"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22FEB0B2"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1FCD534A" w14:textId="77777777" w:rsidR="00AC2F74" w:rsidRPr="00AC2F74" w:rsidRDefault="00AC2F74" w:rsidP="00AC2F74">
            <w:pPr>
              <w:numPr>
                <w:ilvl w:val="0"/>
                <w:numId w:val="3"/>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Acceptable assessment tool (e.g., structured self-report, pretested questionnaire)</w:t>
            </w:r>
          </w:p>
        </w:tc>
        <w:tc>
          <w:tcPr>
            <w:tcW w:w="810" w:type="dxa"/>
          </w:tcPr>
          <w:p w14:paraId="23010152"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7EADDB88" w14:textId="77777777" w:rsidTr="00B7673D">
        <w:tc>
          <w:tcPr>
            <w:tcW w:w="1440" w:type="dxa"/>
            <w:vMerge/>
          </w:tcPr>
          <w:p w14:paraId="23FD14D2"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F148DBD"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128E5026" w14:textId="77777777" w:rsidR="00AC2F74" w:rsidRPr="00AC2F74" w:rsidRDefault="00AC2F74" w:rsidP="00AC2F74">
            <w:pPr>
              <w:numPr>
                <w:ilvl w:val="0"/>
                <w:numId w:val="3"/>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Non-acceptable methods (e.g., vague, unstructured, or unclear measurement)</w:t>
            </w:r>
          </w:p>
        </w:tc>
        <w:tc>
          <w:tcPr>
            <w:tcW w:w="810" w:type="dxa"/>
          </w:tcPr>
          <w:p w14:paraId="78A57607"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721037EA" w14:textId="77777777" w:rsidTr="00B7673D">
        <w:tc>
          <w:tcPr>
            <w:tcW w:w="1440" w:type="dxa"/>
            <w:vMerge/>
          </w:tcPr>
          <w:p w14:paraId="6ECBED4F"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205BE81C"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00E4501E" w14:textId="77777777" w:rsidR="00AC2F74" w:rsidRPr="00AC2F74" w:rsidRDefault="00AC2F74" w:rsidP="00AC2F74">
            <w:pPr>
              <w:numPr>
                <w:ilvl w:val="0"/>
                <w:numId w:val="3"/>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No description of the assessment tool</w:t>
            </w:r>
          </w:p>
        </w:tc>
        <w:tc>
          <w:tcPr>
            <w:tcW w:w="810" w:type="dxa"/>
          </w:tcPr>
          <w:p w14:paraId="51E24F7C"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079C5034" w14:textId="77777777" w:rsidTr="00B7673D">
        <w:trPr>
          <w:trHeight w:val="278"/>
        </w:trPr>
        <w:tc>
          <w:tcPr>
            <w:tcW w:w="1440" w:type="dxa"/>
            <w:vMerge/>
          </w:tcPr>
          <w:p w14:paraId="733DF893" w14:textId="77777777" w:rsidR="00AC2F74" w:rsidRPr="00AC2F74" w:rsidRDefault="00AC2F74" w:rsidP="00AC2F74">
            <w:pPr>
              <w:tabs>
                <w:tab w:val="left" w:pos="3150"/>
              </w:tabs>
              <w:jc w:val="both"/>
              <w:rPr>
                <w:rFonts w:ascii="Times New Roman" w:hAnsi="Times New Roman" w:cs="Times New Roman"/>
                <w:iCs/>
              </w:rPr>
            </w:pPr>
          </w:p>
        </w:tc>
        <w:tc>
          <w:tcPr>
            <w:tcW w:w="990" w:type="dxa"/>
            <w:vMerge w:val="restart"/>
          </w:tcPr>
          <w:p w14:paraId="2B762740"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Assessment of the outcome(s)</w:t>
            </w:r>
          </w:p>
        </w:tc>
        <w:tc>
          <w:tcPr>
            <w:tcW w:w="7110" w:type="dxa"/>
          </w:tcPr>
          <w:p w14:paraId="6ECC81DD" w14:textId="77777777" w:rsidR="00AC2F74" w:rsidRPr="00AC2F74" w:rsidRDefault="00AC2F74" w:rsidP="00AC2F74">
            <w:pPr>
              <w:numPr>
                <w:ilvl w:val="0"/>
                <w:numId w:val="4"/>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Gold-standard tool (e.g., direct observation, validated checklist, reliability tested)</w:t>
            </w:r>
          </w:p>
        </w:tc>
        <w:tc>
          <w:tcPr>
            <w:tcW w:w="810" w:type="dxa"/>
          </w:tcPr>
          <w:p w14:paraId="369EDD4B"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2FF5A935" w14:textId="77777777" w:rsidTr="00B7673D">
        <w:trPr>
          <w:trHeight w:val="170"/>
        </w:trPr>
        <w:tc>
          <w:tcPr>
            <w:tcW w:w="1440" w:type="dxa"/>
            <w:vMerge/>
          </w:tcPr>
          <w:p w14:paraId="12BD9916"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0EA68B54"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263BE10C" w14:textId="77777777" w:rsidR="00AC2F74" w:rsidRPr="00AC2F74" w:rsidRDefault="00AC2F74" w:rsidP="00AC2F74">
            <w:pPr>
              <w:numPr>
                <w:ilvl w:val="0"/>
                <w:numId w:val="4"/>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Acceptable tool (e.g., structured, pretested self-report)</w:t>
            </w:r>
          </w:p>
        </w:tc>
        <w:tc>
          <w:tcPr>
            <w:tcW w:w="810" w:type="dxa"/>
          </w:tcPr>
          <w:p w14:paraId="6235406E"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3B85E08F" w14:textId="77777777" w:rsidTr="00B7673D">
        <w:tc>
          <w:tcPr>
            <w:tcW w:w="1440" w:type="dxa"/>
            <w:vMerge/>
          </w:tcPr>
          <w:p w14:paraId="7E6929A5"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236FA584"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0D2D7520" w14:textId="77777777" w:rsidR="00AC2F74" w:rsidRPr="00AC2F74" w:rsidRDefault="00AC2F74" w:rsidP="00AC2F74">
            <w:pPr>
              <w:numPr>
                <w:ilvl w:val="0"/>
                <w:numId w:val="4"/>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lang w:val="en-AU"/>
                <w14:ligatures w14:val="none"/>
              </w:rPr>
              <w:t>Non-acceptable assessment methods.</w:t>
            </w:r>
          </w:p>
        </w:tc>
        <w:tc>
          <w:tcPr>
            <w:tcW w:w="810" w:type="dxa"/>
          </w:tcPr>
          <w:p w14:paraId="23F2FAA2"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4B3A5F82" w14:textId="77777777" w:rsidTr="00B7673D">
        <w:tc>
          <w:tcPr>
            <w:tcW w:w="1440" w:type="dxa"/>
            <w:vMerge/>
          </w:tcPr>
          <w:p w14:paraId="1A04A146"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EABAD4E"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5B246FFD" w14:textId="77777777" w:rsidR="00AC2F74" w:rsidRPr="00AC2F74" w:rsidRDefault="00AC2F74" w:rsidP="00AC2F74">
            <w:pPr>
              <w:numPr>
                <w:ilvl w:val="0"/>
                <w:numId w:val="4"/>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iCs/>
                <w:kern w:val="0"/>
                <w:lang w:val="en-AU"/>
                <w14:ligatures w14:val="none"/>
              </w:rPr>
              <w:t>No description of the assessment tool</w:t>
            </w:r>
          </w:p>
        </w:tc>
        <w:tc>
          <w:tcPr>
            <w:tcW w:w="810" w:type="dxa"/>
          </w:tcPr>
          <w:p w14:paraId="1FE910E8"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7D7FB4F2" w14:textId="77777777" w:rsidTr="00B7673D">
        <w:tc>
          <w:tcPr>
            <w:tcW w:w="1440" w:type="dxa"/>
            <w:vMerge w:val="restart"/>
            <w:textDirection w:val="btLr"/>
          </w:tcPr>
          <w:p w14:paraId="196EE628" w14:textId="77777777" w:rsidR="00AC2F74" w:rsidRPr="00AC2F74" w:rsidRDefault="00AC2F74" w:rsidP="00AC2F74">
            <w:pPr>
              <w:tabs>
                <w:tab w:val="left" w:pos="3150"/>
              </w:tabs>
              <w:ind w:left="113" w:right="113"/>
              <w:rPr>
                <w:rFonts w:ascii="Times New Roman" w:hAnsi="Times New Roman" w:cs="Times New Roman"/>
                <w:iCs/>
              </w:rPr>
            </w:pPr>
            <w:r w:rsidRPr="00AC2F74">
              <w:rPr>
                <w:rFonts w:ascii="Times New Roman" w:hAnsi="Times New Roman" w:cs="Times New Roman"/>
                <w:iCs/>
              </w:rPr>
              <w:t>Confounding factors (max. 3 stars)</w:t>
            </w:r>
          </w:p>
        </w:tc>
        <w:tc>
          <w:tcPr>
            <w:tcW w:w="990" w:type="dxa"/>
            <w:vMerge w:val="restart"/>
          </w:tcPr>
          <w:p w14:paraId="4E803D89" w14:textId="77777777" w:rsidR="00AC2F74" w:rsidRPr="00AC2F74" w:rsidRDefault="00AC2F74" w:rsidP="00AC2F74">
            <w:pPr>
              <w:tabs>
                <w:tab w:val="left" w:pos="3150"/>
              </w:tabs>
              <w:rPr>
                <w:rFonts w:ascii="Times New Roman" w:hAnsi="Times New Roman" w:cs="Times New Roman"/>
                <w:iCs/>
              </w:rPr>
            </w:pPr>
            <w:r w:rsidRPr="00AC2F74">
              <w:rPr>
                <w:rFonts w:ascii="Times New Roman" w:hAnsi="Times New Roman" w:cs="Times New Roman"/>
                <w:iCs/>
              </w:rPr>
              <w:t>Adjustment for confounders</w:t>
            </w:r>
            <w:r w:rsidRPr="00AC2F74">
              <w:rPr>
                <w:rFonts w:ascii="Times New Roman" w:hAnsi="Times New Roman" w:cs="Times New Roman"/>
                <w:iCs/>
                <w:vertAlign w:val="superscript"/>
              </w:rPr>
              <w:t>a</w:t>
            </w:r>
          </w:p>
        </w:tc>
        <w:tc>
          <w:tcPr>
            <w:tcW w:w="7110" w:type="dxa"/>
          </w:tcPr>
          <w:p w14:paraId="28C582AB" w14:textId="77777777" w:rsidR="00AC2F74" w:rsidRPr="00AC2F74" w:rsidRDefault="00AC2F74" w:rsidP="00AC2F74">
            <w:pPr>
              <w:numPr>
                <w:ilvl w:val="0"/>
                <w:numId w:val="5"/>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14:ligatures w14:val="none"/>
              </w:rPr>
              <w:t>The study estimates are adjusted for all the most important confounding factors, and not adjusted for potential mediator(s).</w:t>
            </w:r>
          </w:p>
        </w:tc>
        <w:tc>
          <w:tcPr>
            <w:tcW w:w="810" w:type="dxa"/>
          </w:tcPr>
          <w:p w14:paraId="3C32A20E"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6405B6C2" w14:textId="77777777" w:rsidTr="00B7673D">
        <w:tc>
          <w:tcPr>
            <w:tcW w:w="1440" w:type="dxa"/>
            <w:vMerge/>
          </w:tcPr>
          <w:p w14:paraId="274D9B28"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67460F17"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05BDE317" w14:textId="77777777" w:rsidR="00AC2F74" w:rsidRPr="00AC2F74" w:rsidRDefault="00AC2F74" w:rsidP="00AC2F74">
            <w:pPr>
              <w:numPr>
                <w:ilvl w:val="0"/>
                <w:numId w:val="5"/>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14:ligatures w14:val="none"/>
              </w:rPr>
              <w:t>The study estimates are adjusted for all the most important confounding factors, but also for potential mediator(s)</w:t>
            </w:r>
          </w:p>
        </w:tc>
        <w:tc>
          <w:tcPr>
            <w:tcW w:w="810" w:type="dxa"/>
          </w:tcPr>
          <w:p w14:paraId="60BD94E3" w14:textId="77777777" w:rsidR="00AC2F74" w:rsidRPr="00AC2F74" w:rsidRDefault="00AC2F74" w:rsidP="00AC2F74">
            <w:pPr>
              <w:rPr>
                <w:rFonts w:ascii="Times New Roman" w:hAnsi="Times New Roman" w:cs="Times New Roman"/>
              </w:rPr>
            </w:pPr>
            <w:r w:rsidRPr="00AC2F74">
              <w:rPr>
                <w:rFonts w:ascii="Segoe UI Symbol" w:hAnsi="Segoe UI Symbol" w:cs="Segoe UI Symbol"/>
              </w:rPr>
              <w:t>★</w:t>
            </w:r>
          </w:p>
        </w:tc>
      </w:tr>
      <w:tr w:rsidR="00AC2F74" w:rsidRPr="00AC2F74" w14:paraId="6DD5D8AC" w14:textId="77777777" w:rsidTr="00B7673D">
        <w:tc>
          <w:tcPr>
            <w:tcW w:w="1440" w:type="dxa"/>
            <w:vMerge/>
          </w:tcPr>
          <w:p w14:paraId="4A4118B4"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3E5D7E44"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23C1DE7B" w14:textId="77777777" w:rsidR="00AC2F74" w:rsidRPr="00AC2F74" w:rsidRDefault="00AC2F74" w:rsidP="00AC2F74">
            <w:pPr>
              <w:numPr>
                <w:ilvl w:val="0"/>
                <w:numId w:val="5"/>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14:ligatures w14:val="none"/>
              </w:rPr>
              <w:t>The study estimates are adjusted for some but not all the most important confounding factors.</w:t>
            </w:r>
          </w:p>
        </w:tc>
        <w:tc>
          <w:tcPr>
            <w:tcW w:w="810" w:type="dxa"/>
          </w:tcPr>
          <w:p w14:paraId="5F80DE1D" w14:textId="77777777" w:rsidR="00AC2F74" w:rsidRPr="00AC2F74" w:rsidRDefault="00AC2F74" w:rsidP="00AC2F74">
            <w:pPr>
              <w:rPr>
                <w:rFonts w:ascii="Times New Roman" w:hAnsi="Times New Roman" w:cs="Times New Roman"/>
              </w:rPr>
            </w:pPr>
            <w:r w:rsidRPr="00AC2F74">
              <w:rPr>
                <w:rFonts w:ascii="Segoe UI Symbol" w:hAnsi="Segoe UI Symbol" w:cs="Segoe UI Symbol"/>
              </w:rPr>
              <w:t>★</w:t>
            </w:r>
          </w:p>
        </w:tc>
      </w:tr>
      <w:tr w:rsidR="00AC2F74" w:rsidRPr="00AC2F74" w14:paraId="30B331BA" w14:textId="77777777" w:rsidTr="00B7673D">
        <w:trPr>
          <w:trHeight w:val="548"/>
        </w:trPr>
        <w:tc>
          <w:tcPr>
            <w:tcW w:w="1440" w:type="dxa"/>
            <w:vMerge/>
          </w:tcPr>
          <w:p w14:paraId="3FE62C08"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7C33F7F5"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70BC7606" w14:textId="77777777" w:rsidR="00AC2F74" w:rsidRPr="00AC2F74" w:rsidRDefault="00AC2F74" w:rsidP="00AC2F74">
            <w:pPr>
              <w:numPr>
                <w:ilvl w:val="0"/>
                <w:numId w:val="5"/>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lang w:val="en-AU"/>
                <w14:ligatures w14:val="none"/>
              </w:rPr>
              <w:t>The study estimates are not adjusted for any of the most important confounding factors or no description is provided</w:t>
            </w:r>
          </w:p>
        </w:tc>
        <w:tc>
          <w:tcPr>
            <w:tcW w:w="810" w:type="dxa"/>
          </w:tcPr>
          <w:p w14:paraId="0908C67C"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0AD31D0D" w14:textId="77777777" w:rsidTr="00B7673D">
        <w:tc>
          <w:tcPr>
            <w:tcW w:w="1440" w:type="dxa"/>
            <w:vMerge/>
          </w:tcPr>
          <w:p w14:paraId="65878CA0" w14:textId="77777777" w:rsidR="00AC2F74" w:rsidRPr="00AC2F74" w:rsidRDefault="00AC2F74" w:rsidP="00AC2F74">
            <w:pPr>
              <w:tabs>
                <w:tab w:val="left" w:pos="3150"/>
              </w:tabs>
              <w:jc w:val="both"/>
              <w:rPr>
                <w:rFonts w:ascii="Times New Roman" w:hAnsi="Times New Roman" w:cs="Times New Roman"/>
                <w:iCs/>
              </w:rPr>
            </w:pPr>
          </w:p>
        </w:tc>
        <w:tc>
          <w:tcPr>
            <w:tcW w:w="990" w:type="dxa"/>
            <w:vMerge w:val="restart"/>
          </w:tcPr>
          <w:p w14:paraId="1C2AD116" w14:textId="77777777" w:rsidR="00AC2F74" w:rsidRPr="00AC2F74" w:rsidRDefault="00AC2F74" w:rsidP="00AC2F74">
            <w:pPr>
              <w:tabs>
                <w:tab w:val="left" w:pos="3150"/>
              </w:tabs>
              <w:rPr>
                <w:rFonts w:ascii="Times New Roman" w:hAnsi="Times New Roman" w:cs="Times New Roman"/>
                <w:iCs/>
              </w:rPr>
            </w:pPr>
            <w:r w:rsidRPr="00AC2F74">
              <w:rPr>
                <w:rFonts w:ascii="Times New Roman" w:hAnsi="Times New Roman" w:cs="Times New Roman"/>
                <w:iCs/>
              </w:rPr>
              <w:t>Assessment of confounders</w:t>
            </w:r>
            <w:r w:rsidRPr="00AC2F74">
              <w:rPr>
                <w:rFonts w:ascii="Times New Roman" w:hAnsi="Times New Roman" w:cs="Times New Roman"/>
                <w:iCs/>
                <w:vertAlign w:val="superscript"/>
              </w:rPr>
              <w:t>a</w:t>
            </w:r>
          </w:p>
        </w:tc>
        <w:tc>
          <w:tcPr>
            <w:tcW w:w="7110" w:type="dxa"/>
          </w:tcPr>
          <w:p w14:paraId="31A3EF3E" w14:textId="77777777" w:rsidR="00AC2F74" w:rsidRPr="00AC2F74" w:rsidRDefault="00AC2F74" w:rsidP="00AC2F74">
            <w:pPr>
              <w:numPr>
                <w:ilvl w:val="0"/>
                <w:numId w:val="6"/>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14:ligatures w14:val="none"/>
              </w:rPr>
              <w:t>Most of the confounding factors controlled for were measured through gold standard assessment methods</w:t>
            </w:r>
            <w:r w:rsidRPr="00AC2F74">
              <w:rPr>
                <w:rFonts w:ascii="Times New Roman" w:hAnsi="Times New Roman" w:cs="Times New Roman"/>
                <w:iCs/>
                <w:kern w:val="0"/>
                <w:lang w:val="en-AU"/>
                <w14:ligatures w14:val="none"/>
              </w:rPr>
              <w:t xml:space="preserve"> (e.g., validated scales, clinical records)</w:t>
            </w:r>
          </w:p>
        </w:tc>
        <w:tc>
          <w:tcPr>
            <w:tcW w:w="810" w:type="dxa"/>
          </w:tcPr>
          <w:p w14:paraId="791DE47A"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5CE14824" w14:textId="77777777" w:rsidTr="00B7673D">
        <w:trPr>
          <w:trHeight w:val="440"/>
        </w:trPr>
        <w:tc>
          <w:tcPr>
            <w:tcW w:w="1440" w:type="dxa"/>
            <w:vMerge/>
          </w:tcPr>
          <w:p w14:paraId="600E3198"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1B918510"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38AA7F6B" w14:textId="77777777" w:rsidR="00AC2F74" w:rsidRPr="00AC2F74" w:rsidRDefault="00AC2F74" w:rsidP="00AC2F74">
            <w:pPr>
              <w:numPr>
                <w:ilvl w:val="0"/>
                <w:numId w:val="6"/>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14:ligatures w14:val="none"/>
              </w:rPr>
              <w:t>Most of the confounding factors controlled for were measured through acceptable assessment methods</w:t>
            </w:r>
            <w:r w:rsidRPr="00AC2F74">
              <w:rPr>
                <w:rFonts w:ascii="Times New Roman" w:hAnsi="Times New Roman" w:cs="Times New Roman"/>
                <w:iCs/>
                <w:kern w:val="0"/>
                <w:lang w:val="en-AU"/>
                <w14:ligatures w14:val="none"/>
              </w:rPr>
              <w:t xml:space="preserve"> (e.g., structured questionnaire, mean-based cutoffs)</w:t>
            </w:r>
          </w:p>
        </w:tc>
        <w:tc>
          <w:tcPr>
            <w:tcW w:w="810" w:type="dxa"/>
          </w:tcPr>
          <w:p w14:paraId="7FE70615" w14:textId="77777777" w:rsidR="00AC2F74" w:rsidRPr="00AC2F74" w:rsidRDefault="00AC2F74" w:rsidP="00AC2F74">
            <w:pPr>
              <w:tabs>
                <w:tab w:val="left" w:pos="3150"/>
              </w:tabs>
              <w:jc w:val="both"/>
              <w:rPr>
                <w:rFonts w:ascii="Times New Roman" w:hAnsi="Times New Roman" w:cs="Times New Roman"/>
                <w:iCs/>
              </w:rPr>
            </w:pPr>
            <w:r w:rsidRPr="00AC2F74">
              <w:rPr>
                <w:rFonts w:ascii="Segoe UI Symbol" w:hAnsi="Segoe UI Symbol" w:cs="Segoe UI Symbol"/>
                <w:iCs/>
              </w:rPr>
              <w:t>★</w:t>
            </w:r>
          </w:p>
        </w:tc>
      </w:tr>
      <w:tr w:rsidR="00AC2F74" w:rsidRPr="00AC2F74" w14:paraId="4B9D0F29" w14:textId="77777777" w:rsidTr="00B7673D">
        <w:tc>
          <w:tcPr>
            <w:tcW w:w="1440" w:type="dxa"/>
            <w:vMerge/>
          </w:tcPr>
          <w:p w14:paraId="4999784D"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1FA8F90B"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3066D105" w14:textId="77777777" w:rsidR="00AC2F74" w:rsidRPr="00AC2F74" w:rsidRDefault="00AC2F74" w:rsidP="00AC2F74">
            <w:pPr>
              <w:numPr>
                <w:ilvl w:val="0"/>
                <w:numId w:val="6"/>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lang w:val="en-AU"/>
                <w14:ligatures w14:val="none"/>
              </w:rPr>
              <w:t>Most of the confounding factors controlled for were not measured through at least acceptable assessment methods.</w:t>
            </w:r>
          </w:p>
        </w:tc>
        <w:tc>
          <w:tcPr>
            <w:tcW w:w="810" w:type="dxa"/>
          </w:tcPr>
          <w:p w14:paraId="736D853B"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r w:rsidR="00AC2F74" w:rsidRPr="00AC2F74" w14:paraId="284C4317" w14:textId="77777777" w:rsidTr="00B7673D">
        <w:tc>
          <w:tcPr>
            <w:tcW w:w="1440" w:type="dxa"/>
            <w:vMerge/>
          </w:tcPr>
          <w:p w14:paraId="635B72EE" w14:textId="77777777" w:rsidR="00AC2F74" w:rsidRPr="00AC2F74" w:rsidRDefault="00AC2F74" w:rsidP="00AC2F74">
            <w:pPr>
              <w:tabs>
                <w:tab w:val="left" w:pos="3150"/>
              </w:tabs>
              <w:jc w:val="both"/>
              <w:rPr>
                <w:rFonts w:ascii="Times New Roman" w:hAnsi="Times New Roman" w:cs="Times New Roman"/>
                <w:iCs/>
              </w:rPr>
            </w:pPr>
          </w:p>
        </w:tc>
        <w:tc>
          <w:tcPr>
            <w:tcW w:w="990" w:type="dxa"/>
            <w:vMerge/>
          </w:tcPr>
          <w:p w14:paraId="465508E6" w14:textId="77777777" w:rsidR="00AC2F74" w:rsidRPr="00AC2F74" w:rsidRDefault="00AC2F74" w:rsidP="00AC2F74">
            <w:pPr>
              <w:tabs>
                <w:tab w:val="left" w:pos="3150"/>
              </w:tabs>
              <w:jc w:val="both"/>
              <w:rPr>
                <w:rFonts w:ascii="Times New Roman" w:hAnsi="Times New Roman" w:cs="Times New Roman"/>
                <w:iCs/>
              </w:rPr>
            </w:pPr>
          </w:p>
        </w:tc>
        <w:tc>
          <w:tcPr>
            <w:tcW w:w="7110" w:type="dxa"/>
          </w:tcPr>
          <w:p w14:paraId="474343BC" w14:textId="77777777" w:rsidR="00AC2F74" w:rsidRPr="00AC2F74" w:rsidRDefault="00AC2F74" w:rsidP="00AC2F74">
            <w:pPr>
              <w:numPr>
                <w:ilvl w:val="0"/>
                <w:numId w:val="6"/>
              </w:numPr>
              <w:tabs>
                <w:tab w:val="left" w:pos="3150"/>
              </w:tabs>
              <w:contextualSpacing/>
              <w:jc w:val="both"/>
              <w:rPr>
                <w:rFonts w:ascii="Times New Roman" w:hAnsi="Times New Roman" w:cs="Times New Roman"/>
                <w:iCs/>
                <w:kern w:val="0"/>
                <w:lang w:val="en-AU"/>
                <w14:ligatures w14:val="none"/>
              </w:rPr>
            </w:pPr>
            <w:r w:rsidRPr="00AC2F74">
              <w:rPr>
                <w:rFonts w:ascii="Times New Roman" w:hAnsi="Times New Roman" w:cs="Times New Roman"/>
                <w:kern w:val="0"/>
                <w:lang w:val="en-AU"/>
                <w14:ligatures w14:val="none"/>
              </w:rPr>
              <w:t>No confounding factors controlled for.</w:t>
            </w:r>
          </w:p>
        </w:tc>
        <w:tc>
          <w:tcPr>
            <w:tcW w:w="810" w:type="dxa"/>
          </w:tcPr>
          <w:p w14:paraId="7A8A5783" w14:textId="77777777" w:rsidR="00AC2F74" w:rsidRPr="00AC2F74" w:rsidRDefault="00AC2F74" w:rsidP="00AC2F74">
            <w:pPr>
              <w:tabs>
                <w:tab w:val="left" w:pos="3150"/>
              </w:tabs>
              <w:jc w:val="both"/>
              <w:rPr>
                <w:rFonts w:ascii="Times New Roman" w:hAnsi="Times New Roman" w:cs="Times New Roman"/>
                <w:iCs/>
              </w:rPr>
            </w:pPr>
            <w:r w:rsidRPr="00AC2F74">
              <w:rPr>
                <w:rFonts w:ascii="Times New Roman" w:hAnsi="Times New Roman" w:cs="Times New Roman"/>
                <w:iCs/>
              </w:rPr>
              <w:t>—</w:t>
            </w:r>
          </w:p>
        </w:tc>
      </w:tr>
    </w:tbl>
    <w:p w14:paraId="10B67EA2" w14:textId="77777777" w:rsidR="00AC2F74" w:rsidRPr="00AC2F74" w:rsidRDefault="00AC2F74" w:rsidP="00AC2F74">
      <w:pPr>
        <w:rPr>
          <w:rFonts w:ascii="Times New Roman" w:hAnsi="Times New Roman" w:cs="Times New Roman"/>
        </w:rPr>
      </w:pPr>
      <w:r w:rsidRPr="00AC2F74">
        <w:rPr>
          <w:rFonts w:ascii="Times New Roman" w:hAnsi="Times New Roman" w:cs="Times New Roman"/>
          <w:vertAlign w:val="superscript"/>
        </w:rPr>
        <w:t>a</w:t>
      </w:r>
      <w:r w:rsidRPr="00AC2F74">
        <w:rPr>
          <w:rFonts w:ascii="Times New Roman" w:hAnsi="Times New Roman" w:cs="Times New Roman"/>
        </w:rPr>
        <w:t xml:space="preserve"> indicates not applicable for the prevalence studies</w:t>
      </w:r>
    </w:p>
    <w:p w14:paraId="77D0656D" w14:textId="77777777" w:rsidR="00C01A43" w:rsidRPr="00AC2F74" w:rsidRDefault="00C01A43"/>
    <w:sectPr w:rsidR="00C01A43" w:rsidRPr="00AC2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0BE"/>
    <w:multiLevelType w:val="hybridMultilevel"/>
    <w:tmpl w:val="8D6031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1A64D1"/>
    <w:multiLevelType w:val="hybridMultilevel"/>
    <w:tmpl w:val="D12E79C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A1B07B5"/>
    <w:multiLevelType w:val="hybridMultilevel"/>
    <w:tmpl w:val="4AFE4CD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4A4963"/>
    <w:multiLevelType w:val="hybridMultilevel"/>
    <w:tmpl w:val="C4E4F7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C930DD"/>
    <w:multiLevelType w:val="hybridMultilevel"/>
    <w:tmpl w:val="E6642F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B5A2D17"/>
    <w:multiLevelType w:val="hybridMultilevel"/>
    <w:tmpl w:val="B608D3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2383353">
    <w:abstractNumId w:val="1"/>
  </w:num>
  <w:num w:numId="2" w16cid:durableId="1674338353">
    <w:abstractNumId w:val="3"/>
  </w:num>
  <w:num w:numId="3" w16cid:durableId="810289239">
    <w:abstractNumId w:val="2"/>
  </w:num>
  <w:num w:numId="4" w16cid:durableId="843283806">
    <w:abstractNumId w:val="0"/>
  </w:num>
  <w:num w:numId="5" w16cid:durableId="1182548537">
    <w:abstractNumId w:val="5"/>
  </w:num>
  <w:num w:numId="6" w16cid:durableId="688028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55F"/>
    <w:rsid w:val="00293F42"/>
    <w:rsid w:val="002D466A"/>
    <w:rsid w:val="00AC2F74"/>
    <w:rsid w:val="00B7673D"/>
    <w:rsid w:val="00C01A43"/>
    <w:rsid w:val="00C81BF5"/>
    <w:rsid w:val="00CF155F"/>
    <w:rsid w:val="00E61B56"/>
    <w:rsid w:val="00F93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C9B9"/>
  <w15:chartTrackingRefBased/>
  <w15:docId w15:val="{094D5FE5-3E91-4F01-9A45-BA151BB4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5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5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5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5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5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5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5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5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5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5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5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5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5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5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5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5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5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55F"/>
    <w:rPr>
      <w:rFonts w:eastAsiaTheme="majorEastAsia" w:cstheme="majorBidi"/>
      <w:color w:val="272727" w:themeColor="text1" w:themeTint="D8"/>
    </w:rPr>
  </w:style>
  <w:style w:type="paragraph" w:styleId="Title">
    <w:name w:val="Title"/>
    <w:basedOn w:val="Normal"/>
    <w:next w:val="Normal"/>
    <w:link w:val="TitleChar"/>
    <w:uiPriority w:val="10"/>
    <w:qFormat/>
    <w:rsid w:val="00CF15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5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5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5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55F"/>
    <w:pPr>
      <w:spacing w:before="160"/>
      <w:jc w:val="center"/>
    </w:pPr>
    <w:rPr>
      <w:i/>
      <w:iCs/>
      <w:color w:val="404040" w:themeColor="text1" w:themeTint="BF"/>
    </w:rPr>
  </w:style>
  <w:style w:type="character" w:customStyle="1" w:styleId="QuoteChar">
    <w:name w:val="Quote Char"/>
    <w:basedOn w:val="DefaultParagraphFont"/>
    <w:link w:val="Quote"/>
    <w:uiPriority w:val="29"/>
    <w:rsid w:val="00CF155F"/>
    <w:rPr>
      <w:i/>
      <w:iCs/>
      <w:color w:val="404040" w:themeColor="text1" w:themeTint="BF"/>
    </w:rPr>
  </w:style>
  <w:style w:type="paragraph" w:styleId="ListParagraph">
    <w:name w:val="List Paragraph"/>
    <w:basedOn w:val="Normal"/>
    <w:uiPriority w:val="34"/>
    <w:qFormat/>
    <w:rsid w:val="00CF155F"/>
    <w:pPr>
      <w:ind w:left="720"/>
      <w:contextualSpacing/>
    </w:pPr>
  </w:style>
  <w:style w:type="character" w:styleId="IntenseEmphasis">
    <w:name w:val="Intense Emphasis"/>
    <w:basedOn w:val="DefaultParagraphFont"/>
    <w:uiPriority w:val="21"/>
    <w:qFormat/>
    <w:rsid w:val="00CF155F"/>
    <w:rPr>
      <w:i/>
      <w:iCs/>
      <w:color w:val="2F5496" w:themeColor="accent1" w:themeShade="BF"/>
    </w:rPr>
  </w:style>
  <w:style w:type="paragraph" w:styleId="IntenseQuote">
    <w:name w:val="Intense Quote"/>
    <w:basedOn w:val="Normal"/>
    <w:next w:val="Normal"/>
    <w:link w:val="IntenseQuoteChar"/>
    <w:uiPriority w:val="30"/>
    <w:qFormat/>
    <w:rsid w:val="00CF15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55F"/>
    <w:rPr>
      <w:i/>
      <w:iCs/>
      <w:color w:val="2F5496" w:themeColor="accent1" w:themeShade="BF"/>
    </w:rPr>
  </w:style>
  <w:style w:type="character" w:styleId="IntenseReference">
    <w:name w:val="Intense Reference"/>
    <w:basedOn w:val="DefaultParagraphFont"/>
    <w:uiPriority w:val="32"/>
    <w:qFormat/>
    <w:rsid w:val="00CF155F"/>
    <w:rPr>
      <w:b/>
      <w:bCs/>
      <w:smallCaps/>
      <w:color w:val="2F5496" w:themeColor="accent1" w:themeShade="BF"/>
      <w:spacing w:val="5"/>
    </w:rPr>
  </w:style>
  <w:style w:type="table" w:styleId="TableGrid">
    <w:name w:val="Table Grid"/>
    <w:basedOn w:val="TableNormal"/>
    <w:uiPriority w:val="39"/>
    <w:rsid w:val="00AC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3947</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Wondu Feyisa</dc:creator>
  <cp:keywords/>
  <dc:description/>
  <cp:lastModifiedBy>Wondu Feyisa</cp:lastModifiedBy>
  <cp:revision>4</cp:revision>
  <dcterms:created xsi:type="dcterms:W3CDTF">2025-11-13T10:04:00Z</dcterms:created>
  <dcterms:modified xsi:type="dcterms:W3CDTF">2025-11-18T06:40:00Z</dcterms:modified>
</cp:coreProperties>
</file>