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Supplementary Material</w:t>
      </w:r>
    </w:p>
    <w:p>
      <w:pPr>
        <w:spacing w:after="120" w:before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Supplementary Table S1. Treatment Burden and Dexamethasone Exposure by ESASO Cyst Stage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1500"/>
        <w:gridCol w:w="1500"/>
        <w:gridCol w:w="1500"/>
        <w:gridCol w:w="1160"/>
      </w:tblGrid>
      <w:tr>
        <w:trPr>
          <w:tblHeader/>
        </w:trP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Parameter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Stage 1 (n=94)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Stage 2 (n=99)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Stage 3 (n=118)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P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Cumulative clinic visits (mean ± SD)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3.56 ± 1.09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3.64 ± 1.20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3.77 ± 1.34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0.45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5.78 ± 1.77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6.02 ± 2.12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6.39 ± 2.47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7.80 ± 2.23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8.19 ± 2.63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9.07 ± 3.20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0.003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24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9.94 ± 2.85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10.69 ± 3.34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11.67 ± 4.04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Cumulative intravitreal injections (mean ± SD)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4.29 ± 0.89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4.31 ± 0.89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4.46 ± 1.07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0.37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6.11 ± 1.69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6.04 ± 1.53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6.45 ± 1.51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0.12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7.81 ± 2.41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7.83 ± 1.91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8.45 ± 2.15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0.045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24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9.29 ± 3.14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9.38 ± 2.39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10.13 ± 2.67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0.047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Dexamethasone implant administration by period, n (%)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0–6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 (11.7%)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 (10.1%)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31 (26.3%)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0.002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6–12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 (13.8%)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18 (18.2%)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38 (32.2%)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0.003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12–24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(21.3%)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24 (24.2%)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40 (33.9%)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0.091**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Cumulative by 24 months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32 (34.0%)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30 (30.3%)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55 (46.6%)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0.033*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Burden of dexamethasone use (cumulative over 24 months)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≥2 DEX implants, n (%)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13 (13.8%)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19 (19.2%)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42 (35.6%)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&lt;0.001***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Mean number of DEX implants per eye (± SD)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0.56 ± 0.95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0.65 ± 1.15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1.15 ± 1.43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0.0006†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First DEX within 6 months among recipients, n/n (%)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11/32 (34.4%)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10/30 (33.3%)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31/55 (56.4%)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0.064</w:t>
            </w:r>
          </w:p>
        </w:tc>
      </w:tr>
    </w:tbl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*Cumulative DEX by 24 months: linear-by-linear association across ordered stages, p=0.009.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**12–24-month period: χ² p=0.091; linear-by-linear association across ordered stages, p=0.034.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***≥2 DEX implants: linear-by-linear association across ordered stages, p&lt;0.0001.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†Mean implant count: one-way ANOVA (F=7.58); Kruskal–Wallis p=0.005 confirms the result under non-parametric assumptions.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P values from one-way ANOVA (continuous) or chi-square (categorical). DEX, dexamethasone; SD, standard deviation.</w:t>
      </w:r>
    </w:p>
    <w:p>
      <w:pPr>
        <w:spacing w:after="120" w:before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Supplementary Table S2. Visual and Anatomical Outcomes by ESASO Cyst Stage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00"/>
        <w:gridCol w:w="1500"/>
        <w:gridCol w:w="1500"/>
        <w:gridCol w:w="1500"/>
        <w:gridCol w:w="1160"/>
      </w:tblGrid>
      <w:tr>
        <w:trPr>
          <w:tblHeader/>
        </w:trP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Outcome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Stage 1 (n=94)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Stage 2 (n=99)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Stage 3 (n=118)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P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Visual outcomes at 12 months, n (%)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≥3 ETDRS-line gain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20 (21.3%)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25 (25.3%)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50 (42.4%)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0.012‡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Stable (&lt;3-line change)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67 (71.3%)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67 (67.7%)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60 (50.8%)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≥3-line loss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 (7.4%)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 (7.1%)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8 (6.8%)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Visual outcomes at 24 months, n (%)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≥3-line gain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23 (24.5%)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26 (26.3%)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40 (33.9%)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0.21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Stable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64 (68.1%)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64 (64.6%)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64 (54.2%)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≥3-line loss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7 (7.4%)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9 (9.1%)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 (11.9%)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Anatomical outcome</w:t>
            </w:r>
          </w:p>
        </w:tc>
      </w:tr>
      <w:tr>
        <w:tc>
          <w:tcPr>
            <w:tcW w:type="dxa" w:w="3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CMT normalisation (&lt;300 µm) at 24 months, n (%)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48 (52.2%)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49 (49.5%)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47 (40.5%)</w:t>
            </w:r>
          </w:p>
        </w:tc>
        <w:tc>
          <w:tcPr>
            <w:tcW w:type="dxa" w:w="11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0.20</w:t>
            </w:r>
          </w:p>
        </w:tc>
      </w:tr>
    </w:tbl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‡Overall distribution chi-square at 12 months: p=0.012; at 18 months (not shown): p=0.004.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P values from chi-square test. CMT, central macular thickness.</w:t>
      </w:r>
    </w:p>
    <w:p>
      <w:pPr>
        <w:spacing w:after="120" w:before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Supplementary Table S3. Logistic Regression — Predictors of ≥3 ETDRS-Line BCVA Gain at 12 Months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400"/>
        <w:gridCol w:w="2100"/>
        <w:gridCol w:w="1500"/>
        <w:gridCol w:w="1560"/>
      </w:tblGrid>
      <w:tr>
        <w:trPr>
          <w:tblHeader/>
        </w:trP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Variable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OR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95% CI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P</w:t>
            </w:r>
          </w:p>
        </w:tc>
        <w:tc>
          <w:tcPr>
            <w:tcW w:type="dxa" w:w="15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Spearman ρ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ESASO Cyst Stage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1.49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0.97–2.27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0.068</w:t>
            </w:r>
          </w:p>
        </w:tc>
        <w:tc>
          <w:tcPr>
            <w:tcW w:type="dxa" w:w="15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0.195*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BCVA (logMAR)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34.1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14.0–83.2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&lt;0.0001</w:t>
            </w:r>
          </w:p>
        </w:tc>
        <w:tc>
          <w:tcPr>
            <w:tcW w:type="dxa" w:w="15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0.525*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CMT (µm)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0.999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0.996–1.001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0.31</w:t>
            </w:r>
          </w:p>
        </w:tc>
        <w:tc>
          <w:tcPr>
            <w:tcW w:type="dxa" w:w="15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0.164*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Age (years)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1.01</w:t>
            </w:r>
          </w:p>
        </w:tc>
        <w:tc>
          <w:tcPr>
            <w:tcW w:type="dxa" w:w="2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0.99–1.04</w:t>
            </w:r>
          </w:p>
        </w:tc>
        <w:tc>
          <w:tcPr>
            <w:tcW w:type="dxa" w:w="1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0.37</w:t>
            </w:r>
          </w:p>
        </w:tc>
        <w:tc>
          <w:tcPr>
            <w:tcW w:type="dxa" w:w="15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N=311; events=95. *p&lt;0.001 for all Spearman correlations.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ESASO stage p=0.068 in the multivariable model reflects collinearity with baseline BCVA (Spearman ρ=0.46, p&lt;0.0001); univariable association significant (ρ=0.195, p=0.0006).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OR for baseline BCVA expressed per 1-logMAR unit change; the magnitude reflects the floor effect. BCVA, best-corrected visual acuity; CI, confidence interval; CMT, central macular thickness; OR, odds ratio.</w:t>
      </w:r>
    </w:p>
    <w:p>
      <w:pPr>
        <w:spacing w:after="120" w:before="4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Supplementary Table S4. Multivariable Linear Regression for 24-Month Functional and Anatomical Outcomes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2400"/>
        <w:gridCol w:w="1400"/>
        <w:gridCol w:w="900"/>
      </w:tblGrid>
      <w:tr>
        <w:trPr>
          <w:tblHeader/>
        </w:trP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Variable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B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95% CI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P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VIF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Model 1: 24-month BCVA (logMAR) — F(7,303)=13.76, p&lt;0.001, R²=0.24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BCVA (logMAR)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+0.475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+0.356 to +0.594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CMT (µm)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−0.0001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−0.0005 to +0.0003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0.58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ESASO cyst stage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+0.020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−0.040 to +0.080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0.52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1.53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Cumulative injections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−0.008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−0.022 to +0.007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0.30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1.10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Cumulative visits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−0.005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−0.017 to +0.007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0.42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1.21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DEX implant count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+0.048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+0.013 to +0.082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0.007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1.65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Age (years)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+0.001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−0.003 to +0.004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0.71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1.07</w:t>
            </w:r>
          </w:p>
        </w:tc>
      </w:tr>
      <w:tr>
        <w:tc>
          <w:tcPr>
            <w:tcW w:type="dxa" w:w="9360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Model 2: 24-month CMT (µm) — F(7,299)=11.45, p&lt;0.001, R²=0.21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CMT (µm)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+0.539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+0.399 to +0.679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&lt;0.001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Baseline BCVA (logMAR)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+4.93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−38.11 to +47.98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0.82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1.16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ESASO cyst stage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−32.32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−54.12 to −10.51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0.004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1.53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Cumulative injections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+0.10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−5.27 to +5.47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0.97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1.10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Cumulative visits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+3.33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−1.03 to +7.69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0.13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1.21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DEX implant count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+8.79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−3.66 to +21.24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0.17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1.65</w:t>
            </w:r>
          </w:p>
        </w:tc>
      </w:tr>
      <w:tr>
        <w:tc>
          <w:tcPr>
            <w:tcW w:type="dxa" w:w="2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Age (years)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+0.31</w:t>
            </w:r>
          </w:p>
        </w:tc>
        <w:tc>
          <w:tcPr>
            <w:tcW w:type="dxa" w:w="2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−1.07 to +1.68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0.66</w:t>
            </w:r>
          </w:p>
        </w:tc>
        <w:tc>
          <w:tcPr>
            <w:tcW w:type="dxa" w:w="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1.07</w:t>
            </w:r>
          </w:p>
        </w:tc>
      </w:tr>
    </w:tbl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Models fitted using ordinary least squares on the full analytic dataset (BCVA model N=311; CMT model N=307). Regression coefficients (B) are unstandardised.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Multicollinearity assessed using variance inflation factors (VIF) after centring continuous predictors; all VIF values &lt;2, indicating no problematic collinearity.</w:t>
      </w:r>
    </w:p>
    <w:p>
      <w:pPr>
        <w:spacing w:after="100" w:before="80"/>
      </w:pPr>
      <w:r>
        <w:rPr>
          <w:rFonts w:ascii="Calibri" w:cs="Calibri" w:eastAsia="Calibri" w:hAnsi="Calibri"/>
          <w:i/>
          <w:iCs/>
          <w:sz w:val="16"/>
          <w:szCs w:val="16"/>
        </w:rPr>
        <w:t xml:space="preserve">B, unstandardised regression coefficient; BCVA, best-corrected visual acuity; CI, confidence interval; CMT, central macular thickness; DEX, dexamethasone; VIF, variance inflation factor.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2026-08-13T07:57:27.319Z</dcterms:created>
  <dcterms:modified xsi:type="dcterms:W3CDTF">2026-08-13T07:57:27.334Z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