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27EE9">
      <w:pPr>
        <w:jc w:val="both"/>
        <w:rPr>
          <w:rFonts w:ascii="Times New Roman" w:hAnsi="Times New Roman" w:cs="Times New Roman"/>
          <w:b/>
          <w:bCs/>
          <w:sz w:val="24"/>
        </w:rPr>
      </w:pPr>
      <w:bookmarkStart w:id="1" w:name="_GoBack"/>
      <w:bookmarkEnd w:id="1"/>
      <w:r>
        <w:rPr>
          <w:rFonts w:hint="eastAsia" w:ascii="Times New Roman" w:hAnsi="Times New Roman" w:cs="Times New Roman"/>
          <w:b/>
          <w:bCs/>
          <w:sz w:val="24"/>
        </w:rPr>
        <w:t>Supplementary Materials for:</w:t>
      </w:r>
      <w:r>
        <w:rPr>
          <w:rFonts w:hint="eastAsia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PRDX4 Alleviates Ovarian Aging by Suppressing Endoplasmic Reticulum Stress‑Related Ferroptosis in Granulosa Cells</w:t>
      </w:r>
    </w:p>
    <w:p w14:paraId="7B80DA7A">
      <w:pPr>
        <w:jc w:val="both"/>
        <w:rPr>
          <w:rFonts w:ascii="Times New Roman" w:hAnsi="Times New Roman" w:cs="Times New Roman"/>
          <w:b/>
          <w:bCs/>
          <w:sz w:val="24"/>
        </w:rPr>
      </w:pPr>
    </w:p>
    <w:p w14:paraId="00A1C2D3">
      <w:pPr>
        <w:jc w:val="both"/>
        <w:rPr>
          <w:rFonts w:ascii="Times New Roman" w:hAnsi="Times New Roman" w:cs="Times New Roman"/>
          <w:b/>
          <w:bCs/>
          <w:sz w:val="24"/>
        </w:rPr>
      </w:pPr>
    </w:p>
    <w:p w14:paraId="124AB6C5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drawing>
          <wp:inline distT="0" distB="0" distL="0" distR="0">
            <wp:extent cx="5274310" cy="2974975"/>
            <wp:effectExtent l="0" t="0" r="2540" b="0"/>
            <wp:docPr id="15824241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42410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F762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Figure S1. Model of Induced Senescence in KGN Cells.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hint="eastAsia" w:ascii="Times New Roman" w:hAnsi="Times New Roman" w:cs="Times New Roman"/>
          <w:b/>
          <w:bCs/>
          <w:sz w:val="24"/>
        </w:rPr>
        <w:t>, B</w:t>
      </w:r>
      <w:r>
        <w:rPr>
          <w:rFonts w:ascii="Times New Roman" w:hAnsi="Times New Roman" w:cs="Times New Roman"/>
          <w:sz w:val="24"/>
        </w:rPr>
        <w:t xml:space="preserve">) Markers of senescence in </w:t>
      </w:r>
      <w:r>
        <w:rPr>
          <w:rFonts w:hint="eastAsia" w:ascii="Times New Roman" w:hAnsi="Times New Roman" w:cs="Times New Roman"/>
          <w:sz w:val="24"/>
        </w:rPr>
        <w:t>Tg</w:t>
      </w:r>
      <w:r>
        <w:rPr>
          <w:rFonts w:ascii="Times New Roman" w:hAnsi="Times New Roman" w:cs="Times New Roman"/>
          <w:sz w:val="24"/>
        </w:rPr>
        <w:t xml:space="preserve">-induced senescent </w:t>
      </w:r>
      <w:r>
        <w:rPr>
          <w:rFonts w:hint="eastAsia" w:ascii="Times New Roman" w:hAnsi="Times New Roman" w:cs="Times New Roman"/>
          <w:sz w:val="24"/>
        </w:rPr>
        <w:t>KGN cell</w:t>
      </w:r>
      <w:r>
        <w:rPr>
          <w:rFonts w:ascii="Times New Roman" w:hAnsi="Times New Roman" w:cs="Times New Roman"/>
          <w:sz w:val="24"/>
        </w:rPr>
        <w:t>s. (</w:t>
      </w:r>
      <w:r>
        <w:rPr>
          <w:rFonts w:hint="eastAsia"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) </w:t>
      </w:r>
      <w:r>
        <w:rPr>
          <w:rFonts w:hint="eastAsia" w:ascii="Times New Roman" w:hAnsi="Times New Roman" w:cs="Times New Roman"/>
          <w:sz w:val="24"/>
        </w:rPr>
        <w:t>KGN</w:t>
      </w:r>
      <w:r>
        <w:rPr>
          <w:rFonts w:ascii="Times New Roman" w:hAnsi="Times New Roman" w:cs="Times New Roman"/>
          <w:sz w:val="24"/>
        </w:rPr>
        <w:t xml:space="preserve"> cells were treated with </w:t>
      </w:r>
      <w:r>
        <w:rPr>
          <w:rFonts w:hint="eastAsia" w:ascii="Times New Roman" w:hAnsi="Times New Roman" w:cs="Times New Roman"/>
          <w:sz w:val="24"/>
        </w:rPr>
        <w:t>Tg</w:t>
      </w:r>
      <w:r>
        <w:rPr>
          <w:rFonts w:ascii="Times New Roman" w:hAnsi="Times New Roman" w:cs="Times New Roman"/>
          <w:sz w:val="24"/>
        </w:rPr>
        <w:t xml:space="preserve"> at the indicated concentration for </w:t>
      </w:r>
      <w:r>
        <w:rPr>
          <w:rFonts w:hint="eastAsia" w:ascii="Times New Roman" w:hAnsi="Times New Roman" w:cs="Times New Roman"/>
          <w:sz w:val="24"/>
        </w:rPr>
        <w:t>24</w:t>
      </w:r>
      <w:r>
        <w:rPr>
          <w:rFonts w:ascii="Times New Roman" w:hAnsi="Times New Roman" w:cs="Times New Roman"/>
          <w:sz w:val="24"/>
        </w:rPr>
        <w:t xml:space="preserve"> h, and</w:t>
      </w:r>
      <w:r>
        <w:rPr>
          <w:rFonts w:hint="eastAsia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qPCR analysis of mRNA levels of IL1A, IL1B, IL6, and CXCL8</w:t>
      </w:r>
      <w:r>
        <w:rPr>
          <w:rFonts w:ascii="Times New Roman" w:hAnsi="Times New Roman" w:cs="Times New Roman"/>
          <w:sz w:val="24"/>
        </w:rPr>
        <w:t>. N = 3 for each group. (</w:t>
      </w:r>
      <w:r>
        <w:rPr>
          <w:rFonts w:hint="eastAsia"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sz w:val="24"/>
        </w:rPr>
        <w:t>) western blot analysis of the protein levels of P16</w:t>
      </w:r>
      <w:r>
        <w:rPr>
          <w:rFonts w:hint="eastAsia" w:ascii="Times New Roman" w:hAnsi="Times New Roman" w:cs="Times New Roman"/>
          <w:sz w:val="24"/>
        </w:rPr>
        <w:t xml:space="preserve"> and</w:t>
      </w:r>
      <w:r>
        <w:rPr>
          <w:rFonts w:ascii="Times New Roman" w:hAnsi="Times New Roman" w:cs="Times New Roman"/>
          <w:sz w:val="24"/>
        </w:rPr>
        <w:t xml:space="preserve"> P21</w:t>
      </w:r>
      <w:r>
        <w:rPr>
          <w:rFonts w:hint="eastAsia"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N = 3 for each group.</w:t>
      </w:r>
      <w:r>
        <w:rPr>
          <w:rFonts w:hint="eastAsia" w:ascii="Times New Roman" w:hAnsi="Times New Roman" w:cs="Times New Roman"/>
          <w:sz w:val="24"/>
        </w:rPr>
        <w:t xml:space="preserve"> (</w:t>
      </w:r>
      <w:r>
        <w:rPr>
          <w:rFonts w:hint="eastAsia" w:ascii="Times New Roman" w:hAnsi="Times New Roman" w:cs="Times New Roman"/>
          <w:b/>
          <w:bCs/>
          <w:sz w:val="24"/>
        </w:rPr>
        <w:t>C</w:t>
      </w:r>
      <w:r>
        <w:rPr>
          <w:rFonts w:hint="eastAsia"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 xml:space="preserve">Optical density value of </w:t>
      </w:r>
      <w:r>
        <w:rPr>
          <w:rFonts w:hint="eastAsia" w:ascii="Times New Roman" w:hAnsi="Times New Roman" w:cs="Times New Roman"/>
          <w:sz w:val="24"/>
        </w:rPr>
        <w:t>KGN</w:t>
      </w:r>
      <w:r>
        <w:rPr>
          <w:rFonts w:ascii="Times New Roman" w:hAnsi="Times New Roman" w:cs="Times New Roman"/>
          <w:sz w:val="24"/>
        </w:rPr>
        <w:t xml:space="preserve"> cells determined by a CCK8 assay. Cells treated with </w:t>
      </w:r>
      <w:r>
        <w:rPr>
          <w:rFonts w:hint="eastAsia" w:ascii="Times New Roman" w:hAnsi="Times New Roman" w:cs="Times New Roman"/>
          <w:sz w:val="24"/>
        </w:rPr>
        <w:t>Tg</w:t>
      </w:r>
      <w:r>
        <w:rPr>
          <w:rFonts w:ascii="Times New Roman" w:hAnsi="Times New Roman" w:cs="Times New Roman"/>
          <w:sz w:val="24"/>
        </w:rPr>
        <w:t xml:space="preserve"> (0, </w:t>
      </w:r>
      <w:r>
        <w:rPr>
          <w:rFonts w:hint="eastAsia" w:ascii="Times New Roman" w:hAnsi="Times New Roman" w:cs="Times New Roman"/>
          <w:sz w:val="24"/>
        </w:rPr>
        <w:t>50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>125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>250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00</w:t>
      </w:r>
      <w:r>
        <w:rPr>
          <w:rFonts w:hint="eastAsia"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>M) for 0, 12, 24,</w:t>
      </w:r>
      <w:r>
        <w:rPr>
          <w:rFonts w:hint="eastAsia" w:ascii="Times New Roman" w:hAnsi="Times New Roman" w:cs="Times New Roman"/>
          <w:sz w:val="24"/>
        </w:rPr>
        <w:t xml:space="preserve"> 48</w:t>
      </w:r>
      <w:r>
        <w:rPr>
          <w:rFonts w:ascii="Times New Roman" w:hAnsi="Times New Roman" w:cs="Times New Roman"/>
          <w:sz w:val="24"/>
        </w:rPr>
        <w:t xml:space="preserve"> or </w:t>
      </w:r>
      <w:r>
        <w:rPr>
          <w:rFonts w:hint="eastAsia" w:ascii="Times New Roman" w:hAnsi="Times New Roman" w:cs="Times New Roman"/>
          <w:sz w:val="24"/>
        </w:rPr>
        <w:t>72</w:t>
      </w:r>
      <w:r>
        <w:rPr>
          <w:rFonts w:ascii="Times New Roman" w:hAnsi="Times New Roman" w:cs="Times New Roman"/>
          <w:sz w:val="24"/>
        </w:rPr>
        <w:t xml:space="preserve"> h. </w:t>
      </w:r>
      <w:r>
        <w:rPr>
          <w:rFonts w:hint="eastAsia" w:ascii="Times New Roman" w:hAnsi="Times New Roman" w:cs="Times New Roman"/>
          <w:sz w:val="24"/>
        </w:rPr>
        <w:t xml:space="preserve">N </w:t>
      </w:r>
      <w:r>
        <w:rPr>
          <w:rFonts w:ascii="Times New Roman" w:hAnsi="Times New Roman" w:cs="Times New Roman"/>
          <w:sz w:val="24"/>
        </w:rPr>
        <w:t xml:space="preserve">= </w:t>
      </w:r>
      <w:r>
        <w:rPr>
          <w:rFonts w:hint="eastAsia"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 wells per group. (</w:t>
      </w:r>
      <w:r>
        <w:rPr>
          <w:rFonts w:hint="eastAsia" w:ascii="Times New Roman" w:hAnsi="Times New Roman" w:cs="Times New Roman"/>
          <w:b/>
          <w:bCs/>
          <w:sz w:val="24"/>
        </w:rPr>
        <w:t>D</w:t>
      </w:r>
      <w:r>
        <w:rPr>
          <w:rFonts w:ascii="Times New Roman" w:hAnsi="Times New Roman" w:cs="Times New Roman"/>
          <w:sz w:val="24"/>
        </w:rPr>
        <w:t xml:space="preserve">) Cell viability of </w:t>
      </w:r>
      <w:r>
        <w:rPr>
          <w:rFonts w:hint="eastAsia" w:ascii="Times New Roman" w:hAnsi="Times New Roman" w:cs="Times New Roman"/>
          <w:sz w:val="24"/>
        </w:rPr>
        <w:t>KGN</w:t>
      </w:r>
      <w:r>
        <w:rPr>
          <w:rFonts w:ascii="Times New Roman" w:hAnsi="Times New Roman" w:cs="Times New Roman"/>
          <w:sz w:val="24"/>
        </w:rPr>
        <w:t xml:space="preserve"> treated with </w:t>
      </w:r>
      <w:r>
        <w:rPr>
          <w:rFonts w:hint="eastAsia" w:ascii="Times New Roman" w:hAnsi="Times New Roman" w:cs="Times New Roman"/>
          <w:sz w:val="24"/>
        </w:rPr>
        <w:t>D-gal</w:t>
      </w:r>
      <w:r>
        <w:rPr>
          <w:rFonts w:ascii="Times New Roman" w:hAnsi="Times New Roman" w:cs="Times New Roman"/>
          <w:sz w:val="24"/>
        </w:rPr>
        <w:t xml:space="preserve"> for </w:t>
      </w:r>
      <w:r>
        <w:rPr>
          <w:rFonts w:hint="eastAsia" w:ascii="Times New Roman" w:hAnsi="Times New Roman" w:cs="Times New Roman"/>
          <w:sz w:val="24"/>
        </w:rPr>
        <w:t>72</w:t>
      </w:r>
      <w:r>
        <w:rPr>
          <w:rFonts w:ascii="Times New Roman" w:hAnsi="Times New Roman" w:cs="Times New Roman"/>
          <w:sz w:val="24"/>
        </w:rPr>
        <w:t xml:space="preserve"> h. </w:t>
      </w:r>
      <w:r>
        <w:rPr>
          <w:rFonts w:hint="eastAsia"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 xml:space="preserve"> = </w:t>
      </w:r>
      <w:r>
        <w:rPr>
          <w:rFonts w:hint="eastAsia"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 wells per group.</w:t>
      </w:r>
      <w:r>
        <w:rPr>
          <w:rFonts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Data are presented as the mean ± SD. P &lt; 0.05 was considered statistically significant.</w:t>
      </w:r>
    </w:p>
    <w:p w14:paraId="2937D301">
      <w:pPr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eastAsia="宋体" w:cs="Times New Roman"/>
          <w:b/>
          <w:bCs/>
          <w:kern w:val="0"/>
          <w:sz w:val="24"/>
          <w14:ligatures w14:val="none"/>
        </w:rPr>
        <w:drawing>
          <wp:inline distT="0" distB="0" distL="0" distR="0">
            <wp:extent cx="5265420" cy="4625340"/>
            <wp:effectExtent l="0" t="0" r="0" b="3810"/>
            <wp:docPr id="2887199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719973" name="图片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462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59563">
      <w:pPr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eastAsia="宋体" w:cs="Times New Roman"/>
          <w:b/>
          <w:bCs/>
          <w:kern w:val="0"/>
          <w:sz w:val="24"/>
          <w14:ligatures w14:val="none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14:ligatures w14:val="none"/>
        </w:rPr>
        <w:t>S2</w:t>
      </w:r>
      <w:r>
        <w:rPr>
          <w:rFonts w:ascii="Times New Roman" w:hAnsi="Times New Roman" w:eastAsia="宋体" w:cs="Times New Roman"/>
          <w:b/>
          <w:bCs/>
          <w:kern w:val="0"/>
          <w:sz w:val="24"/>
          <w14:ligatures w14:val="none"/>
        </w:rPr>
        <w:t>.</w:t>
      </w:r>
      <w:r>
        <w:rPr>
          <w:rFonts w:ascii="Times New Roman" w:hAnsi="Times New Roman" w:eastAsia="宋体" w:cs="Times New Roman"/>
          <w:kern w:val="0"/>
          <w:sz w:val="24"/>
          <w14:ligatures w14:val="none"/>
        </w:rPr>
        <w:t xml:space="preserve"> Overview of proteomic changes in normal and senescent human ovarian granulosa cells. </w:t>
      </w:r>
      <w:r>
        <w:rPr>
          <w:rFonts w:ascii="Times New Roman" w:hAnsi="Times New Roman" w:eastAsia="宋体" w:cs="Times New Roman"/>
          <w:b/>
          <w:bCs/>
          <w:kern w:val="0"/>
          <w:sz w:val="24"/>
          <w14:ligatures w14:val="none"/>
        </w:rPr>
        <w:t>(A)</w:t>
      </w:r>
      <w:r>
        <w:rPr>
          <w:rFonts w:ascii="Times New Roman" w:hAnsi="Times New Roman" w:eastAsia="宋体" w:cs="Times New Roman"/>
          <w:kern w:val="0"/>
          <w:sz w:val="24"/>
          <w14:ligatures w14:val="none"/>
        </w:rPr>
        <w:t xml:space="preserve"> Differentially expressed proteins</w:t>
      </w:r>
      <w:r>
        <w:rPr>
          <w:rFonts w:hint="eastAsia" w:ascii="Times New Roman" w:hAnsi="Times New Roman" w:eastAsia="宋体" w:cs="Times New Roman"/>
          <w:kern w:val="0"/>
          <w:sz w:val="24"/>
          <w14:ligatures w14:val="none"/>
        </w:rPr>
        <w:t xml:space="preserve"> </w:t>
      </w:r>
      <w:r>
        <w:rPr>
          <w:rFonts w:ascii="Times New Roman" w:hAnsi="Times New Roman" w:eastAsia="宋体" w:cs="Times New Roman"/>
          <w:kern w:val="0"/>
          <w:sz w:val="24"/>
          <w14:ligatures w14:val="none"/>
        </w:rPr>
        <w:t xml:space="preserve">(DEPs) in senescent versus normal KGN cells (Q value ≤ 0.05, |log2FC| ≥ 1). </w:t>
      </w:r>
      <w:r>
        <w:rPr>
          <w:rFonts w:ascii="Times New Roman" w:hAnsi="Times New Roman" w:eastAsia="宋体" w:cs="Times New Roman"/>
          <w:b/>
          <w:bCs/>
          <w:kern w:val="0"/>
          <w:sz w:val="24"/>
          <w14:ligatures w14:val="none"/>
        </w:rPr>
        <w:t>(B, C)</w:t>
      </w:r>
      <w:r>
        <w:rPr>
          <w:rFonts w:ascii="Times New Roman" w:hAnsi="Times New Roman" w:eastAsia="宋体" w:cs="Times New Roman"/>
          <w:kern w:val="0"/>
          <w:sz w:val="24"/>
          <w14:ligatures w14:val="none"/>
        </w:rPr>
        <w:t xml:space="preserve"> GO and KEGG pathway enrichment analysis of all DEPs in senescent versus normal KGN cells. </w:t>
      </w:r>
      <w:r>
        <w:rPr>
          <w:rFonts w:ascii="Times New Roman" w:hAnsi="Times New Roman" w:eastAsia="宋体" w:cs="Times New Roman"/>
          <w:b/>
          <w:bCs/>
          <w:kern w:val="0"/>
          <w:sz w:val="24"/>
          <w14:ligatures w14:val="none"/>
        </w:rPr>
        <w:t>(D)</w:t>
      </w:r>
      <w:r>
        <w:rPr>
          <w:rFonts w:ascii="Times New Roman" w:hAnsi="Times New Roman" w:eastAsia="宋体" w:cs="Times New Roman"/>
          <w:kern w:val="0"/>
          <w:sz w:val="24"/>
          <w14:ligatures w14:val="none"/>
        </w:rPr>
        <w:t xml:space="preserve"> The key DEPs were visualized in a heatmap. Red represents the control group, and blue represents the senescent group.</w:t>
      </w:r>
      <w:r>
        <w:rPr>
          <w:rFonts w:ascii="Times New Roman" w:hAnsi="Times New Roman" w:eastAsia="宋体" w:cs="Times New Roman"/>
          <w:kern w:val="0"/>
          <w:sz w:val="24"/>
          <w:szCs w:val="22"/>
          <w:lang w:eastAsia="en-US"/>
          <w14:ligatures w14:val="none"/>
        </w:rPr>
        <w:t xml:space="preserve"> </w:t>
      </w:r>
      <w:r>
        <w:rPr>
          <w:rFonts w:ascii="Times New Roman" w:hAnsi="Times New Roman" w:eastAsia="宋体" w:cs="Times New Roman"/>
          <w:kern w:val="0"/>
          <w:sz w:val="24"/>
          <w14:ligatures w14:val="none"/>
        </w:rPr>
        <w:t>Enrichment significance was assessed using Fisher’s exact test.</w:t>
      </w:r>
    </w:p>
    <w:p w14:paraId="372760AB">
      <w:pPr>
        <w:rPr>
          <w:rFonts w:hint="eastAsia"/>
        </w:rPr>
      </w:pPr>
      <w:r>
        <w:rPr>
          <w:rFonts w:hint="eastAsia" w:ascii="Times New Roman" w:hAnsi="Times New Roman" w:cs="Times New Roman"/>
          <w:color w:val="EE0000"/>
          <w:sz w:val="24"/>
        </w:rPr>
        <w:drawing>
          <wp:inline distT="0" distB="0" distL="0" distR="0">
            <wp:extent cx="5250180" cy="3181350"/>
            <wp:effectExtent l="0" t="0" r="7620" b="0"/>
            <wp:docPr id="14855872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587279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1" t="22365" r="9107" b="42094"/>
                    <a:stretch>
                      <a:fillRect/>
                    </a:stretch>
                  </pic:blipFill>
                  <pic:spPr>
                    <a:xfrm>
                      <a:off x="0" y="0"/>
                      <a:ext cx="5260216" cy="318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1B9A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Figure S</w:t>
      </w:r>
      <w:r>
        <w:rPr>
          <w:rFonts w:hint="eastAsia" w:ascii="Times New Roman" w:hAnsi="Times New Roman" w:cs="Times New Roman"/>
          <w:b/>
          <w:bCs/>
          <w:sz w:val="24"/>
        </w:rPr>
        <w:t>3</w:t>
      </w:r>
      <w:r>
        <w:rPr>
          <w:rFonts w:ascii="Times New Roman" w:hAnsi="Times New Roman" w:cs="Times New Roman"/>
          <w:b/>
          <w:bCs/>
          <w:sz w:val="24"/>
        </w:rPr>
        <w:t xml:space="preserve">. Increased sensitivity to ferroptosis in D-gal-induced senescent KGN cells.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) Optical density value of </w:t>
      </w:r>
      <w:r>
        <w:rPr>
          <w:rFonts w:hint="eastAsia" w:ascii="Times New Roman" w:hAnsi="Times New Roman" w:cs="Times New Roman"/>
          <w:sz w:val="24"/>
        </w:rPr>
        <w:t>KGN</w:t>
      </w:r>
      <w:r>
        <w:rPr>
          <w:rFonts w:ascii="Times New Roman" w:hAnsi="Times New Roman" w:cs="Times New Roman"/>
          <w:sz w:val="24"/>
        </w:rPr>
        <w:t xml:space="preserve"> cells determined by a CCK8 assay. Cells treated with </w:t>
      </w:r>
      <w:r>
        <w:rPr>
          <w:rFonts w:hint="eastAsia" w:ascii="Times New Roman" w:hAnsi="Times New Roman" w:cs="Times New Roman"/>
          <w:sz w:val="24"/>
        </w:rPr>
        <w:t>D-gal</w:t>
      </w:r>
      <w:r>
        <w:rPr>
          <w:rFonts w:ascii="Times New Roman" w:hAnsi="Times New Roman" w:cs="Times New Roman"/>
          <w:sz w:val="24"/>
        </w:rPr>
        <w:t xml:space="preserve"> (0, </w:t>
      </w:r>
      <w:r>
        <w:rPr>
          <w:rFonts w:hint="eastAsia"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>10</w:t>
      </w:r>
      <w:r>
        <w:rPr>
          <w:rFonts w:ascii="Times New Roman" w:hAnsi="Times New Roman" w:cs="Times New Roman"/>
          <w:sz w:val="24"/>
        </w:rPr>
        <w:t>, 50, 100</w:t>
      </w:r>
      <w:r>
        <w:rPr>
          <w:rFonts w:hint="eastAsia"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>M) for 0, 12, 24,</w:t>
      </w:r>
      <w:r>
        <w:rPr>
          <w:rFonts w:hint="eastAsia" w:ascii="Times New Roman" w:hAnsi="Times New Roman" w:cs="Times New Roman"/>
          <w:sz w:val="24"/>
        </w:rPr>
        <w:t xml:space="preserve"> 48</w:t>
      </w:r>
      <w:r>
        <w:rPr>
          <w:rFonts w:ascii="Times New Roman" w:hAnsi="Times New Roman" w:cs="Times New Roman"/>
          <w:sz w:val="24"/>
        </w:rPr>
        <w:t xml:space="preserve"> or </w:t>
      </w:r>
      <w:r>
        <w:rPr>
          <w:rFonts w:hint="eastAsia" w:ascii="Times New Roman" w:hAnsi="Times New Roman" w:cs="Times New Roman"/>
          <w:sz w:val="24"/>
        </w:rPr>
        <w:t>72</w:t>
      </w:r>
      <w:r>
        <w:rPr>
          <w:rFonts w:ascii="Times New Roman" w:hAnsi="Times New Roman" w:cs="Times New Roman"/>
          <w:sz w:val="24"/>
        </w:rPr>
        <w:t xml:space="preserve"> h. </w:t>
      </w:r>
      <w:r>
        <w:rPr>
          <w:rFonts w:hint="eastAsia" w:ascii="Times New Roman" w:hAnsi="Times New Roman" w:cs="Times New Roman"/>
          <w:sz w:val="24"/>
        </w:rPr>
        <w:t xml:space="preserve">N </w:t>
      </w:r>
      <w:r>
        <w:rPr>
          <w:rFonts w:ascii="Times New Roman" w:hAnsi="Times New Roman" w:cs="Times New Roman"/>
          <w:sz w:val="24"/>
        </w:rPr>
        <w:t xml:space="preserve">= </w:t>
      </w:r>
      <w:r>
        <w:rPr>
          <w:rFonts w:hint="eastAsia"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 wells per group. (</w:t>
      </w:r>
      <w:r>
        <w:rPr>
          <w:rFonts w:hint="eastAsia"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) Cell viability of </w:t>
      </w:r>
      <w:r>
        <w:rPr>
          <w:rFonts w:hint="eastAsia" w:ascii="Times New Roman" w:hAnsi="Times New Roman" w:cs="Times New Roman"/>
          <w:sz w:val="24"/>
        </w:rPr>
        <w:t>KGN</w:t>
      </w:r>
      <w:r>
        <w:rPr>
          <w:rFonts w:ascii="Times New Roman" w:hAnsi="Times New Roman" w:cs="Times New Roman"/>
          <w:sz w:val="24"/>
        </w:rPr>
        <w:t xml:space="preserve"> treated with </w:t>
      </w:r>
      <w:r>
        <w:rPr>
          <w:rFonts w:hint="eastAsia" w:ascii="Times New Roman" w:hAnsi="Times New Roman" w:cs="Times New Roman"/>
          <w:sz w:val="24"/>
        </w:rPr>
        <w:t>D-gal</w:t>
      </w:r>
      <w:r>
        <w:rPr>
          <w:rFonts w:ascii="Times New Roman" w:hAnsi="Times New Roman" w:cs="Times New Roman"/>
          <w:sz w:val="24"/>
        </w:rPr>
        <w:t xml:space="preserve"> for </w:t>
      </w:r>
      <w:r>
        <w:rPr>
          <w:rFonts w:hint="eastAsia" w:ascii="Times New Roman" w:hAnsi="Times New Roman" w:cs="Times New Roman"/>
          <w:sz w:val="24"/>
        </w:rPr>
        <w:t>72</w:t>
      </w:r>
      <w:r>
        <w:rPr>
          <w:rFonts w:ascii="Times New Roman" w:hAnsi="Times New Roman" w:cs="Times New Roman"/>
          <w:sz w:val="24"/>
        </w:rPr>
        <w:t xml:space="preserve"> h. </w:t>
      </w:r>
      <w:r>
        <w:rPr>
          <w:rFonts w:hint="eastAsia"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 xml:space="preserve"> = </w:t>
      </w:r>
      <w:r>
        <w:rPr>
          <w:rFonts w:hint="eastAsia"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 wells per group. (</w:t>
      </w:r>
      <w:r>
        <w:rPr>
          <w:rFonts w:hint="eastAsia" w:ascii="Times New Roman" w:hAnsi="Times New Roman" w:cs="Times New Roman"/>
          <w:b/>
          <w:bCs/>
          <w:sz w:val="24"/>
        </w:rPr>
        <w:t>C</w:t>
      </w:r>
      <w:r>
        <w:rPr>
          <w:rFonts w:ascii="Times New Roman" w:hAnsi="Times New Roman" w:cs="Times New Roman"/>
          <w:sz w:val="24"/>
        </w:rPr>
        <w:t xml:space="preserve">) western blot analysis of the protein levels of </w:t>
      </w:r>
      <w:r>
        <w:rPr>
          <w:rFonts w:hint="eastAsia" w:ascii="Times New Roman" w:hAnsi="Times New Roman" w:cs="Times New Roman"/>
          <w:sz w:val="24"/>
        </w:rPr>
        <w:t>GPX4 and</w:t>
      </w:r>
      <w:r>
        <w:rPr>
          <w:rFonts w:ascii="Times New Roman" w:hAnsi="Times New Roman" w:cs="Times New Roman"/>
          <w:sz w:val="24"/>
        </w:rPr>
        <w:t xml:space="preserve"> P21</w:t>
      </w:r>
      <w:r>
        <w:rPr>
          <w:rFonts w:hint="eastAsia"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N = 3 for each group.</w:t>
      </w:r>
      <w:r>
        <w:rPr>
          <w:rFonts w:hint="eastAsia" w:ascii="Times New Roman" w:hAnsi="Times New Roman" w:cs="Times New Roman"/>
          <w:sz w:val="24"/>
        </w:rPr>
        <w:t xml:space="preserve"> (</w:t>
      </w:r>
      <w:r>
        <w:rPr>
          <w:rFonts w:hint="eastAsia" w:ascii="Times New Roman" w:hAnsi="Times New Roman" w:cs="Times New Roman"/>
          <w:b/>
          <w:bCs/>
          <w:sz w:val="24"/>
        </w:rPr>
        <w:t>D</w:t>
      </w:r>
      <w:r>
        <w:rPr>
          <w:rFonts w:hint="eastAsia"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>MDA level in senescent KGN cells.</w:t>
      </w:r>
      <w:r>
        <w:rPr>
          <w:rFonts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N = 3 for each group.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Data are presented as the mean ± SD. P &lt; 0.05 was considered statistically significant.</w:t>
      </w:r>
    </w:p>
    <w:p w14:paraId="0F6A0F37">
      <w:pPr>
        <w:rPr>
          <w:rFonts w:hint="eastAsia"/>
        </w:rPr>
      </w:pPr>
      <w:r>
        <w:drawing>
          <wp:inline distT="0" distB="0" distL="0" distR="0">
            <wp:extent cx="5274310" cy="5296535"/>
            <wp:effectExtent l="0" t="0" r="2540" b="0"/>
            <wp:docPr id="10595197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51977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9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AF678">
      <w:pPr>
        <w:jc w:val="both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Figure S4.</w:t>
      </w:r>
      <w:r>
        <w:rPr>
          <w:rFonts w:hint="eastAsia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 xml:space="preserve">Optimal working concentrations of 4-PBA, tunicamycin, </w:t>
      </w:r>
      <w:r>
        <w:rPr>
          <w:rFonts w:hint="eastAsia" w:ascii="Times New Roman" w:hAnsi="Times New Roman" w:cs="Times New Roman"/>
          <w:b/>
          <w:bCs/>
          <w:sz w:val="24"/>
        </w:rPr>
        <w:t>F</w:t>
      </w:r>
      <w:r>
        <w:rPr>
          <w:rFonts w:ascii="Times New Roman" w:hAnsi="Times New Roman" w:cs="Times New Roman"/>
          <w:b/>
          <w:bCs/>
          <w:sz w:val="24"/>
        </w:rPr>
        <w:t>er-1, and erastin in KGN cells.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(A)</w:t>
      </w:r>
      <w:r>
        <w:rPr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The expression level of GPX4 protein in KGN cells treated with different concentrations of 4-PBA (0, </w:t>
      </w:r>
      <w:r>
        <w:rPr>
          <w:rFonts w:hint="eastAsia"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>6, 20, 60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>M) for 24 hours was detected by Western blotting.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</w:rPr>
        <w:t xml:space="preserve">(B) </w:t>
      </w:r>
      <w:r>
        <w:rPr>
          <w:rFonts w:ascii="Times New Roman" w:hAnsi="Times New Roman" w:cs="Times New Roman"/>
          <w:sz w:val="24"/>
        </w:rPr>
        <w:t xml:space="preserve">The expression level of GPX4 protein in KGN cells treated with different concentrations of </w:t>
      </w:r>
      <w:r>
        <w:rPr>
          <w:rFonts w:hint="eastAsia" w:ascii="Times New Roman" w:hAnsi="Times New Roman" w:cs="Times New Roman"/>
          <w:sz w:val="24"/>
        </w:rPr>
        <w:t>tunicamycin</w:t>
      </w:r>
      <w:r>
        <w:rPr>
          <w:rFonts w:ascii="Times New Roman" w:hAnsi="Times New Roman" w:cs="Times New Roman"/>
          <w:sz w:val="24"/>
        </w:rPr>
        <w:t xml:space="preserve"> (0, </w:t>
      </w:r>
      <w:r>
        <w:rPr>
          <w:rFonts w:hint="eastAsia"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>6, 20, 60</w:t>
      </w:r>
      <w:r>
        <w:rPr>
          <w:rFonts w:ascii="Times New Roman" w:hAnsi="Times New Roman" w:cs="Times New Roman"/>
          <w:sz w:val="24"/>
        </w:rPr>
        <w:t xml:space="preserve"> μM) for 24 hours was detected by Western blotting.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</w:rPr>
        <w:t xml:space="preserve">(C) </w:t>
      </w:r>
      <w:r>
        <w:rPr>
          <w:rFonts w:ascii="Times New Roman" w:hAnsi="Times New Roman" w:cs="Times New Roman"/>
          <w:sz w:val="24"/>
        </w:rPr>
        <w:t xml:space="preserve">The expression level of GPX4 protein in KGN cells treated with different concentrations of </w:t>
      </w:r>
      <w:r>
        <w:rPr>
          <w:rFonts w:hint="eastAsia" w:ascii="Times New Roman" w:hAnsi="Times New Roman" w:cs="Times New Roman"/>
          <w:sz w:val="24"/>
        </w:rPr>
        <w:t>Fer-1</w:t>
      </w:r>
      <w:r>
        <w:rPr>
          <w:rFonts w:ascii="Times New Roman" w:hAnsi="Times New Roman" w:cs="Times New Roman"/>
          <w:sz w:val="24"/>
        </w:rPr>
        <w:t xml:space="preserve"> (0, </w:t>
      </w:r>
      <w:r>
        <w:rPr>
          <w:rFonts w:hint="eastAsia"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>10, 50, 250</w:t>
      </w:r>
      <w:r>
        <w:rPr>
          <w:rFonts w:ascii="Times New Roman" w:hAnsi="Times New Roman" w:cs="Times New Roman"/>
          <w:sz w:val="24"/>
        </w:rPr>
        <w:t xml:space="preserve"> μM) for 24 hours was detected by Western blotting. </w:t>
      </w:r>
      <w:r>
        <w:rPr>
          <w:rFonts w:hint="eastAsia" w:ascii="Times New Roman" w:hAnsi="Times New Roman" w:cs="Times New Roman"/>
          <w:b/>
          <w:bCs/>
          <w:sz w:val="24"/>
        </w:rPr>
        <w:t xml:space="preserve">(C) </w:t>
      </w:r>
      <w:r>
        <w:rPr>
          <w:rFonts w:ascii="Times New Roman" w:hAnsi="Times New Roman" w:cs="Times New Roman"/>
          <w:sz w:val="24"/>
        </w:rPr>
        <w:t xml:space="preserve">The expression level of GPX4 protein in KGN cells treated with different concentrations of </w:t>
      </w:r>
      <w:r>
        <w:rPr>
          <w:rFonts w:hint="eastAsia" w:ascii="Times New Roman" w:hAnsi="Times New Roman" w:cs="Times New Roman"/>
          <w:sz w:val="24"/>
        </w:rPr>
        <w:t>erastin</w:t>
      </w:r>
      <w:r>
        <w:rPr>
          <w:rFonts w:ascii="Times New Roman" w:hAnsi="Times New Roman" w:cs="Times New Roman"/>
          <w:sz w:val="24"/>
        </w:rPr>
        <w:t xml:space="preserve"> (0, </w:t>
      </w:r>
      <w:r>
        <w:rPr>
          <w:rFonts w:hint="eastAsia"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>5, 25, 125</w:t>
      </w:r>
      <w:r>
        <w:rPr>
          <w:rFonts w:ascii="Times New Roman" w:hAnsi="Times New Roman" w:cs="Times New Roman"/>
          <w:sz w:val="24"/>
        </w:rPr>
        <w:t xml:space="preserve"> μM) for 24 hours was detected by Western blotting. Data are presented as the mean ± SD. N = 3 for each group. P &lt; 0.05 was considered statistically significant.</w:t>
      </w:r>
    </w:p>
    <w:p w14:paraId="5FEB591A">
      <w:pPr>
        <w:jc w:val="both"/>
        <w:rPr>
          <w:rFonts w:hint="eastAsia"/>
        </w:rPr>
      </w:pPr>
    </w:p>
    <w:p w14:paraId="706A2EC6">
      <w:pPr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sz w:val="24"/>
        </w:rPr>
        <w:drawing>
          <wp:inline distT="0" distB="0" distL="0" distR="0">
            <wp:extent cx="5074285" cy="3089275"/>
            <wp:effectExtent l="0" t="0" r="0" b="0"/>
            <wp:docPr id="17182158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21580" name="图片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32" t="5424" r="19976" b="3849"/>
                    <a:stretch>
                      <a:fillRect/>
                    </a:stretch>
                  </pic:blipFill>
                  <pic:spPr>
                    <a:xfrm>
                      <a:off x="0" y="0"/>
                      <a:ext cx="5085260" cy="3096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A751D">
      <w:pPr>
        <w:jc w:val="both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Figure S5.</w:t>
      </w:r>
      <w:r>
        <w:rPr>
          <w:rFonts w:hint="eastAsia"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</w:rPr>
        <w:t>KGN cell lines with PRDX4 knockdown (Ad-Prdx4/siRNA) or overexpression (Ad-Prdx4) was generated using adenoviral vectors. (A)</w:t>
      </w:r>
      <w:r>
        <w:rPr>
          <w:sz w:val="24"/>
        </w:rPr>
        <w:t xml:space="preserve"> </w:t>
      </w:r>
      <w:bookmarkStart w:id="0" w:name="_Hlk211093225"/>
      <w:r>
        <w:rPr>
          <w:rFonts w:hint="eastAsia" w:ascii="Times New Roman" w:hAnsi="Times New Roman" w:cs="Times New Roman"/>
          <w:sz w:val="24"/>
        </w:rPr>
        <w:t>PRDX4</w:t>
      </w:r>
      <w:r>
        <w:rPr>
          <w:rFonts w:ascii="Times New Roman" w:hAnsi="Times New Roman" w:cs="Times New Roman"/>
          <w:sz w:val="24"/>
        </w:rPr>
        <w:t xml:space="preserve"> protein expression in KGN cells transfected with </w:t>
      </w:r>
      <w:r>
        <w:rPr>
          <w:rFonts w:hint="eastAsia" w:ascii="Times New Roman" w:hAnsi="Times New Roman" w:cs="Times New Roman"/>
          <w:sz w:val="24"/>
        </w:rPr>
        <w:t>Ad-Prdx4/siRNA</w:t>
      </w:r>
      <w:r>
        <w:rPr>
          <w:rFonts w:ascii="Times New Roman" w:hAnsi="Times New Roman" w:cs="Times New Roman"/>
          <w:sz w:val="24"/>
        </w:rPr>
        <w:t xml:space="preserve"> was detected by Western blotting.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bookmarkEnd w:id="0"/>
      <w:r>
        <w:rPr>
          <w:rFonts w:hint="eastAsia" w:ascii="Times New Roman" w:hAnsi="Times New Roman" w:cs="Times New Roman"/>
          <w:b/>
          <w:bCs/>
          <w:sz w:val="24"/>
        </w:rPr>
        <w:t xml:space="preserve">(B) </w:t>
      </w:r>
      <w:r>
        <w:rPr>
          <w:rFonts w:ascii="Times New Roman" w:hAnsi="Times New Roman" w:cs="Times New Roman"/>
          <w:sz w:val="24"/>
        </w:rPr>
        <w:t>PRDX4 protein expression in KGN cells transfected with Ad-Prdx4 was detected by Western blotting. Data are presented as the mean ± SD. N = 3 for each group. P &lt; 0.05 was considered statistically significant.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87C"/>
    <w:rsid w:val="000421C8"/>
    <w:rsid w:val="00045841"/>
    <w:rsid w:val="000464FA"/>
    <w:rsid w:val="0005618F"/>
    <w:rsid w:val="000E3266"/>
    <w:rsid w:val="000F32C1"/>
    <w:rsid w:val="0015629B"/>
    <w:rsid w:val="00170722"/>
    <w:rsid w:val="001A775F"/>
    <w:rsid w:val="001B2BC8"/>
    <w:rsid w:val="001B5C92"/>
    <w:rsid w:val="002306E3"/>
    <w:rsid w:val="002F3725"/>
    <w:rsid w:val="00366DB9"/>
    <w:rsid w:val="003A0E9E"/>
    <w:rsid w:val="00455745"/>
    <w:rsid w:val="00470318"/>
    <w:rsid w:val="00490E0D"/>
    <w:rsid w:val="004C231B"/>
    <w:rsid w:val="004D2854"/>
    <w:rsid w:val="00533B32"/>
    <w:rsid w:val="005B6FDE"/>
    <w:rsid w:val="005C453A"/>
    <w:rsid w:val="005D7A68"/>
    <w:rsid w:val="005E01CF"/>
    <w:rsid w:val="005F530D"/>
    <w:rsid w:val="006C4BC7"/>
    <w:rsid w:val="006F5BE3"/>
    <w:rsid w:val="007078C4"/>
    <w:rsid w:val="00715833"/>
    <w:rsid w:val="00737713"/>
    <w:rsid w:val="00770357"/>
    <w:rsid w:val="007B0545"/>
    <w:rsid w:val="007C2BA1"/>
    <w:rsid w:val="007D545B"/>
    <w:rsid w:val="008F25AE"/>
    <w:rsid w:val="00905AB0"/>
    <w:rsid w:val="009114B1"/>
    <w:rsid w:val="00A25DA2"/>
    <w:rsid w:val="00A3787C"/>
    <w:rsid w:val="00AC4954"/>
    <w:rsid w:val="00AF1520"/>
    <w:rsid w:val="00BE1BD5"/>
    <w:rsid w:val="00BF2BC4"/>
    <w:rsid w:val="00C56082"/>
    <w:rsid w:val="00C718A8"/>
    <w:rsid w:val="00D57275"/>
    <w:rsid w:val="00D879E4"/>
    <w:rsid w:val="00D90310"/>
    <w:rsid w:val="00DD4C12"/>
    <w:rsid w:val="00DE2162"/>
    <w:rsid w:val="00E06A15"/>
    <w:rsid w:val="00E131C6"/>
    <w:rsid w:val="00E457A9"/>
    <w:rsid w:val="00E83684"/>
    <w:rsid w:val="00E90C3A"/>
    <w:rsid w:val="00EF79BB"/>
    <w:rsid w:val="00F770E1"/>
    <w:rsid w:val="42835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tiff"/><Relationship Id="rId7" Type="http://schemas.openxmlformats.org/officeDocument/2006/relationships/image" Target="media/image2.tiff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561</Words>
  <Characters>2681</Characters>
  <Lines>50</Lines>
  <Paragraphs>7</Paragraphs>
  <TotalTime>107</TotalTime>
  <ScaleCrop>false</ScaleCrop>
  <LinksUpToDate>false</LinksUpToDate>
  <CharactersWithSpaces>3236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2025-09-12T04:44:00Z</dcterms:created>
  <dc:creator>思睿 董</dc:creator>
  <cp:lastModifiedBy>S.R.</cp:lastModifiedBy>
  <dcterms:modified xsi:type="dcterms:W3CDTF">2026-08-04T07:00:47Z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A9A36A92A4214BE69B94F8CFD035FB53_12</vt:lpwstr>
  </property>
</Properties>
</file>