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C9215" w14:textId="77777777" w:rsidR="00D03DF9" w:rsidRPr="00D03DF9" w:rsidRDefault="00D03DF9" w:rsidP="00D03DF9">
      <w:pPr>
        <w:pStyle w:val="a9"/>
        <w:spacing w:after="0" w:line="360" w:lineRule="auto"/>
        <w:ind w:left="0"/>
        <w:rPr>
          <w:rFonts w:ascii="Times New Roman" w:eastAsia="宋体" w:hAnsi="Times New Roman" w:cs="Times New Roman"/>
          <w:b/>
          <w:bCs/>
          <w:sz w:val="24"/>
          <w:lang w:bidi="ar"/>
        </w:rPr>
      </w:pPr>
      <w:r w:rsidRPr="00D03DF9">
        <w:rPr>
          <w:rFonts w:ascii="Times New Roman" w:eastAsia="宋体" w:hAnsi="Times New Roman" w:cs="Times New Roman"/>
          <w:b/>
          <w:bCs/>
          <w:sz w:val="24"/>
          <w:lang w:bidi="ar"/>
        </w:rPr>
        <w:t>Supplemental Materials</w:t>
      </w:r>
    </w:p>
    <w:p w14:paraId="373CE964" w14:textId="55364B09" w:rsidR="00085DC5" w:rsidRDefault="00FE25FF">
      <w:pPr>
        <w:numPr>
          <w:ilvl w:val="255"/>
          <w:numId w:val="0"/>
        </w:numPr>
        <w:spacing w:line="300" w:lineRule="auto"/>
        <w:rPr>
          <w:rFonts w:ascii="Times New Roman" w:eastAsia="宋体" w:hAnsi="Times New Roman" w:cs="Times New Roman"/>
          <w:sz w:val="24"/>
          <w:szCs w:val="28"/>
        </w:rPr>
      </w:pPr>
      <w:bookmarkStart w:id="0" w:name="OLE_LINK1"/>
      <w:r w:rsidRPr="00FE25FF">
        <w:rPr>
          <w:rFonts w:ascii="Times New Roman" w:eastAsia="宋体" w:hAnsi="Times New Roman" w:cs="Times New Roman"/>
          <w:sz w:val="24"/>
          <w:szCs w:val="28"/>
        </w:rPr>
        <w:t>This study performed standardized CBCT quantitative measurements to assess condylar morphometric parameters and temporomandibular joint gaps. Measured bony parameters included mediolateral condylar diameter, anteroposterior condylar diameter, condylar head height, and condylar height. Reconstructed sagittal slices were used to obtain anterior, superior, and posterior gap values for comprehensive morphological analysis</w:t>
      </w:r>
      <w:r>
        <w:rPr>
          <w:rFonts w:ascii="Times New Roman" w:eastAsia="宋体" w:hAnsi="Times New Roman" w:cs="Times New Roman" w:hint="eastAsia"/>
          <w:sz w:val="24"/>
          <w:szCs w:val="28"/>
        </w:rPr>
        <w:t xml:space="preserve"> </w:t>
      </w:r>
      <w:r w:rsidR="00346E4D" w:rsidRPr="00346E4D">
        <w:rPr>
          <w:rFonts w:ascii="Times New Roman" w:eastAsia="宋体" w:hAnsi="Times New Roman" w:cs="Times New Roman"/>
          <w:sz w:val="24"/>
          <w:szCs w:val="28"/>
        </w:rPr>
        <w:t>(</w:t>
      </w:r>
      <w:bookmarkStart w:id="1" w:name="OLE_LINK4"/>
      <w:r w:rsidR="00346E4D">
        <w:rPr>
          <w:rFonts w:ascii="Times New Roman" w:eastAsia="宋体" w:hAnsi="Times New Roman" w:cs="Times New Roman"/>
          <w:b/>
          <w:bCs/>
          <w:sz w:val="24"/>
          <w:szCs w:val="24"/>
          <w:lang w:bidi="ar"/>
        </w:rPr>
        <w:t>Supplementary</w:t>
      </w:r>
      <w:bookmarkEnd w:id="1"/>
      <w:r w:rsidR="00346E4D" w:rsidRPr="00346E4D">
        <w:rPr>
          <w:rFonts w:ascii="Times New Roman" w:eastAsia="宋体" w:hAnsi="Times New Roman" w:cs="Times New Roman"/>
          <w:sz w:val="24"/>
          <w:szCs w:val="28"/>
        </w:rPr>
        <w:t xml:space="preserve"> </w:t>
      </w:r>
      <w:r w:rsidR="00346E4D" w:rsidRPr="00346E4D">
        <w:rPr>
          <w:rFonts w:ascii="Times New Roman" w:eastAsia="宋体" w:hAnsi="Times New Roman" w:cs="Times New Roman"/>
          <w:b/>
          <w:bCs/>
          <w:sz w:val="24"/>
          <w:szCs w:val="28"/>
        </w:rPr>
        <w:t>Figure 1</w:t>
      </w:r>
      <w:r w:rsidR="00346E4D" w:rsidRPr="00346E4D">
        <w:rPr>
          <w:rFonts w:ascii="Times New Roman" w:eastAsia="宋体" w:hAnsi="Times New Roman" w:cs="Times New Roman"/>
          <w:sz w:val="24"/>
          <w:szCs w:val="28"/>
        </w:rPr>
        <w:t>).</w:t>
      </w:r>
      <w:bookmarkEnd w:id="0"/>
    </w:p>
    <w:p w14:paraId="36D28150" w14:textId="77777777" w:rsidR="00085DC5" w:rsidRDefault="00000000">
      <w:pPr>
        <w:numPr>
          <w:ilvl w:val="255"/>
          <w:numId w:val="0"/>
        </w:numPr>
        <w:spacing w:line="300" w:lineRule="auto"/>
        <w:jc w:val="center"/>
        <w:rPr>
          <w:rFonts w:ascii="Times New Roman" w:eastAsia="宋体" w:hAnsi="Times New Roman" w:cs="Times New Roman"/>
          <w:sz w:val="24"/>
          <w:szCs w:val="28"/>
        </w:rPr>
      </w:pPr>
      <w:r>
        <w:rPr>
          <w:rFonts w:ascii="Times New Roman" w:eastAsia="宋体" w:hAnsi="Times New Roman" w:cs="Times New Roman" w:hint="eastAsia"/>
          <w:noProof/>
          <w:sz w:val="24"/>
          <w:szCs w:val="28"/>
        </w:rPr>
        <w:drawing>
          <wp:inline distT="0" distB="0" distL="114300" distR="114300" wp14:anchorId="2400938A" wp14:editId="4528C8D5">
            <wp:extent cx="4782185" cy="1081405"/>
            <wp:effectExtent l="0" t="0" r="8890" b="4445"/>
            <wp:docPr id="17" name="图片 17" descr="图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_03"/>
                    <pic:cNvPicPr>
                      <a:picLocks noChangeAspect="1"/>
                    </pic:cNvPicPr>
                  </pic:nvPicPr>
                  <pic:blipFill>
                    <a:blip r:embed="rId7"/>
                    <a:srcRect r="8349"/>
                    <a:stretch>
                      <a:fillRect/>
                    </a:stretch>
                  </pic:blipFill>
                  <pic:spPr>
                    <a:xfrm>
                      <a:off x="0" y="0"/>
                      <a:ext cx="4782185" cy="1081405"/>
                    </a:xfrm>
                    <a:prstGeom prst="rect">
                      <a:avLst/>
                    </a:prstGeom>
                  </pic:spPr>
                </pic:pic>
              </a:graphicData>
            </a:graphic>
          </wp:inline>
        </w:drawing>
      </w:r>
    </w:p>
    <w:p w14:paraId="44B7A7B0" w14:textId="10AE1761" w:rsidR="00085DC5" w:rsidRPr="00346E4D" w:rsidRDefault="00346E4D">
      <w:pPr>
        <w:spacing w:line="300" w:lineRule="auto"/>
        <w:rPr>
          <w:rFonts w:ascii="Times New Roman" w:eastAsia="宋体" w:hAnsi="Times New Roman" w:cs="Times New Roman"/>
          <w:color w:val="060607"/>
          <w:spacing w:val="4"/>
          <w:sz w:val="18"/>
          <w:szCs w:val="18"/>
          <w:shd w:val="clear" w:color="auto" w:fill="FFFFFF"/>
        </w:rPr>
      </w:pPr>
      <w:bookmarkStart w:id="2" w:name="OLE_LINK2"/>
      <w:r w:rsidRPr="00346E4D">
        <w:rPr>
          <w:rFonts w:ascii="Times New Roman" w:eastAsia="宋体" w:hAnsi="Times New Roman" w:cs="Times New Roman"/>
          <w:b/>
          <w:bCs/>
          <w:sz w:val="18"/>
          <w:szCs w:val="18"/>
          <w:lang w:bidi="ar"/>
        </w:rPr>
        <w:t>Supplementary</w:t>
      </w:r>
      <w:bookmarkEnd w:id="2"/>
      <w:r w:rsidRPr="00346E4D">
        <w:rPr>
          <w:rFonts w:ascii="Times New Roman" w:eastAsia="宋体" w:hAnsi="Times New Roman" w:cs="Times New Roman"/>
          <w:b/>
          <w:bCs/>
          <w:color w:val="060607"/>
          <w:spacing w:val="4"/>
          <w:sz w:val="18"/>
          <w:szCs w:val="18"/>
          <w:shd w:val="clear" w:color="auto" w:fill="FFFFFF"/>
        </w:rPr>
        <w:t xml:space="preserve"> Figure 1.</w:t>
      </w:r>
      <w:r w:rsidRPr="00346E4D">
        <w:rPr>
          <w:rFonts w:ascii="Times New Roman" w:eastAsia="宋体" w:hAnsi="Times New Roman" w:cs="Times New Roman"/>
          <w:color w:val="060607"/>
          <w:spacing w:val="4"/>
          <w:sz w:val="18"/>
          <w:szCs w:val="18"/>
          <w:shd w:val="clear" w:color="auto" w:fill="FFFFFF"/>
        </w:rPr>
        <w:t xml:space="preserve"> Measurements of condylar morphometric parameters and joint spaces on cone-beam computed tomography (CBCT). (a) Mediolateral (ML) and anteroposterior (AP) condylar diameters. (b) Condylar head height (CH). (c) Condylar height (CL). (d) Anterior (A), superior (S), and posterior (P) joint gaps.</w:t>
      </w:r>
    </w:p>
    <w:p w14:paraId="54A8EBAB" w14:textId="5FAA14BC" w:rsidR="00085DC5" w:rsidRPr="00346E4D" w:rsidRDefault="00FE25FF" w:rsidP="00346E4D">
      <w:pPr>
        <w:ind w:firstLine="420"/>
        <w:rPr>
          <w:rFonts w:ascii="Times New Roman" w:hAnsi="Times New Roman" w:cs="Times New Roman"/>
          <w:sz w:val="24"/>
          <w:szCs w:val="24"/>
        </w:rPr>
      </w:pPr>
      <w:bookmarkStart w:id="3" w:name="OLE_LINK3"/>
      <w:r w:rsidRPr="00FE25FF">
        <w:rPr>
          <w:rFonts w:ascii="Times New Roman" w:hAnsi="Times New Roman" w:cs="Times New Roman"/>
          <w:sz w:val="24"/>
          <w:szCs w:val="24"/>
        </w:rPr>
        <w:t>Condylar articular surfaces were subdivided using a dual</w:t>
      </w:r>
      <w:r w:rsidRPr="00FE25FF">
        <w:rPr>
          <w:rFonts w:ascii="Times New Roman" w:hAnsi="Times New Roman" w:cs="Times New Roman"/>
          <w:sz w:val="24"/>
          <w:szCs w:val="24"/>
        </w:rPr>
        <w:noBreakHyphen/>
        <w:t>plane grid partitioning method to evaluate cortical bone changes following occlusal splint treatment. On coronal images, the condyle was segmented into medial, central, and lateral regions; on sagittal images, it was divided into anterior, middle, and posterior zones, producing nine subregions across the whole articular surface. Representative CBCT images were used to compare cortical bone continuity and integrity at baseline and follow</w:t>
      </w:r>
      <w:r w:rsidRPr="00FE25FF">
        <w:rPr>
          <w:rFonts w:ascii="Times New Roman" w:hAnsi="Times New Roman" w:cs="Times New Roman"/>
          <w:sz w:val="24"/>
          <w:szCs w:val="24"/>
        </w:rPr>
        <w:noBreakHyphen/>
        <w:t>up, and condyles were classified into deterioration, stable, and improvement subgroups</w:t>
      </w:r>
      <w:r w:rsidR="00346E4D" w:rsidRPr="00346E4D">
        <w:rPr>
          <w:rFonts w:ascii="Times New Roman" w:hAnsi="Times New Roman" w:cs="Times New Roman"/>
          <w:sz w:val="24"/>
          <w:szCs w:val="24"/>
        </w:rPr>
        <w:t xml:space="preserve"> (</w:t>
      </w:r>
      <w:r w:rsidR="00346E4D">
        <w:rPr>
          <w:rFonts w:ascii="Times New Roman" w:eastAsia="宋体" w:hAnsi="Times New Roman" w:cs="Times New Roman"/>
          <w:b/>
          <w:bCs/>
          <w:sz w:val="24"/>
          <w:szCs w:val="24"/>
          <w:lang w:bidi="ar"/>
        </w:rPr>
        <w:t>Supplementary</w:t>
      </w:r>
      <w:r w:rsidR="00346E4D" w:rsidRPr="00346E4D">
        <w:rPr>
          <w:rFonts w:ascii="Times New Roman" w:hAnsi="Times New Roman" w:cs="Times New Roman"/>
          <w:sz w:val="24"/>
          <w:szCs w:val="24"/>
        </w:rPr>
        <w:t xml:space="preserve"> </w:t>
      </w:r>
      <w:r w:rsidR="00346E4D" w:rsidRPr="00346E4D">
        <w:rPr>
          <w:rFonts w:ascii="Times New Roman" w:hAnsi="Times New Roman" w:cs="Times New Roman"/>
          <w:b/>
          <w:bCs/>
          <w:sz w:val="24"/>
          <w:szCs w:val="24"/>
        </w:rPr>
        <w:t>Figure 2</w:t>
      </w:r>
      <w:r w:rsidR="00346E4D" w:rsidRPr="00346E4D">
        <w:rPr>
          <w:rFonts w:ascii="Times New Roman" w:hAnsi="Times New Roman" w:cs="Times New Roman"/>
          <w:sz w:val="24"/>
          <w:szCs w:val="24"/>
        </w:rPr>
        <w:t>).</w:t>
      </w:r>
    </w:p>
    <w:bookmarkEnd w:id="3"/>
    <w:p w14:paraId="6F65EC10" w14:textId="77777777" w:rsidR="00085DC5" w:rsidRDefault="00000000">
      <w:pPr>
        <w:widowControl/>
        <w:spacing w:line="300" w:lineRule="auto"/>
        <w:jc w:val="center"/>
        <w:rPr>
          <w:rStyle w:val="a4"/>
        </w:rPr>
      </w:pPr>
      <w:r>
        <w:rPr>
          <w:rStyle w:val="a4"/>
          <w:rFonts w:hint="eastAsia"/>
          <w:noProof/>
        </w:rPr>
        <w:drawing>
          <wp:inline distT="0" distB="0" distL="114300" distR="114300" wp14:anchorId="48AD79F5" wp14:editId="422C7908">
            <wp:extent cx="5185410" cy="2799080"/>
            <wp:effectExtent l="0" t="0" r="5715" b="1270"/>
            <wp:docPr id="22" name="图片 22" descr="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_01"/>
                    <pic:cNvPicPr>
                      <a:picLocks noChangeAspect="1"/>
                    </pic:cNvPicPr>
                  </pic:nvPicPr>
                  <pic:blipFill>
                    <a:blip r:embed="rId8"/>
                    <a:srcRect r="621"/>
                    <a:stretch>
                      <a:fillRect/>
                    </a:stretch>
                  </pic:blipFill>
                  <pic:spPr>
                    <a:xfrm>
                      <a:off x="0" y="0"/>
                      <a:ext cx="5185410" cy="2799080"/>
                    </a:xfrm>
                    <a:prstGeom prst="rect">
                      <a:avLst/>
                    </a:prstGeom>
                  </pic:spPr>
                </pic:pic>
              </a:graphicData>
            </a:graphic>
          </wp:inline>
        </w:drawing>
      </w:r>
    </w:p>
    <w:p w14:paraId="5999C79C" w14:textId="7E37EC65" w:rsidR="00346E4D" w:rsidRDefault="00346E4D">
      <w:pPr>
        <w:widowControl/>
        <w:spacing w:line="300" w:lineRule="auto"/>
        <w:rPr>
          <w:rFonts w:ascii="Times New Roman" w:eastAsia="宋体" w:hAnsi="Times New Roman" w:cs="Times New Roman"/>
          <w:sz w:val="18"/>
          <w:szCs w:val="18"/>
        </w:rPr>
      </w:pPr>
      <w:r w:rsidRPr="00346E4D">
        <w:rPr>
          <w:rFonts w:ascii="Times New Roman" w:eastAsia="宋体" w:hAnsi="Times New Roman" w:cs="Times New Roman"/>
          <w:b/>
          <w:bCs/>
          <w:sz w:val="18"/>
          <w:szCs w:val="18"/>
          <w:lang w:bidi="ar"/>
        </w:rPr>
        <w:lastRenderedPageBreak/>
        <w:t>Supplementary</w:t>
      </w:r>
      <w:r>
        <w:rPr>
          <w:rFonts w:ascii="Times New Roman" w:eastAsia="宋体" w:hAnsi="Times New Roman" w:cs="Times New Roman"/>
          <w:b/>
          <w:bCs/>
          <w:sz w:val="18"/>
          <w:szCs w:val="18"/>
        </w:rPr>
        <w:t xml:space="preserve"> Figure 2.</w:t>
      </w:r>
      <w:r>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 xml:space="preserve">(a-o) </w:t>
      </w:r>
      <w:r>
        <w:rPr>
          <w:rFonts w:ascii="Times New Roman" w:eastAsia="宋体" w:hAnsi="Times New Roman" w:cs="Times New Roman"/>
          <w:sz w:val="18"/>
          <w:szCs w:val="18"/>
        </w:rPr>
        <w:t>Grid partitioning method for condylar articular surface division</w:t>
      </w:r>
      <w:r>
        <w:rPr>
          <w:rFonts w:ascii="Times New Roman" w:eastAsia="宋体" w:hAnsi="Times New Roman" w:cs="Times New Roman" w:hint="eastAsia"/>
          <w:sz w:val="18"/>
          <w:szCs w:val="18"/>
        </w:rPr>
        <w:t xml:space="preserve"> and representative CBCT images of condylar cortical bone changes following occlusal splint treatment. </w:t>
      </w:r>
      <w:r>
        <w:rPr>
          <w:rFonts w:ascii="Times New Roman" w:eastAsia="宋体" w:hAnsi="Times New Roman" w:cs="Times New Roman"/>
          <w:sz w:val="18"/>
          <w:szCs w:val="18"/>
        </w:rPr>
        <w:t>(a) In the coronal view, the condyle was segmented into medial (M), central (C), and lateral (L) regions along the mediolateral axis. (b) In the sagittal view, the condyle was divided into anterior (A), middle (M), and posterior (P) regions along the anteroposterior axis. (c) This method resulted in a total of nine surface subdivisions: anterior-medial (AM), anterior-central (AC), anterior-lateral (AL), middle-medial (MM), middle-central (MC), middle-lateral (ML), posterior-medial (PM), posterior-central (PC), and posterior-lateral (PL).</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w:t>
      </w:r>
      <w:r>
        <w:rPr>
          <w:rFonts w:ascii="Times New Roman" w:eastAsia="宋体" w:hAnsi="Times New Roman" w:cs="Times New Roman" w:hint="eastAsia"/>
          <w:sz w:val="18"/>
          <w:szCs w:val="18"/>
        </w:rPr>
        <w:t>d</w:t>
      </w:r>
      <w:r>
        <w:rPr>
          <w:rFonts w:ascii="Times New Roman" w:eastAsia="宋体" w:hAnsi="Times New Roman" w:cs="Times New Roman"/>
          <w:sz w:val="18"/>
          <w:szCs w:val="18"/>
        </w:rPr>
        <w:t>-</w:t>
      </w:r>
      <w:r>
        <w:rPr>
          <w:rFonts w:ascii="Times New Roman" w:eastAsia="宋体" w:hAnsi="Times New Roman" w:cs="Times New Roman" w:hint="eastAsia"/>
          <w:sz w:val="18"/>
          <w:szCs w:val="18"/>
        </w:rPr>
        <w:t>g</w:t>
      </w:r>
      <w:r>
        <w:rPr>
          <w:rFonts w:ascii="Times New Roman" w:eastAsia="宋体" w:hAnsi="Times New Roman" w:cs="Times New Roman"/>
          <w:sz w:val="18"/>
          <w:szCs w:val="18"/>
        </w:rPr>
        <w:t>) Deterioration group: (</w:t>
      </w:r>
      <w:r>
        <w:rPr>
          <w:rFonts w:ascii="Times New Roman" w:eastAsia="宋体" w:hAnsi="Times New Roman" w:cs="Times New Roman" w:hint="eastAsia"/>
          <w:sz w:val="18"/>
          <w:szCs w:val="18"/>
        </w:rPr>
        <w:t>d</w:t>
      </w:r>
      <w:r>
        <w:rPr>
          <w:rFonts w:ascii="Times New Roman" w:eastAsia="宋体" w:hAnsi="Times New Roman" w:cs="Times New Roman"/>
          <w:sz w:val="18"/>
          <w:szCs w:val="18"/>
        </w:rPr>
        <w:t xml:space="preserve"> and</w:t>
      </w:r>
      <w:r>
        <w:rPr>
          <w:rFonts w:ascii="Times New Roman" w:eastAsia="宋体" w:hAnsi="Times New Roman" w:cs="Times New Roman" w:hint="eastAsia"/>
          <w:sz w:val="18"/>
          <w:szCs w:val="18"/>
        </w:rPr>
        <w:t xml:space="preserve"> e</w:t>
      </w:r>
      <w:r>
        <w:rPr>
          <w:rFonts w:ascii="Times New Roman" w:eastAsia="宋体" w:hAnsi="Times New Roman" w:cs="Times New Roman"/>
          <w:sz w:val="18"/>
          <w:szCs w:val="18"/>
        </w:rPr>
        <w:t>) Relatively continuous cortical bone lines at baseline in coronal and sagittal planes; (</w:t>
      </w:r>
      <w:r>
        <w:rPr>
          <w:rFonts w:ascii="Times New Roman" w:eastAsia="宋体" w:hAnsi="Times New Roman" w:cs="Times New Roman" w:hint="eastAsia"/>
          <w:sz w:val="18"/>
          <w:szCs w:val="18"/>
        </w:rPr>
        <w:t>f</w:t>
      </w:r>
      <w:r>
        <w:rPr>
          <w:rFonts w:ascii="Times New Roman" w:eastAsia="宋体" w:hAnsi="Times New Roman" w:cs="Times New Roman"/>
          <w:sz w:val="18"/>
          <w:szCs w:val="18"/>
        </w:rPr>
        <w:t xml:space="preserve"> and </w:t>
      </w:r>
      <w:r>
        <w:rPr>
          <w:rFonts w:ascii="Times New Roman" w:eastAsia="宋体" w:hAnsi="Times New Roman" w:cs="Times New Roman" w:hint="eastAsia"/>
          <w:sz w:val="18"/>
          <w:szCs w:val="18"/>
        </w:rPr>
        <w:t>g</w:t>
      </w:r>
      <w:r>
        <w:rPr>
          <w:rFonts w:ascii="Times New Roman" w:eastAsia="宋体" w:hAnsi="Times New Roman" w:cs="Times New Roman"/>
          <w:sz w:val="18"/>
          <w:szCs w:val="18"/>
        </w:rPr>
        <w:t>) post-treatment images display disrupted cortical continuity and evident bone destruction. (</w:t>
      </w:r>
      <w:r>
        <w:rPr>
          <w:rFonts w:ascii="Times New Roman" w:eastAsia="宋体" w:hAnsi="Times New Roman" w:cs="Times New Roman" w:hint="eastAsia"/>
          <w:sz w:val="18"/>
          <w:szCs w:val="18"/>
        </w:rPr>
        <w:t>h</w:t>
      </w:r>
      <w:r>
        <w:rPr>
          <w:rFonts w:ascii="Times New Roman" w:eastAsia="宋体" w:hAnsi="Times New Roman" w:cs="Times New Roman"/>
          <w:sz w:val="18"/>
          <w:szCs w:val="18"/>
        </w:rPr>
        <w:t>-</w:t>
      </w:r>
      <w:r>
        <w:rPr>
          <w:rFonts w:ascii="Times New Roman" w:eastAsia="宋体" w:hAnsi="Times New Roman" w:cs="Times New Roman" w:hint="eastAsia"/>
          <w:sz w:val="18"/>
          <w:szCs w:val="18"/>
        </w:rPr>
        <w:t>k</w:t>
      </w:r>
      <w:r>
        <w:rPr>
          <w:rFonts w:ascii="Times New Roman" w:eastAsia="宋体" w:hAnsi="Times New Roman" w:cs="Times New Roman"/>
          <w:sz w:val="18"/>
          <w:szCs w:val="18"/>
        </w:rPr>
        <w:t>) No-change group: (</w:t>
      </w:r>
      <w:r>
        <w:rPr>
          <w:rFonts w:ascii="Times New Roman" w:eastAsia="宋体" w:hAnsi="Times New Roman" w:cs="Times New Roman" w:hint="eastAsia"/>
          <w:sz w:val="18"/>
          <w:szCs w:val="18"/>
        </w:rPr>
        <w:t>h</w:t>
      </w:r>
      <w:r>
        <w:rPr>
          <w:rFonts w:ascii="Times New Roman" w:eastAsia="宋体" w:hAnsi="Times New Roman" w:cs="Times New Roman"/>
          <w:sz w:val="18"/>
          <w:szCs w:val="18"/>
        </w:rPr>
        <w:t xml:space="preserve"> and </w:t>
      </w:r>
      <w:r>
        <w:rPr>
          <w:rFonts w:ascii="Times New Roman" w:eastAsia="宋体" w:hAnsi="Times New Roman" w:cs="Times New Roman" w:hint="eastAsia"/>
          <w:sz w:val="18"/>
          <w:szCs w:val="18"/>
        </w:rPr>
        <w:t>i</w:t>
      </w:r>
      <w:r>
        <w:rPr>
          <w:rFonts w:ascii="Times New Roman" w:eastAsia="宋体" w:hAnsi="Times New Roman" w:cs="Times New Roman"/>
          <w:sz w:val="18"/>
          <w:szCs w:val="18"/>
        </w:rPr>
        <w:t>) Cortical bone destruction in coronal and sagittal views at baseline; (</w:t>
      </w:r>
      <w:r>
        <w:rPr>
          <w:rFonts w:ascii="Times New Roman" w:eastAsia="宋体" w:hAnsi="Times New Roman" w:cs="Times New Roman" w:hint="eastAsia"/>
          <w:sz w:val="18"/>
          <w:szCs w:val="18"/>
        </w:rPr>
        <w:t>j</w:t>
      </w:r>
      <w:r>
        <w:rPr>
          <w:rFonts w:ascii="Times New Roman" w:eastAsia="宋体" w:hAnsi="Times New Roman" w:cs="Times New Roman"/>
          <w:sz w:val="18"/>
          <w:szCs w:val="18"/>
        </w:rPr>
        <w:t xml:space="preserve"> and </w:t>
      </w:r>
      <w:r>
        <w:rPr>
          <w:rFonts w:ascii="Times New Roman" w:eastAsia="宋体" w:hAnsi="Times New Roman" w:cs="Times New Roman" w:hint="eastAsia"/>
          <w:sz w:val="18"/>
          <w:szCs w:val="18"/>
        </w:rPr>
        <w:t>k</w:t>
      </w:r>
      <w:r>
        <w:rPr>
          <w:rFonts w:ascii="Times New Roman" w:eastAsia="宋体" w:hAnsi="Times New Roman" w:cs="Times New Roman"/>
          <w:sz w:val="18"/>
          <w:szCs w:val="18"/>
        </w:rPr>
        <w:t>) post-treatment images reveal no observable change in cortical integrity. (</w:t>
      </w:r>
      <w:r>
        <w:rPr>
          <w:rFonts w:ascii="Times New Roman" w:eastAsia="宋体" w:hAnsi="Times New Roman" w:cs="Times New Roman" w:hint="eastAsia"/>
          <w:sz w:val="18"/>
          <w:szCs w:val="18"/>
        </w:rPr>
        <w:t>l</w:t>
      </w:r>
      <w:r>
        <w:rPr>
          <w:rFonts w:ascii="Times New Roman" w:eastAsia="宋体" w:hAnsi="Times New Roman" w:cs="Times New Roman"/>
          <w:sz w:val="18"/>
          <w:szCs w:val="18"/>
        </w:rPr>
        <w:t>-</w:t>
      </w:r>
      <w:r>
        <w:rPr>
          <w:rFonts w:ascii="Times New Roman" w:eastAsia="宋体" w:hAnsi="Times New Roman" w:cs="Times New Roman" w:hint="eastAsia"/>
          <w:sz w:val="18"/>
          <w:szCs w:val="18"/>
        </w:rPr>
        <w:t>o</w:t>
      </w:r>
      <w:r>
        <w:rPr>
          <w:rFonts w:ascii="Times New Roman" w:eastAsia="宋体" w:hAnsi="Times New Roman" w:cs="Times New Roman"/>
          <w:sz w:val="18"/>
          <w:szCs w:val="18"/>
        </w:rPr>
        <w:t>) Improvement group: (</w:t>
      </w:r>
      <w:r>
        <w:rPr>
          <w:rFonts w:ascii="Times New Roman" w:eastAsia="宋体" w:hAnsi="Times New Roman" w:cs="Times New Roman" w:hint="eastAsia"/>
          <w:sz w:val="18"/>
          <w:szCs w:val="18"/>
        </w:rPr>
        <w:t>l</w:t>
      </w:r>
      <w:r>
        <w:rPr>
          <w:rFonts w:ascii="Times New Roman" w:eastAsia="宋体" w:hAnsi="Times New Roman" w:cs="Times New Roman"/>
          <w:sz w:val="18"/>
          <w:szCs w:val="18"/>
        </w:rPr>
        <w:t xml:space="preserve"> and </w:t>
      </w:r>
      <w:r>
        <w:rPr>
          <w:rFonts w:ascii="Times New Roman" w:eastAsia="宋体" w:hAnsi="Times New Roman" w:cs="Times New Roman" w:hint="eastAsia"/>
          <w:sz w:val="18"/>
          <w:szCs w:val="18"/>
        </w:rPr>
        <w:t>m</w:t>
      </w:r>
      <w:r>
        <w:rPr>
          <w:rFonts w:ascii="Times New Roman" w:eastAsia="宋体" w:hAnsi="Times New Roman" w:cs="Times New Roman"/>
          <w:sz w:val="18"/>
          <w:szCs w:val="18"/>
        </w:rPr>
        <w:t>) Condylar cortical bone destruction observed in coronal and sagittal planes at baseline; (</w:t>
      </w:r>
      <w:r>
        <w:rPr>
          <w:rFonts w:ascii="Times New Roman" w:eastAsia="宋体" w:hAnsi="Times New Roman" w:cs="Times New Roman" w:hint="eastAsia"/>
          <w:sz w:val="18"/>
          <w:szCs w:val="18"/>
        </w:rPr>
        <w:t>n</w:t>
      </w:r>
      <w:r>
        <w:rPr>
          <w:rFonts w:ascii="Times New Roman" w:eastAsia="宋体" w:hAnsi="Times New Roman" w:cs="Times New Roman"/>
          <w:sz w:val="18"/>
          <w:szCs w:val="18"/>
        </w:rPr>
        <w:t xml:space="preserve"> and </w:t>
      </w:r>
      <w:r>
        <w:rPr>
          <w:rFonts w:ascii="Times New Roman" w:eastAsia="宋体" w:hAnsi="Times New Roman" w:cs="Times New Roman" w:hint="eastAsia"/>
          <w:sz w:val="18"/>
          <w:szCs w:val="18"/>
        </w:rPr>
        <w:t>o</w:t>
      </w:r>
      <w:r>
        <w:rPr>
          <w:rFonts w:ascii="Times New Roman" w:eastAsia="宋体" w:hAnsi="Times New Roman" w:cs="Times New Roman"/>
          <w:sz w:val="18"/>
          <w:szCs w:val="18"/>
        </w:rPr>
        <w:t>) cortical bone repair evident in the same planes post-treatment.</w:t>
      </w:r>
    </w:p>
    <w:p w14:paraId="353145DF" w14:textId="0897FC00" w:rsidR="00346E4D" w:rsidRPr="00FE25FF" w:rsidRDefault="00FE25FF" w:rsidP="00FE25FF">
      <w:pPr>
        <w:widowControl/>
        <w:spacing w:line="300" w:lineRule="auto"/>
        <w:ind w:firstLineChars="100" w:firstLine="240"/>
        <w:rPr>
          <w:rFonts w:ascii="Times New Roman" w:eastAsia="宋体" w:hAnsi="Times New Roman" w:cs="Times New Roman"/>
          <w:sz w:val="24"/>
          <w:szCs w:val="24"/>
        </w:rPr>
      </w:pPr>
      <w:r w:rsidRPr="00FE25FF">
        <w:rPr>
          <w:rFonts w:ascii="Times New Roman" w:eastAsia="宋体" w:hAnsi="Times New Roman" w:cs="Times New Roman"/>
          <w:sz w:val="24"/>
          <w:szCs w:val="24"/>
        </w:rPr>
        <w:t>Baseline clinical characteristics at T0 were compared between follow</w:t>
      </w:r>
      <w:r w:rsidRPr="00FE25FF">
        <w:rPr>
          <w:rFonts w:ascii="Times New Roman" w:eastAsia="宋体" w:hAnsi="Times New Roman" w:cs="Times New Roman"/>
          <w:sz w:val="24"/>
          <w:szCs w:val="24"/>
        </w:rPr>
        <w:noBreakHyphen/>
        <w:t>up completers and dropouts. Clinical variables including age, gender, MMO, joint noises, ICL, and multiple TMD</w:t>
      </w:r>
      <w:r w:rsidRPr="00FE25FF">
        <w:rPr>
          <w:rFonts w:ascii="Times New Roman" w:eastAsia="宋体" w:hAnsi="Times New Roman" w:cs="Times New Roman"/>
          <w:sz w:val="24"/>
          <w:szCs w:val="24"/>
        </w:rPr>
        <w:noBreakHyphen/>
        <w:t>related symptoms were analy</w:t>
      </w:r>
      <w:r>
        <w:rPr>
          <w:rFonts w:ascii="Times New Roman" w:eastAsia="宋体" w:hAnsi="Times New Roman" w:cs="Times New Roman" w:hint="eastAsia"/>
          <w:sz w:val="24"/>
          <w:szCs w:val="24"/>
        </w:rPr>
        <w:t>z</w:t>
      </w:r>
      <w:r w:rsidRPr="00FE25FF">
        <w:rPr>
          <w:rFonts w:ascii="Times New Roman" w:eastAsia="宋体" w:hAnsi="Times New Roman" w:cs="Times New Roman"/>
          <w:sz w:val="24"/>
          <w:szCs w:val="24"/>
        </w:rPr>
        <w:t xml:space="preserve">ed, with corresponding </w:t>
      </w:r>
      <w:r w:rsidRPr="00FE25FF">
        <w:rPr>
          <w:rFonts w:ascii="Times New Roman" w:eastAsia="宋体" w:hAnsi="Times New Roman" w:cs="Times New Roman"/>
          <w:i/>
          <w:iCs/>
          <w:sz w:val="24"/>
          <w:szCs w:val="24"/>
        </w:rPr>
        <w:t>p</w:t>
      </w:r>
      <w:r w:rsidRPr="00FE25FF">
        <w:rPr>
          <w:rFonts w:ascii="Times New Roman" w:eastAsia="宋体" w:hAnsi="Times New Roman" w:cs="Times New Roman"/>
          <w:sz w:val="24"/>
          <w:szCs w:val="24"/>
        </w:rPr>
        <w:t xml:space="preserve"> values calculated to evaluate potential selection bias due to participant attrition (</w:t>
      </w:r>
      <w:r w:rsidRPr="00FE25FF">
        <w:rPr>
          <w:rFonts w:ascii="Times New Roman" w:eastAsia="宋体" w:hAnsi="Times New Roman" w:cs="Times New Roman"/>
          <w:b/>
          <w:bCs/>
          <w:sz w:val="24"/>
          <w:szCs w:val="24"/>
        </w:rPr>
        <w:t>Supplementary</w:t>
      </w:r>
      <w:r w:rsidRPr="00FE25FF">
        <w:rPr>
          <w:rFonts w:ascii="Times New Roman" w:eastAsia="宋体" w:hAnsi="Times New Roman" w:cs="Times New Roman"/>
          <w:sz w:val="24"/>
          <w:szCs w:val="24"/>
        </w:rPr>
        <w:t xml:space="preserve"> </w:t>
      </w:r>
      <w:r w:rsidRPr="00FE25FF">
        <w:rPr>
          <w:rFonts w:ascii="Times New Roman" w:eastAsia="宋体" w:hAnsi="Times New Roman" w:cs="Times New Roman"/>
          <w:b/>
          <w:bCs/>
          <w:sz w:val="24"/>
          <w:szCs w:val="24"/>
        </w:rPr>
        <w:t>Table 1</w:t>
      </w:r>
      <w:r w:rsidRPr="00FE25FF">
        <w:rPr>
          <w:rFonts w:ascii="Times New Roman" w:eastAsia="宋体" w:hAnsi="Times New Roman" w:cs="Times New Roman"/>
          <w:sz w:val="24"/>
          <w:szCs w:val="24"/>
        </w:rPr>
        <w:t>).</w:t>
      </w:r>
    </w:p>
    <w:p w14:paraId="38736BFB" w14:textId="698CBF13" w:rsidR="00085DC5" w:rsidRDefault="00346E4D">
      <w:pPr>
        <w:spacing w:line="300" w:lineRule="auto"/>
        <w:jc w:val="center"/>
        <w:outlineLvl w:val="1"/>
        <w:rPr>
          <w:rFonts w:ascii="Times New Roman" w:eastAsia="宋体" w:hAnsi="Times New Roman" w:cs="Times New Roman"/>
          <w:b/>
          <w:bCs/>
          <w:sz w:val="24"/>
          <w:szCs w:val="24"/>
          <w:lang w:bidi="ar"/>
        </w:rPr>
      </w:pPr>
      <w:r w:rsidRPr="00346E4D">
        <w:rPr>
          <w:rFonts w:ascii="Times New Roman" w:eastAsia="宋体" w:hAnsi="Times New Roman" w:cs="Times New Roman"/>
          <w:b/>
          <w:bCs/>
          <w:sz w:val="24"/>
          <w:szCs w:val="24"/>
          <w:lang w:bidi="ar"/>
        </w:rPr>
        <w:t>Supplementary</w:t>
      </w:r>
      <w:r>
        <w:rPr>
          <w:rFonts w:ascii="Times New Roman" w:eastAsia="宋体" w:hAnsi="Times New Roman" w:cs="Times New Roman"/>
          <w:b/>
          <w:bCs/>
          <w:sz w:val="24"/>
          <w:szCs w:val="24"/>
          <w:lang w:bidi="ar"/>
        </w:rPr>
        <w:t xml:space="preserve"> Table </w:t>
      </w:r>
      <w:r>
        <w:rPr>
          <w:rFonts w:ascii="Times New Roman" w:eastAsia="宋体" w:hAnsi="Times New Roman" w:cs="Times New Roman" w:hint="eastAsia"/>
          <w:b/>
          <w:bCs/>
          <w:sz w:val="24"/>
          <w:szCs w:val="24"/>
          <w:lang w:bidi="ar"/>
        </w:rPr>
        <w:t>1</w:t>
      </w:r>
      <w:r>
        <w:rPr>
          <w:rFonts w:ascii="Times New Roman" w:eastAsia="宋体" w:hAnsi="Times New Roman" w:cs="Times New Roman"/>
          <w:b/>
          <w:bCs/>
          <w:sz w:val="24"/>
          <w:szCs w:val="24"/>
          <w:lang w:bidi="ar"/>
        </w:rPr>
        <w:t>. Comparison of baseline (T0) characteristics between completers and dropouts at the T3 assessment</w:t>
      </w:r>
    </w:p>
    <w:tbl>
      <w:tblPr>
        <w:tblW w:w="8692" w:type="dxa"/>
        <w:tblInd w:w="-67" w:type="dxa"/>
        <w:tblLayout w:type="fixed"/>
        <w:tblLook w:val="04A0" w:firstRow="1" w:lastRow="0" w:firstColumn="1" w:lastColumn="0" w:noHBand="0" w:noVBand="1"/>
      </w:tblPr>
      <w:tblGrid>
        <w:gridCol w:w="3808"/>
        <w:gridCol w:w="1628"/>
        <w:gridCol w:w="1628"/>
        <w:gridCol w:w="1628"/>
      </w:tblGrid>
      <w:tr w:rsidR="00085DC5" w14:paraId="0AED581A" w14:textId="77777777">
        <w:trPr>
          <w:trHeight w:val="711"/>
        </w:trPr>
        <w:tc>
          <w:tcPr>
            <w:tcW w:w="3808" w:type="dxa"/>
            <w:tcBorders>
              <w:top w:val="single" w:sz="12" w:space="0" w:color="000000"/>
              <w:left w:val="nil"/>
              <w:bottom w:val="single" w:sz="4" w:space="0" w:color="000000"/>
              <w:right w:val="nil"/>
            </w:tcBorders>
          </w:tcPr>
          <w:p w14:paraId="3F025A85" w14:textId="77777777" w:rsidR="00085DC5" w:rsidRDefault="00000000">
            <w:pPr>
              <w:spacing w:line="300" w:lineRule="auto"/>
              <w:outlineLvl w:val="1"/>
              <w:rPr>
                <w:rFonts w:ascii="Times New Roman" w:eastAsia="宋体" w:hAnsi="Times New Roman" w:cs="Times New Roman"/>
                <w:b/>
                <w:bCs/>
                <w:sz w:val="24"/>
                <w:szCs w:val="24"/>
                <w:lang w:bidi="ar"/>
              </w:rPr>
            </w:pPr>
            <w:r>
              <w:rPr>
                <w:rFonts w:ascii="Times New Roman" w:eastAsia="宋体" w:hAnsi="Times New Roman" w:cs="Times New Roman"/>
                <w:b/>
                <w:bCs/>
                <w:sz w:val="24"/>
                <w:szCs w:val="24"/>
                <w:lang w:bidi="ar"/>
              </w:rPr>
              <w:t>Parameter</w:t>
            </w:r>
          </w:p>
        </w:tc>
        <w:tc>
          <w:tcPr>
            <w:tcW w:w="1628" w:type="dxa"/>
            <w:tcBorders>
              <w:top w:val="single" w:sz="12" w:space="0" w:color="000000"/>
              <w:left w:val="nil"/>
              <w:bottom w:val="single" w:sz="4" w:space="0" w:color="000000"/>
              <w:right w:val="nil"/>
            </w:tcBorders>
          </w:tcPr>
          <w:p w14:paraId="58576E17" w14:textId="77777777" w:rsidR="00085DC5" w:rsidRDefault="00000000">
            <w:pPr>
              <w:spacing w:line="300" w:lineRule="auto"/>
              <w:outlineLvl w:val="1"/>
              <w:rPr>
                <w:rFonts w:ascii="Times New Roman" w:eastAsia="宋体" w:hAnsi="Times New Roman" w:cs="Times New Roman"/>
                <w:b/>
                <w:bCs/>
                <w:sz w:val="24"/>
                <w:szCs w:val="24"/>
                <w:lang w:bidi="ar"/>
              </w:rPr>
            </w:pPr>
            <w:r>
              <w:rPr>
                <w:rFonts w:ascii="Times New Roman" w:eastAsia="宋体" w:hAnsi="Times New Roman" w:cs="Times New Roman"/>
                <w:b/>
                <w:bCs/>
                <w:sz w:val="24"/>
                <w:szCs w:val="24"/>
                <w:lang w:bidi="ar"/>
              </w:rPr>
              <w:t xml:space="preserve">Completers </w:t>
            </w:r>
          </w:p>
          <w:p w14:paraId="2D275707" w14:textId="77777777" w:rsidR="00085DC5" w:rsidRDefault="00000000">
            <w:pPr>
              <w:spacing w:line="300" w:lineRule="auto"/>
              <w:outlineLvl w:val="1"/>
              <w:rPr>
                <w:rFonts w:ascii="Times New Roman" w:eastAsia="宋体" w:hAnsi="Times New Roman" w:cs="Times New Roman"/>
                <w:b/>
                <w:bCs/>
                <w:sz w:val="24"/>
                <w:szCs w:val="24"/>
                <w:lang w:bidi="ar"/>
              </w:rPr>
            </w:pPr>
            <w:r>
              <w:rPr>
                <w:rFonts w:ascii="Times New Roman" w:eastAsia="宋体" w:hAnsi="Times New Roman" w:cs="Times New Roman"/>
                <w:b/>
                <w:bCs/>
                <w:sz w:val="24"/>
                <w:szCs w:val="24"/>
                <w:lang w:bidi="ar"/>
              </w:rPr>
              <w:t>(n = 37)</w:t>
            </w:r>
          </w:p>
        </w:tc>
        <w:tc>
          <w:tcPr>
            <w:tcW w:w="1628" w:type="dxa"/>
            <w:tcBorders>
              <w:top w:val="single" w:sz="12" w:space="0" w:color="000000"/>
              <w:left w:val="nil"/>
              <w:bottom w:val="single" w:sz="4" w:space="0" w:color="000000"/>
              <w:right w:val="nil"/>
            </w:tcBorders>
          </w:tcPr>
          <w:p w14:paraId="594265E2" w14:textId="77777777" w:rsidR="00085DC5" w:rsidRDefault="00000000">
            <w:pPr>
              <w:spacing w:line="300" w:lineRule="auto"/>
              <w:outlineLvl w:val="1"/>
              <w:rPr>
                <w:rFonts w:ascii="Times New Roman" w:eastAsia="宋体" w:hAnsi="Times New Roman" w:cs="Times New Roman"/>
                <w:b/>
                <w:bCs/>
                <w:sz w:val="24"/>
                <w:szCs w:val="24"/>
                <w:lang w:bidi="ar"/>
              </w:rPr>
            </w:pPr>
            <w:r>
              <w:rPr>
                <w:rFonts w:ascii="Times New Roman" w:eastAsia="宋体" w:hAnsi="Times New Roman" w:cs="Times New Roman"/>
                <w:b/>
                <w:bCs/>
                <w:sz w:val="24"/>
                <w:szCs w:val="24"/>
                <w:lang w:bidi="ar"/>
              </w:rPr>
              <w:t xml:space="preserve">Dropouts </w:t>
            </w:r>
          </w:p>
          <w:p w14:paraId="634B6DBC" w14:textId="77777777" w:rsidR="00085DC5" w:rsidRDefault="00000000">
            <w:pPr>
              <w:spacing w:line="300" w:lineRule="auto"/>
              <w:outlineLvl w:val="1"/>
              <w:rPr>
                <w:rFonts w:ascii="Times New Roman" w:eastAsia="宋体" w:hAnsi="Times New Roman" w:cs="Times New Roman"/>
                <w:b/>
                <w:bCs/>
                <w:sz w:val="24"/>
                <w:szCs w:val="24"/>
                <w:lang w:bidi="ar"/>
              </w:rPr>
            </w:pPr>
            <w:r>
              <w:rPr>
                <w:rFonts w:ascii="Times New Roman" w:eastAsia="宋体" w:hAnsi="Times New Roman" w:cs="Times New Roman"/>
                <w:b/>
                <w:bCs/>
                <w:sz w:val="24"/>
                <w:szCs w:val="24"/>
                <w:lang w:bidi="ar"/>
              </w:rPr>
              <w:t>(n = 11)</w:t>
            </w:r>
          </w:p>
        </w:tc>
        <w:tc>
          <w:tcPr>
            <w:tcW w:w="1628" w:type="dxa"/>
            <w:tcBorders>
              <w:top w:val="single" w:sz="12" w:space="0" w:color="000000"/>
              <w:left w:val="nil"/>
              <w:bottom w:val="single" w:sz="4" w:space="0" w:color="000000"/>
              <w:right w:val="nil"/>
            </w:tcBorders>
          </w:tcPr>
          <w:p w14:paraId="5FBDAEF2" w14:textId="77777777" w:rsidR="00085DC5" w:rsidRDefault="00000000">
            <w:pPr>
              <w:spacing w:line="300" w:lineRule="auto"/>
              <w:outlineLvl w:val="1"/>
              <w:rPr>
                <w:rFonts w:ascii="Times New Roman" w:eastAsia="宋体" w:hAnsi="Times New Roman" w:cs="Times New Roman"/>
                <w:b/>
                <w:bCs/>
                <w:sz w:val="24"/>
                <w:szCs w:val="24"/>
                <w:lang w:bidi="ar"/>
              </w:rPr>
            </w:pPr>
            <w:r>
              <w:rPr>
                <w:rFonts w:ascii="Times New Roman" w:eastAsia="宋体" w:hAnsi="Times New Roman" w:cs="Times New Roman" w:hint="eastAsia"/>
                <w:b/>
                <w:bCs/>
                <w:i/>
                <w:iCs/>
                <w:sz w:val="24"/>
                <w:szCs w:val="24"/>
                <w:lang w:bidi="ar"/>
              </w:rPr>
              <w:t>p</w:t>
            </w:r>
          </w:p>
        </w:tc>
      </w:tr>
      <w:tr w:rsidR="00085DC5" w14:paraId="19ED6342" w14:textId="77777777">
        <w:trPr>
          <w:trHeight w:val="385"/>
        </w:trPr>
        <w:tc>
          <w:tcPr>
            <w:tcW w:w="3808" w:type="dxa"/>
            <w:tcBorders>
              <w:top w:val="single" w:sz="4" w:space="0" w:color="000000"/>
              <w:left w:val="nil"/>
              <w:bottom w:val="nil"/>
              <w:right w:val="nil"/>
            </w:tcBorders>
          </w:tcPr>
          <w:p w14:paraId="4E599D49"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Age</w:t>
            </w:r>
          </w:p>
        </w:tc>
        <w:tc>
          <w:tcPr>
            <w:tcW w:w="1628" w:type="dxa"/>
            <w:tcBorders>
              <w:top w:val="single" w:sz="4" w:space="0" w:color="000000"/>
              <w:left w:val="nil"/>
              <w:bottom w:val="nil"/>
              <w:right w:val="nil"/>
            </w:tcBorders>
          </w:tcPr>
          <w:p w14:paraId="5EF3CA11"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15.99 ± 1.83</w:t>
            </w:r>
          </w:p>
        </w:tc>
        <w:tc>
          <w:tcPr>
            <w:tcW w:w="1628" w:type="dxa"/>
            <w:tcBorders>
              <w:top w:val="single" w:sz="4" w:space="0" w:color="000000"/>
              <w:left w:val="nil"/>
              <w:bottom w:val="nil"/>
              <w:right w:val="nil"/>
            </w:tcBorders>
          </w:tcPr>
          <w:p w14:paraId="499BD221"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15.32 ± 1.79</w:t>
            </w:r>
          </w:p>
        </w:tc>
        <w:tc>
          <w:tcPr>
            <w:tcW w:w="1628" w:type="dxa"/>
            <w:tcBorders>
              <w:top w:val="single" w:sz="4" w:space="0" w:color="000000"/>
              <w:left w:val="nil"/>
              <w:bottom w:val="nil"/>
              <w:right w:val="nil"/>
            </w:tcBorders>
          </w:tcPr>
          <w:p w14:paraId="79D921AA"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0.286</w:t>
            </w:r>
          </w:p>
        </w:tc>
      </w:tr>
      <w:tr w:rsidR="00085DC5" w14:paraId="31B5025B" w14:textId="77777777">
        <w:trPr>
          <w:trHeight w:val="385"/>
        </w:trPr>
        <w:tc>
          <w:tcPr>
            <w:tcW w:w="3808" w:type="dxa"/>
            <w:tcBorders>
              <w:top w:val="nil"/>
              <w:left w:val="nil"/>
              <w:bottom w:val="single" w:sz="4" w:space="0" w:color="auto"/>
              <w:right w:val="nil"/>
            </w:tcBorders>
          </w:tcPr>
          <w:p w14:paraId="43058F0D"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Gender (Female)</w:t>
            </w:r>
          </w:p>
        </w:tc>
        <w:tc>
          <w:tcPr>
            <w:tcW w:w="1628" w:type="dxa"/>
            <w:tcBorders>
              <w:top w:val="nil"/>
              <w:left w:val="nil"/>
              <w:bottom w:val="single" w:sz="4" w:space="0" w:color="auto"/>
              <w:right w:val="nil"/>
            </w:tcBorders>
          </w:tcPr>
          <w:p w14:paraId="474DC8C7"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30</w:t>
            </w:r>
          </w:p>
        </w:tc>
        <w:tc>
          <w:tcPr>
            <w:tcW w:w="1628" w:type="dxa"/>
            <w:tcBorders>
              <w:top w:val="nil"/>
              <w:left w:val="nil"/>
              <w:bottom w:val="single" w:sz="4" w:space="0" w:color="auto"/>
              <w:right w:val="nil"/>
            </w:tcBorders>
          </w:tcPr>
          <w:p w14:paraId="0E1C5915"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6</w:t>
            </w:r>
          </w:p>
        </w:tc>
        <w:tc>
          <w:tcPr>
            <w:tcW w:w="1628" w:type="dxa"/>
            <w:tcBorders>
              <w:top w:val="nil"/>
              <w:left w:val="nil"/>
              <w:bottom w:val="single" w:sz="4" w:space="0" w:color="auto"/>
              <w:right w:val="nil"/>
            </w:tcBorders>
          </w:tcPr>
          <w:p w14:paraId="7092257C"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0.113</w:t>
            </w:r>
          </w:p>
        </w:tc>
      </w:tr>
      <w:tr w:rsidR="00085DC5" w14:paraId="23E4FE7E" w14:textId="77777777">
        <w:trPr>
          <w:trHeight w:val="445"/>
        </w:trPr>
        <w:tc>
          <w:tcPr>
            <w:tcW w:w="3808" w:type="dxa"/>
            <w:tcBorders>
              <w:top w:val="single" w:sz="4" w:space="0" w:color="auto"/>
              <w:left w:val="nil"/>
              <w:bottom w:val="nil"/>
              <w:right w:val="nil"/>
            </w:tcBorders>
          </w:tcPr>
          <w:p w14:paraId="08281DBA"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MMO</w:t>
            </w:r>
          </w:p>
        </w:tc>
        <w:tc>
          <w:tcPr>
            <w:tcW w:w="1628" w:type="dxa"/>
            <w:tcBorders>
              <w:top w:val="single" w:sz="4" w:space="0" w:color="auto"/>
              <w:left w:val="nil"/>
              <w:bottom w:val="nil"/>
              <w:right w:val="nil"/>
            </w:tcBorders>
          </w:tcPr>
          <w:p w14:paraId="060912AF"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42.89 ± 7.60</w:t>
            </w:r>
          </w:p>
        </w:tc>
        <w:tc>
          <w:tcPr>
            <w:tcW w:w="1628" w:type="dxa"/>
            <w:tcBorders>
              <w:top w:val="single" w:sz="4" w:space="0" w:color="auto"/>
              <w:left w:val="nil"/>
              <w:bottom w:val="nil"/>
              <w:right w:val="nil"/>
            </w:tcBorders>
          </w:tcPr>
          <w:p w14:paraId="251E7A33"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49.45 ± 7.81</w:t>
            </w:r>
          </w:p>
        </w:tc>
        <w:tc>
          <w:tcPr>
            <w:tcW w:w="1628" w:type="dxa"/>
            <w:tcBorders>
              <w:top w:val="single" w:sz="4" w:space="0" w:color="auto"/>
              <w:left w:val="nil"/>
              <w:bottom w:val="nil"/>
              <w:right w:val="nil"/>
            </w:tcBorders>
          </w:tcPr>
          <w:p w14:paraId="1D42B9F7"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b/>
                <w:bCs/>
                <w:sz w:val="24"/>
                <w:szCs w:val="24"/>
                <w:lang w:bidi="ar"/>
              </w:rPr>
              <w:t>0.016</w:t>
            </w:r>
            <w:r>
              <w:rPr>
                <w:rFonts w:ascii="Times New Roman" w:eastAsia="宋体" w:hAnsi="Times New Roman" w:cs="Times New Roman"/>
                <w:sz w:val="24"/>
                <w:szCs w:val="24"/>
                <w:lang w:bidi="ar"/>
              </w:rPr>
              <w:t>*</w:t>
            </w:r>
          </w:p>
        </w:tc>
      </w:tr>
      <w:tr w:rsidR="00085DC5" w14:paraId="383F533E" w14:textId="77777777">
        <w:trPr>
          <w:trHeight w:val="445"/>
        </w:trPr>
        <w:tc>
          <w:tcPr>
            <w:tcW w:w="3808" w:type="dxa"/>
            <w:tcBorders>
              <w:top w:val="nil"/>
              <w:left w:val="nil"/>
              <w:bottom w:val="nil"/>
              <w:right w:val="nil"/>
            </w:tcBorders>
          </w:tcPr>
          <w:p w14:paraId="2303DF5F"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Joint noises (positive)</w:t>
            </w:r>
          </w:p>
        </w:tc>
        <w:tc>
          <w:tcPr>
            <w:tcW w:w="1628" w:type="dxa"/>
            <w:tcBorders>
              <w:top w:val="nil"/>
              <w:left w:val="nil"/>
              <w:bottom w:val="nil"/>
              <w:right w:val="nil"/>
            </w:tcBorders>
          </w:tcPr>
          <w:p w14:paraId="669D10CF"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23</w:t>
            </w:r>
          </w:p>
        </w:tc>
        <w:tc>
          <w:tcPr>
            <w:tcW w:w="1628" w:type="dxa"/>
            <w:tcBorders>
              <w:top w:val="nil"/>
              <w:left w:val="nil"/>
              <w:bottom w:val="nil"/>
              <w:right w:val="nil"/>
            </w:tcBorders>
          </w:tcPr>
          <w:p w14:paraId="329AB21D"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8</w:t>
            </w:r>
          </w:p>
        </w:tc>
        <w:tc>
          <w:tcPr>
            <w:tcW w:w="1628" w:type="dxa"/>
            <w:tcBorders>
              <w:top w:val="nil"/>
              <w:left w:val="nil"/>
              <w:bottom w:val="nil"/>
              <w:right w:val="nil"/>
            </w:tcBorders>
          </w:tcPr>
          <w:p w14:paraId="73AFBF00"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0.723</w:t>
            </w:r>
          </w:p>
        </w:tc>
      </w:tr>
      <w:tr w:rsidR="00085DC5" w14:paraId="4AF5D398" w14:textId="77777777">
        <w:trPr>
          <w:trHeight w:val="445"/>
        </w:trPr>
        <w:tc>
          <w:tcPr>
            <w:tcW w:w="3808" w:type="dxa"/>
            <w:tcBorders>
              <w:top w:val="nil"/>
              <w:left w:val="nil"/>
              <w:bottom w:val="nil"/>
              <w:right w:val="nil"/>
            </w:tcBorders>
          </w:tcPr>
          <w:p w14:paraId="70694F42"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ICL (positive)</w:t>
            </w:r>
          </w:p>
        </w:tc>
        <w:tc>
          <w:tcPr>
            <w:tcW w:w="1628" w:type="dxa"/>
            <w:tcBorders>
              <w:top w:val="nil"/>
              <w:left w:val="nil"/>
              <w:bottom w:val="nil"/>
              <w:right w:val="nil"/>
            </w:tcBorders>
          </w:tcPr>
          <w:p w14:paraId="131279BC"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2</w:t>
            </w:r>
          </w:p>
        </w:tc>
        <w:tc>
          <w:tcPr>
            <w:tcW w:w="1628" w:type="dxa"/>
            <w:tcBorders>
              <w:top w:val="nil"/>
              <w:left w:val="nil"/>
              <w:bottom w:val="nil"/>
              <w:right w:val="nil"/>
            </w:tcBorders>
          </w:tcPr>
          <w:p w14:paraId="46D4E45C"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0</w:t>
            </w:r>
          </w:p>
        </w:tc>
        <w:tc>
          <w:tcPr>
            <w:tcW w:w="1628" w:type="dxa"/>
            <w:tcBorders>
              <w:top w:val="nil"/>
              <w:left w:val="nil"/>
              <w:bottom w:val="nil"/>
              <w:right w:val="nil"/>
            </w:tcBorders>
          </w:tcPr>
          <w:p w14:paraId="704966B3"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1.000</w:t>
            </w:r>
          </w:p>
        </w:tc>
      </w:tr>
      <w:tr w:rsidR="00085DC5" w14:paraId="736C1305" w14:textId="77777777">
        <w:trPr>
          <w:trHeight w:val="445"/>
        </w:trPr>
        <w:tc>
          <w:tcPr>
            <w:tcW w:w="3808" w:type="dxa"/>
            <w:tcBorders>
              <w:top w:val="nil"/>
              <w:left w:val="nil"/>
              <w:bottom w:val="nil"/>
              <w:right w:val="nil"/>
            </w:tcBorders>
          </w:tcPr>
          <w:p w14:paraId="53C33DB7"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Spontaneous pain(positive)</w:t>
            </w:r>
          </w:p>
        </w:tc>
        <w:tc>
          <w:tcPr>
            <w:tcW w:w="1628" w:type="dxa"/>
            <w:tcBorders>
              <w:top w:val="nil"/>
              <w:left w:val="nil"/>
              <w:bottom w:val="nil"/>
              <w:right w:val="nil"/>
            </w:tcBorders>
          </w:tcPr>
          <w:p w14:paraId="04238AF9"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12</w:t>
            </w:r>
          </w:p>
        </w:tc>
        <w:tc>
          <w:tcPr>
            <w:tcW w:w="1628" w:type="dxa"/>
            <w:tcBorders>
              <w:top w:val="nil"/>
              <w:left w:val="nil"/>
              <w:bottom w:val="nil"/>
              <w:right w:val="nil"/>
            </w:tcBorders>
          </w:tcPr>
          <w:p w14:paraId="62971EBD"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3</w:t>
            </w:r>
          </w:p>
        </w:tc>
        <w:tc>
          <w:tcPr>
            <w:tcW w:w="1628" w:type="dxa"/>
            <w:tcBorders>
              <w:top w:val="nil"/>
              <w:left w:val="nil"/>
              <w:bottom w:val="nil"/>
              <w:right w:val="nil"/>
            </w:tcBorders>
          </w:tcPr>
          <w:p w14:paraId="5A831FE9"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1.000</w:t>
            </w:r>
          </w:p>
        </w:tc>
      </w:tr>
      <w:tr w:rsidR="00085DC5" w14:paraId="2DAA3278" w14:textId="77777777">
        <w:trPr>
          <w:trHeight w:val="445"/>
        </w:trPr>
        <w:tc>
          <w:tcPr>
            <w:tcW w:w="3808" w:type="dxa"/>
            <w:tcBorders>
              <w:top w:val="nil"/>
              <w:left w:val="nil"/>
              <w:bottom w:val="nil"/>
              <w:right w:val="nil"/>
            </w:tcBorders>
          </w:tcPr>
          <w:p w14:paraId="14229DCE"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Muscle pain (positive)</w:t>
            </w:r>
          </w:p>
        </w:tc>
        <w:tc>
          <w:tcPr>
            <w:tcW w:w="1628" w:type="dxa"/>
            <w:tcBorders>
              <w:top w:val="nil"/>
              <w:left w:val="nil"/>
              <w:bottom w:val="nil"/>
              <w:right w:val="nil"/>
            </w:tcBorders>
          </w:tcPr>
          <w:p w14:paraId="0F0CAC66"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3</w:t>
            </w:r>
          </w:p>
        </w:tc>
        <w:tc>
          <w:tcPr>
            <w:tcW w:w="1628" w:type="dxa"/>
            <w:tcBorders>
              <w:top w:val="nil"/>
              <w:left w:val="nil"/>
              <w:bottom w:val="nil"/>
              <w:right w:val="nil"/>
            </w:tcBorders>
          </w:tcPr>
          <w:p w14:paraId="743E803F"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1</w:t>
            </w:r>
          </w:p>
        </w:tc>
        <w:tc>
          <w:tcPr>
            <w:tcW w:w="1628" w:type="dxa"/>
            <w:tcBorders>
              <w:top w:val="nil"/>
              <w:left w:val="nil"/>
              <w:bottom w:val="nil"/>
              <w:right w:val="nil"/>
            </w:tcBorders>
          </w:tcPr>
          <w:p w14:paraId="1CCADDC3"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1.000</w:t>
            </w:r>
          </w:p>
        </w:tc>
      </w:tr>
      <w:tr w:rsidR="00085DC5" w14:paraId="203D4897" w14:textId="77777777">
        <w:trPr>
          <w:trHeight w:val="445"/>
        </w:trPr>
        <w:tc>
          <w:tcPr>
            <w:tcW w:w="3808" w:type="dxa"/>
            <w:tcBorders>
              <w:top w:val="nil"/>
              <w:left w:val="nil"/>
              <w:bottom w:val="nil"/>
              <w:right w:val="nil"/>
            </w:tcBorders>
          </w:tcPr>
          <w:p w14:paraId="755EFB02"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 xml:space="preserve">Joint tenderness (positive) </w:t>
            </w:r>
          </w:p>
        </w:tc>
        <w:tc>
          <w:tcPr>
            <w:tcW w:w="1628" w:type="dxa"/>
            <w:tcBorders>
              <w:top w:val="nil"/>
              <w:left w:val="nil"/>
              <w:bottom w:val="nil"/>
              <w:right w:val="nil"/>
            </w:tcBorders>
          </w:tcPr>
          <w:p w14:paraId="57D07EA0"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9</w:t>
            </w:r>
          </w:p>
        </w:tc>
        <w:tc>
          <w:tcPr>
            <w:tcW w:w="1628" w:type="dxa"/>
            <w:tcBorders>
              <w:top w:val="nil"/>
              <w:left w:val="nil"/>
              <w:bottom w:val="nil"/>
              <w:right w:val="nil"/>
            </w:tcBorders>
          </w:tcPr>
          <w:p w14:paraId="7496A68D"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2</w:t>
            </w:r>
          </w:p>
        </w:tc>
        <w:tc>
          <w:tcPr>
            <w:tcW w:w="1628" w:type="dxa"/>
            <w:tcBorders>
              <w:top w:val="nil"/>
              <w:left w:val="nil"/>
              <w:bottom w:val="nil"/>
              <w:right w:val="nil"/>
            </w:tcBorders>
          </w:tcPr>
          <w:p w14:paraId="528054AD"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1.000</w:t>
            </w:r>
          </w:p>
        </w:tc>
      </w:tr>
      <w:tr w:rsidR="00085DC5" w14:paraId="41640890" w14:textId="77777777">
        <w:trPr>
          <w:trHeight w:val="445"/>
        </w:trPr>
        <w:tc>
          <w:tcPr>
            <w:tcW w:w="3808" w:type="dxa"/>
            <w:tcBorders>
              <w:top w:val="nil"/>
              <w:left w:val="nil"/>
              <w:bottom w:val="nil"/>
              <w:right w:val="nil"/>
            </w:tcBorders>
          </w:tcPr>
          <w:p w14:paraId="6A16973A"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Push-back mandibular test (positive)</w:t>
            </w:r>
          </w:p>
        </w:tc>
        <w:tc>
          <w:tcPr>
            <w:tcW w:w="1628" w:type="dxa"/>
            <w:tcBorders>
              <w:top w:val="nil"/>
              <w:left w:val="nil"/>
              <w:bottom w:val="nil"/>
              <w:right w:val="nil"/>
            </w:tcBorders>
          </w:tcPr>
          <w:p w14:paraId="7FB48C1F"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3</w:t>
            </w:r>
          </w:p>
        </w:tc>
        <w:tc>
          <w:tcPr>
            <w:tcW w:w="1628" w:type="dxa"/>
            <w:tcBorders>
              <w:top w:val="nil"/>
              <w:left w:val="nil"/>
              <w:bottom w:val="nil"/>
              <w:right w:val="nil"/>
            </w:tcBorders>
          </w:tcPr>
          <w:p w14:paraId="4C706B5C"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3</w:t>
            </w:r>
          </w:p>
        </w:tc>
        <w:tc>
          <w:tcPr>
            <w:tcW w:w="1628" w:type="dxa"/>
            <w:tcBorders>
              <w:top w:val="nil"/>
              <w:left w:val="nil"/>
              <w:bottom w:val="nil"/>
              <w:right w:val="nil"/>
            </w:tcBorders>
          </w:tcPr>
          <w:p w14:paraId="0FD38A0F"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0.124</w:t>
            </w:r>
          </w:p>
        </w:tc>
      </w:tr>
      <w:tr w:rsidR="00085DC5" w14:paraId="228E40DB" w14:textId="77777777">
        <w:trPr>
          <w:trHeight w:val="380"/>
        </w:trPr>
        <w:tc>
          <w:tcPr>
            <w:tcW w:w="3808" w:type="dxa"/>
            <w:tcBorders>
              <w:top w:val="nil"/>
              <w:left w:val="nil"/>
              <w:bottom w:val="single" w:sz="12" w:space="0" w:color="000000"/>
              <w:right w:val="nil"/>
            </w:tcBorders>
          </w:tcPr>
          <w:p w14:paraId="35A94F1C" w14:textId="77777777" w:rsidR="00085DC5" w:rsidRDefault="00000000">
            <w:pPr>
              <w:spacing w:line="300" w:lineRule="auto"/>
              <w:outlineLvl w:val="1"/>
              <w:rPr>
                <w:rFonts w:ascii="Times New Roman" w:eastAsia="宋体" w:hAnsi="Times New Roman" w:cs="Times New Roman"/>
                <w:sz w:val="24"/>
                <w:szCs w:val="24"/>
                <w:highlight w:val="yellow"/>
                <w:lang w:bidi="ar"/>
              </w:rPr>
            </w:pPr>
            <w:r>
              <w:rPr>
                <w:rFonts w:ascii="Times New Roman" w:eastAsia="宋体" w:hAnsi="Times New Roman" w:cs="Times New Roman"/>
                <w:sz w:val="24"/>
                <w:szCs w:val="24"/>
                <w:lang w:bidi="ar"/>
              </w:rPr>
              <w:t>Mouth opening pattern (Straight)</w:t>
            </w:r>
          </w:p>
        </w:tc>
        <w:tc>
          <w:tcPr>
            <w:tcW w:w="1628" w:type="dxa"/>
            <w:tcBorders>
              <w:top w:val="nil"/>
              <w:left w:val="nil"/>
              <w:bottom w:val="single" w:sz="12" w:space="0" w:color="000000"/>
              <w:right w:val="nil"/>
            </w:tcBorders>
          </w:tcPr>
          <w:p w14:paraId="3B4CB3FF" w14:textId="77777777" w:rsidR="00085DC5" w:rsidRDefault="00000000">
            <w:pPr>
              <w:spacing w:line="300" w:lineRule="auto"/>
              <w:outlineLvl w:val="1"/>
              <w:rPr>
                <w:rFonts w:ascii="Times New Roman" w:eastAsia="宋体" w:hAnsi="Times New Roman" w:cs="Times New Roman"/>
                <w:sz w:val="24"/>
                <w:szCs w:val="24"/>
                <w:highlight w:val="yellow"/>
                <w:lang w:bidi="ar"/>
              </w:rPr>
            </w:pPr>
            <w:r>
              <w:rPr>
                <w:rFonts w:ascii="Times New Roman" w:eastAsia="宋体" w:hAnsi="Times New Roman" w:cs="Times New Roman"/>
                <w:sz w:val="24"/>
                <w:szCs w:val="24"/>
                <w:lang w:bidi="ar"/>
              </w:rPr>
              <w:t>26</w:t>
            </w:r>
          </w:p>
        </w:tc>
        <w:tc>
          <w:tcPr>
            <w:tcW w:w="1628" w:type="dxa"/>
            <w:tcBorders>
              <w:top w:val="nil"/>
              <w:left w:val="nil"/>
              <w:bottom w:val="single" w:sz="12" w:space="0" w:color="000000"/>
              <w:right w:val="nil"/>
            </w:tcBorders>
          </w:tcPr>
          <w:p w14:paraId="08A21AC7" w14:textId="77777777" w:rsidR="00085DC5" w:rsidRDefault="00000000">
            <w:pPr>
              <w:spacing w:line="300" w:lineRule="auto"/>
              <w:outlineLvl w:val="1"/>
              <w:rPr>
                <w:rFonts w:ascii="Times New Roman" w:eastAsia="宋体" w:hAnsi="Times New Roman" w:cs="Times New Roman"/>
                <w:sz w:val="24"/>
                <w:szCs w:val="24"/>
                <w:highlight w:val="yellow"/>
                <w:lang w:bidi="ar"/>
              </w:rPr>
            </w:pPr>
            <w:r>
              <w:rPr>
                <w:rFonts w:ascii="Times New Roman" w:eastAsia="宋体" w:hAnsi="Times New Roman" w:cs="Times New Roman"/>
                <w:sz w:val="24"/>
                <w:szCs w:val="24"/>
                <w:lang w:bidi="ar"/>
              </w:rPr>
              <w:t>8</w:t>
            </w:r>
          </w:p>
        </w:tc>
        <w:tc>
          <w:tcPr>
            <w:tcW w:w="1628" w:type="dxa"/>
            <w:tcBorders>
              <w:top w:val="nil"/>
              <w:left w:val="nil"/>
              <w:bottom w:val="single" w:sz="12" w:space="0" w:color="000000"/>
              <w:right w:val="nil"/>
            </w:tcBorders>
          </w:tcPr>
          <w:p w14:paraId="4DE9EF4D" w14:textId="77777777" w:rsidR="00085DC5" w:rsidRDefault="00000000">
            <w:pPr>
              <w:spacing w:line="300" w:lineRule="auto"/>
              <w:outlineLvl w:val="1"/>
              <w:rPr>
                <w:rFonts w:ascii="Times New Roman" w:eastAsia="宋体" w:hAnsi="Times New Roman" w:cs="Times New Roman"/>
                <w:sz w:val="24"/>
                <w:szCs w:val="24"/>
                <w:lang w:bidi="ar"/>
              </w:rPr>
            </w:pPr>
            <w:r>
              <w:rPr>
                <w:rFonts w:ascii="Times New Roman" w:eastAsia="宋体" w:hAnsi="Times New Roman" w:cs="Times New Roman"/>
                <w:sz w:val="24"/>
                <w:szCs w:val="24"/>
                <w:lang w:bidi="ar"/>
              </w:rPr>
              <w:t>1.000</w:t>
            </w:r>
          </w:p>
        </w:tc>
      </w:tr>
    </w:tbl>
    <w:p w14:paraId="465AC9E8" w14:textId="77777777" w:rsidR="00085DC5" w:rsidRDefault="00085DC5"/>
    <w:sectPr w:rsidR="00085DC5">
      <w:pgSz w:w="11906" w:h="16838"/>
      <w:pgMar w:top="1440" w:right="1800" w:bottom="1440" w:left="1800" w:header="851" w:footer="992" w:gutter="0"/>
      <w:cols w:space="425"/>
      <w:docGrid w:type="lines" w:linePitch="312"/>
    </w:sectPr>
  </w:body>
</w:document>
</file>

<file path=word/customizations.xml><?xml version="1.0" encoding="utf-8"?>
<wne:tcg xmlns:r="http://schemas.openxmlformats.org/officeDocument/2006/relationships" xmlns:wne="http://schemas.microsoft.com/office/word/2006/wordml">
  <wne:keymaps>
    <wne:keymap wne:kcmPrimary="044A">
      <wne:fci wne:fciName="Help"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12A63" w14:textId="77777777" w:rsidR="002A5A0D" w:rsidRDefault="002A5A0D" w:rsidP="00DB0815">
      <w:r>
        <w:separator/>
      </w:r>
    </w:p>
  </w:endnote>
  <w:endnote w:type="continuationSeparator" w:id="0">
    <w:p w14:paraId="7C6498AA" w14:textId="77777777" w:rsidR="002A5A0D" w:rsidRDefault="002A5A0D" w:rsidP="00DB0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E94D3" w14:textId="77777777" w:rsidR="002A5A0D" w:rsidRDefault="002A5A0D" w:rsidP="00DB0815">
      <w:r>
        <w:separator/>
      </w:r>
    </w:p>
  </w:footnote>
  <w:footnote w:type="continuationSeparator" w:id="0">
    <w:p w14:paraId="30D5D284" w14:textId="77777777" w:rsidR="002A5A0D" w:rsidRDefault="002A5A0D" w:rsidP="00DB08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C5"/>
    <w:rsid w:val="00085DC5"/>
    <w:rsid w:val="002A5A0D"/>
    <w:rsid w:val="00346E4D"/>
    <w:rsid w:val="00591030"/>
    <w:rsid w:val="00627692"/>
    <w:rsid w:val="006B515B"/>
    <w:rsid w:val="0074734A"/>
    <w:rsid w:val="00AC4040"/>
    <w:rsid w:val="00BD02FB"/>
    <w:rsid w:val="00D03DF9"/>
    <w:rsid w:val="00DB0815"/>
    <w:rsid w:val="00F4476D"/>
    <w:rsid w:val="00FE25FF"/>
    <w:rsid w:val="205E20E4"/>
    <w:rsid w:val="2387194A"/>
    <w:rsid w:val="4432137F"/>
    <w:rsid w:val="498705A3"/>
    <w:rsid w:val="5C14521D"/>
    <w:rsid w:val="763F74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7ED89D"/>
  <w15:docId w15:val="{FA40CCF3-0333-4CF4-B4CC-588E999EE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caption" w:semiHidden="1" w:unhideWhenUsed="1" w:qFormat="1"/>
    <w:lsdException w:name="annotation reference" w:semiHidden="1" w:uiPriority="99"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character" w:styleId="a4">
    <w:name w:val="annotation reference"/>
    <w:basedOn w:val="a0"/>
    <w:uiPriority w:val="99"/>
    <w:semiHidden/>
    <w:unhideWhenUsed/>
    <w:qFormat/>
    <w:rPr>
      <w:sz w:val="21"/>
      <w:szCs w:val="21"/>
    </w:rPr>
  </w:style>
  <w:style w:type="paragraph" w:styleId="a5">
    <w:name w:val="header"/>
    <w:basedOn w:val="a"/>
    <w:link w:val="a6"/>
    <w:rsid w:val="00DB0815"/>
    <w:pPr>
      <w:tabs>
        <w:tab w:val="center" w:pos="4153"/>
        <w:tab w:val="right" w:pos="8306"/>
      </w:tabs>
      <w:snapToGrid w:val="0"/>
      <w:jc w:val="center"/>
    </w:pPr>
    <w:rPr>
      <w:sz w:val="18"/>
      <w:szCs w:val="18"/>
    </w:rPr>
  </w:style>
  <w:style w:type="character" w:customStyle="1" w:styleId="a6">
    <w:name w:val="页眉 字符"/>
    <w:basedOn w:val="a0"/>
    <w:link w:val="a5"/>
    <w:rsid w:val="00DB0815"/>
    <w:rPr>
      <w:kern w:val="2"/>
      <w:sz w:val="18"/>
      <w:szCs w:val="18"/>
    </w:rPr>
  </w:style>
  <w:style w:type="paragraph" w:styleId="a7">
    <w:name w:val="footer"/>
    <w:basedOn w:val="a"/>
    <w:link w:val="a8"/>
    <w:rsid w:val="00DB0815"/>
    <w:pPr>
      <w:tabs>
        <w:tab w:val="center" w:pos="4153"/>
        <w:tab w:val="right" w:pos="8306"/>
      </w:tabs>
      <w:snapToGrid w:val="0"/>
      <w:jc w:val="left"/>
    </w:pPr>
    <w:rPr>
      <w:sz w:val="18"/>
      <w:szCs w:val="18"/>
    </w:rPr>
  </w:style>
  <w:style w:type="character" w:customStyle="1" w:styleId="a8">
    <w:name w:val="页脚 字符"/>
    <w:basedOn w:val="a0"/>
    <w:link w:val="a7"/>
    <w:rsid w:val="00DB0815"/>
    <w:rPr>
      <w:kern w:val="2"/>
      <w:sz w:val="18"/>
      <w:szCs w:val="18"/>
    </w:rPr>
  </w:style>
  <w:style w:type="paragraph" w:styleId="a9">
    <w:name w:val="List Paragraph"/>
    <w:basedOn w:val="a"/>
    <w:link w:val="aa"/>
    <w:uiPriority w:val="34"/>
    <w:qFormat/>
    <w:rsid w:val="00D03DF9"/>
    <w:pPr>
      <w:spacing w:after="160" w:line="278" w:lineRule="auto"/>
      <w:ind w:left="720"/>
      <w:contextualSpacing/>
    </w:pPr>
    <w:rPr>
      <w:szCs w:val="24"/>
    </w:rPr>
  </w:style>
  <w:style w:type="character" w:customStyle="1" w:styleId="aa">
    <w:name w:val="列表段落 字符"/>
    <w:basedOn w:val="a0"/>
    <w:link w:val="a9"/>
    <w:uiPriority w:val="34"/>
    <w:rsid w:val="00D03DF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542</Words>
  <Characters>3094</Characters>
  <Application>Microsoft Office Word</Application>
  <DocSecurity>0</DocSecurity>
  <Lines>25</Lines>
  <Paragraphs>7</Paragraphs>
  <ScaleCrop>false</ScaleCrop>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28147</dc:creator>
  <cp:lastModifiedBy>Yves Stan</cp:lastModifiedBy>
  <cp:revision>10</cp:revision>
  <dcterms:created xsi:type="dcterms:W3CDTF">2026-08-07T14:04:00Z</dcterms:created>
  <dcterms:modified xsi:type="dcterms:W3CDTF">2026-08-11T04:31:00Z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4ADEDED8455A4075BF45A4DC1A36647D_12</vt:lpwstr>
  </property>
  <property fmtid="{D5CDD505-2E9C-101B-9397-08002B2CF9AE}" pid="4" name="KSOTemplateDocerSaveRecord">
    <vt:lpwstr>eyJoZGlkIjoiYjJjOTQxYzhjODMyMDAzZmE0MDJkMWFkNmJlNDkwYTUiLCJ1c2VySWQiOiI1MzgyOTA4NDAifQ==</vt:lpwstr>
  </property>
</Properties>
</file>