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050FBC5" w:rsidP="6050FBC5" w:rsidRDefault="6050FBC5" w14:paraId="039315B9" w14:textId="3AE3FD4A">
      <w:pPr>
        <w:rPr>
          <w:b w:val="1"/>
          <w:bCs w:val="1"/>
          <w:lang w:val="en-US" w:eastAsia="pt-BR"/>
        </w:rPr>
      </w:pPr>
      <w:r w:rsidRPr="6050FBC5" w:rsidR="6050FBC5">
        <w:rPr>
          <w:b w:val="1"/>
          <w:bCs w:val="1"/>
          <w:lang w:val="en-US" w:eastAsia="pt-BR"/>
        </w:rPr>
        <w:t xml:space="preserve">Table 4. Links between </w:t>
      </w:r>
      <w:r w:rsidRPr="6050FBC5" w:rsidR="6050FBC5">
        <w:rPr>
          <w:b w:val="1"/>
          <w:bCs w:val="1"/>
          <w:lang w:val="en-US" w:eastAsia="pt-BR"/>
        </w:rPr>
        <w:t>Behaviour</w:t>
      </w:r>
      <w:r w:rsidRPr="6050FBC5" w:rsidR="6050FBC5">
        <w:rPr>
          <w:b w:val="1"/>
          <w:bCs w:val="1"/>
          <w:lang w:val="en-US" w:eastAsia="pt-BR"/>
        </w:rPr>
        <w:t xml:space="preserve"> Change Wheel (BCW), COM-B model, platform features, intervention functions, and the primary outcome for </w:t>
      </w:r>
      <w:r w:rsidRPr="6050FBC5" w:rsidR="6050FBC5">
        <w:rPr>
          <w:b w:val="1"/>
          <w:bCs w:val="1"/>
          <w:lang w:val="en-US" w:eastAsia="pt-BR"/>
        </w:rPr>
        <w:t>EviDent</w:t>
      </w:r>
      <w:r w:rsidRPr="6050FBC5" w:rsidR="6050FBC5">
        <w:rPr>
          <w:b w:val="1"/>
          <w:bCs w:val="1"/>
          <w:lang w:val="en-US" w:eastAsia="pt-BR"/>
        </w:rPr>
        <w:t xml:space="preserve"> platform intervention</w:t>
      </w:r>
    </w:p>
    <w:tbl>
      <w:tblPr>
        <w:tblStyle w:val="Tabelacomgrade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699"/>
        <w:gridCol w:w="4253"/>
        <w:gridCol w:w="1561"/>
      </w:tblGrid>
      <w:tr w:rsidRPr="005D2CDC" w:rsidR="005D2CDC" w:rsidTr="005D2CDC" w14:paraId="0A698893" w14:textId="77777777">
        <w:trPr>
          <w:trHeight w:val="907"/>
          <w:jc w:val="center"/>
        </w:trPr>
        <w:tc>
          <w:tcPr>
            <w:tcW w:w="1560" w:type="dxa"/>
            <w:vAlign w:val="center"/>
          </w:tcPr>
          <w:p w:rsidRPr="005D2CDC" w:rsidR="005D2CDC" w:rsidP="005D2CDC" w:rsidRDefault="005D2CDC" w14:paraId="7F7CA66A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Intervention function</w:t>
            </w:r>
          </w:p>
          <w:p w:rsidRPr="005D2CDC" w:rsidR="005D2CDC" w:rsidP="005D2CDC" w:rsidRDefault="005D2CDC" w14:paraId="6C092A1D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(BCW)</w:t>
            </w:r>
          </w:p>
        </w:tc>
        <w:tc>
          <w:tcPr>
            <w:tcW w:w="1275" w:type="dxa"/>
            <w:vAlign w:val="center"/>
          </w:tcPr>
          <w:p w:rsidRPr="005D2CDC" w:rsidR="005D2CDC" w:rsidP="005D2CDC" w:rsidRDefault="005D2CDC" w14:paraId="36A1933F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D2CDC">
              <w:rPr>
                <w:rFonts w:eastAsia="Calibri" w:cs="Times New Roman"/>
                <w:sz w:val="20"/>
                <w:szCs w:val="20"/>
              </w:rPr>
              <w:t xml:space="preserve">mApp </w:t>
            </w:r>
            <w:proofErr w:type="spellStart"/>
            <w:r w:rsidRPr="005D2CDC">
              <w:rPr>
                <w:rFonts w:eastAsia="Calibri" w:cs="Times New Roman"/>
                <w:sz w:val="20"/>
                <w:szCs w:val="20"/>
              </w:rPr>
              <w:t>feature</w:t>
            </w:r>
            <w:proofErr w:type="spellEnd"/>
          </w:p>
        </w:tc>
        <w:tc>
          <w:tcPr>
            <w:tcW w:w="1699" w:type="dxa"/>
            <w:vAlign w:val="center"/>
          </w:tcPr>
          <w:p w:rsidRPr="005D2CDC" w:rsidR="005D2CDC" w:rsidP="005D2CDC" w:rsidRDefault="005D2CDC" w14:paraId="6F9AA356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D2CDC">
              <w:rPr>
                <w:rFonts w:eastAsia="Calibri" w:cs="Times New Roman"/>
                <w:sz w:val="20"/>
                <w:szCs w:val="20"/>
              </w:rPr>
              <w:t xml:space="preserve">Behaviour </w:t>
            </w:r>
            <w:proofErr w:type="spellStart"/>
            <w:r w:rsidRPr="005D2CDC">
              <w:rPr>
                <w:rFonts w:eastAsia="Calibri" w:cs="Times New Roman"/>
                <w:sz w:val="20"/>
                <w:szCs w:val="20"/>
              </w:rPr>
              <w:t>Change</w:t>
            </w:r>
            <w:proofErr w:type="spellEnd"/>
            <w:r w:rsidRPr="005D2CD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5D2CDC">
              <w:rPr>
                <w:rFonts w:eastAsia="Calibri" w:cs="Times New Roman"/>
                <w:sz w:val="20"/>
                <w:szCs w:val="20"/>
              </w:rPr>
              <w:t>Technique</w:t>
            </w:r>
            <w:proofErr w:type="spellEnd"/>
          </w:p>
          <w:p w:rsidRPr="005D2CDC" w:rsidR="005D2CDC" w:rsidP="005D2CDC" w:rsidRDefault="005D2CDC" w14:paraId="1A791713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</w:rPr>
              <w:t>(BCTv1)</w:t>
            </w:r>
          </w:p>
        </w:tc>
        <w:tc>
          <w:tcPr>
            <w:tcW w:w="4253" w:type="dxa"/>
            <w:vAlign w:val="center"/>
          </w:tcPr>
          <w:p w:rsidRPr="005D2CDC" w:rsidR="005D2CDC" w:rsidP="005D2CDC" w:rsidRDefault="005D2CDC" w14:paraId="3276FF0E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Behavioral analysis</w:t>
            </w:r>
          </w:p>
          <w:p w:rsidRPr="005D2CDC" w:rsidR="005D2CDC" w:rsidP="005D2CDC" w:rsidRDefault="005D2CDC" w14:paraId="1A239D0C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(COM-B)</w:t>
            </w:r>
          </w:p>
        </w:tc>
        <w:tc>
          <w:tcPr>
            <w:tcW w:w="1561" w:type="dxa"/>
            <w:vAlign w:val="center"/>
          </w:tcPr>
          <w:p w:rsidRPr="005D2CDC" w:rsidR="005D2CDC" w:rsidP="005D2CDC" w:rsidRDefault="005D2CDC" w14:paraId="634C8A7B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proofErr w:type="spellStart"/>
            <w:r w:rsidRPr="005D2CDC">
              <w:rPr>
                <w:rFonts w:eastAsia="Calibri" w:cs="Times New Roman"/>
                <w:sz w:val="20"/>
                <w:szCs w:val="20"/>
                <w:lang w:eastAsia="pt-BR"/>
              </w:rPr>
              <w:t>Readiness</w:t>
            </w:r>
            <w:proofErr w:type="spellEnd"/>
            <w:r w:rsidRPr="005D2CDC">
              <w:rPr>
                <w:rFonts w:eastAsia="Calibri" w:cs="Times New Roman"/>
                <w:sz w:val="20"/>
                <w:szCs w:val="20"/>
                <w:lang w:eastAsia="pt-BR"/>
              </w:rPr>
              <w:t xml:space="preserve"> for </w:t>
            </w:r>
            <w:proofErr w:type="spellStart"/>
            <w:proofErr w:type="gramStart"/>
            <w:r w:rsidRPr="005D2CDC">
              <w:rPr>
                <w:rFonts w:eastAsia="Calibri" w:cs="Times New Roman"/>
                <w:sz w:val="20"/>
                <w:szCs w:val="20"/>
                <w:lang w:eastAsia="pt-BR"/>
              </w:rPr>
              <w:t>change</w:t>
            </w:r>
            <w:proofErr w:type="spellEnd"/>
            <w:r w:rsidRPr="005D2CDC">
              <w:rPr>
                <w:rFonts w:eastAsia="Calibri" w:cs="Times New Roman"/>
                <w:sz w:val="20"/>
                <w:szCs w:val="20"/>
                <w:lang w:eastAsia="pt-BR"/>
              </w:rPr>
              <w:t xml:space="preserve">  </w:t>
            </w:r>
            <w:proofErr w:type="spellStart"/>
            <w:r w:rsidRPr="005D2CDC">
              <w:rPr>
                <w:rFonts w:eastAsia="Calibri" w:cs="Times New Roman"/>
                <w:sz w:val="20"/>
                <w:szCs w:val="20"/>
                <w:lang w:eastAsia="pt-BR"/>
              </w:rPr>
              <w:t>domains</w:t>
            </w:r>
            <w:proofErr w:type="spellEnd"/>
            <w:proofErr w:type="gramEnd"/>
          </w:p>
        </w:tc>
      </w:tr>
      <w:tr w:rsidRPr="005D2CDC" w:rsidR="005D2CDC" w:rsidTr="005D2CDC" w14:paraId="47D18043" w14:textId="77777777">
        <w:trPr>
          <w:trHeight w:val="768"/>
          <w:jc w:val="center"/>
        </w:trPr>
        <w:tc>
          <w:tcPr>
            <w:tcW w:w="1560" w:type="dxa"/>
            <w:vMerge w:val="restart"/>
            <w:vAlign w:val="center"/>
          </w:tcPr>
          <w:p w:rsidRPr="005D2CDC" w:rsidR="005D2CDC" w:rsidP="005D2CDC" w:rsidRDefault="005D2CDC" w14:paraId="2A83FC3E" w14:textId="76FC9EEE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Enablement</w:t>
            </w:r>
          </w:p>
        </w:tc>
        <w:tc>
          <w:tcPr>
            <w:tcW w:w="1275" w:type="dxa"/>
            <w:vMerge w:val="restart"/>
            <w:vAlign w:val="center"/>
          </w:tcPr>
          <w:p w:rsidRPr="005D2CDC" w:rsidR="005D2CDC" w:rsidP="005D2CDC" w:rsidRDefault="005D2CDC" w14:paraId="2470A187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Application</w:t>
            </w:r>
          </w:p>
        </w:tc>
        <w:tc>
          <w:tcPr>
            <w:tcW w:w="1699" w:type="dxa"/>
            <w:vMerge w:val="restart"/>
            <w:vAlign w:val="center"/>
          </w:tcPr>
          <w:p w:rsidRPr="005D2CDC" w:rsidR="005D2CDC" w:rsidP="005D2CDC" w:rsidRDefault="005D2CDC" w14:paraId="0FF18B11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Adding objects</w:t>
            </w:r>
          </w:p>
        </w:tc>
        <w:tc>
          <w:tcPr>
            <w:tcW w:w="4253" w:type="dxa"/>
            <w:vAlign w:val="center"/>
          </w:tcPr>
          <w:p w:rsidRPr="005D2CDC" w:rsidR="005D2CDC" w:rsidP="005D2CDC" w:rsidRDefault="005D2CDC" w14:paraId="4070C88B" w14:textId="77777777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Physical Opportunity:</w:t>
            </w:r>
          </w:p>
          <w:p w:rsidRPr="005D2CDC" w:rsidR="005D2CDC" w:rsidP="005D2CDC" w:rsidRDefault="005D2CDC" w14:paraId="349A83F5" w14:textId="74E4505D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Being able to perform the behaviour because owns the mApp.</w:t>
            </w:r>
          </w:p>
        </w:tc>
        <w:tc>
          <w:tcPr>
            <w:tcW w:w="1561" w:type="dxa"/>
            <w:vMerge w:val="restart"/>
            <w:vAlign w:val="center"/>
          </w:tcPr>
          <w:p w:rsidRPr="005D2CDC" w:rsidR="005D2CDC" w:rsidP="005D2CDC" w:rsidRDefault="005D2CDC" w14:paraId="26C510C4" w14:textId="5078BDFD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Change-related self-efficacy</w:t>
            </w:r>
          </w:p>
          <w:p w:rsidRPr="005D2CDC" w:rsidR="005D2CDC" w:rsidP="005D2CDC" w:rsidRDefault="005D2CDC" w14:paraId="712102F8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  <w:p w:rsidRPr="005D2CDC" w:rsidR="005D2CDC" w:rsidP="005D2CDC" w:rsidRDefault="005D2CDC" w14:paraId="1A7BE725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Affective commitment</w:t>
            </w:r>
          </w:p>
          <w:p w:rsidRPr="005D2CDC" w:rsidR="005D2CDC" w:rsidP="005D2CDC" w:rsidRDefault="005D2CDC" w14:paraId="1E5F4472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</w:tr>
      <w:tr w:rsidRPr="005D2CDC" w:rsidR="005D2CDC" w:rsidTr="005D2CDC" w14:paraId="75822A29" w14:textId="77777777">
        <w:trPr>
          <w:trHeight w:val="766"/>
          <w:jc w:val="center"/>
        </w:trPr>
        <w:tc>
          <w:tcPr>
            <w:tcW w:w="1560" w:type="dxa"/>
            <w:vMerge/>
          </w:tcPr>
          <w:p w:rsidRPr="005D2CDC" w:rsidR="005D2CDC" w:rsidP="00B54993" w:rsidRDefault="005D2CDC" w14:paraId="64E30B33" w14:textId="77777777">
            <w:pPr>
              <w:widowControl w:val="0"/>
              <w:spacing w:line="240" w:lineRule="auto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275" w:type="dxa"/>
            <w:vMerge/>
          </w:tcPr>
          <w:p w:rsidRPr="005D2CDC" w:rsidR="005D2CDC" w:rsidP="00B54993" w:rsidRDefault="005D2CDC" w14:paraId="75319065" w14:textId="77777777">
            <w:pPr>
              <w:widowControl w:val="0"/>
              <w:spacing w:line="240" w:lineRule="auto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699" w:type="dxa"/>
            <w:vMerge/>
          </w:tcPr>
          <w:p w:rsidRPr="005D2CDC" w:rsidR="005D2CDC" w:rsidP="00B54993" w:rsidRDefault="005D2CDC" w14:paraId="097D6FFA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4253" w:type="dxa"/>
            <w:vAlign w:val="center"/>
          </w:tcPr>
          <w:p w:rsidRPr="005D2CDC" w:rsidR="005D2CDC" w:rsidP="005D2CDC" w:rsidRDefault="005D2CDC" w14:paraId="2C3D71E9" w14:textId="333E3782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 xml:space="preserve">Psychological Capability: Expectancy </w:t>
            </w:r>
            <w:r w:rsidRPr="005D2CDC">
              <w:rPr>
                <w:rFonts w:eastAsia="Calibri" w:cs="Times New Roman"/>
                <w:sz w:val="20"/>
                <w:szCs w:val="20"/>
                <w:lang w:val="en-US"/>
              </w:rPr>
              <w:t>to gradually better understand the evidence-based practice</w:t>
            </w:r>
          </w:p>
        </w:tc>
        <w:tc>
          <w:tcPr>
            <w:tcW w:w="1561" w:type="dxa"/>
            <w:vMerge/>
          </w:tcPr>
          <w:p w:rsidRPr="005D2CDC" w:rsidR="005D2CDC" w:rsidP="00B54993" w:rsidRDefault="005D2CDC" w14:paraId="4C47B1F0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</w:tr>
      <w:tr w:rsidRPr="005D2CDC" w:rsidR="005D2CDC" w:rsidTr="005D2CDC" w14:paraId="4B41F39A" w14:textId="77777777">
        <w:trPr>
          <w:trHeight w:val="766"/>
          <w:jc w:val="center"/>
        </w:trPr>
        <w:tc>
          <w:tcPr>
            <w:tcW w:w="1560" w:type="dxa"/>
            <w:vMerge/>
          </w:tcPr>
          <w:p w:rsidRPr="005D2CDC" w:rsidR="005D2CDC" w:rsidP="00B54993" w:rsidRDefault="005D2CDC" w14:paraId="1D986F44" w14:textId="77777777">
            <w:pPr>
              <w:widowControl w:val="0"/>
              <w:spacing w:line="240" w:lineRule="auto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275" w:type="dxa"/>
            <w:vMerge/>
          </w:tcPr>
          <w:p w:rsidRPr="005D2CDC" w:rsidR="005D2CDC" w:rsidP="00B54993" w:rsidRDefault="005D2CDC" w14:paraId="7BF14DA7" w14:textId="77777777">
            <w:pPr>
              <w:widowControl w:val="0"/>
              <w:spacing w:line="240" w:lineRule="auto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699" w:type="dxa"/>
            <w:vMerge/>
          </w:tcPr>
          <w:p w:rsidRPr="005D2CDC" w:rsidR="005D2CDC" w:rsidP="00B54993" w:rsidRDefault="005D2CDC" w14:paraId="733D0A95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4253" w:type="dxa"/>
            <w:vAlign w:val="center"/>
          </w:tcPr>
          <w:p w:rsidRPr="005D2CDC" w:rsidR="005D2CDC" w:rsidP="005D2CDC" w:rsidRDefault="005D2CDC" w14:paraId="521F07C5" w14:textId="77777777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 xml:space="preserve">Physical Capability: </w:t>
            </w:r>
          </w:p>
          <w:p w:rsidRPr="005D2CDC" w:rsidR="005D2CDC" w:rsidP="005D2CDC" w:rsidRDefault="005D2CDC" w14:paraId="07CBED58" w14:textId="75EBED54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Having the knowledge and skills to consciously perform the behaviour</w:t>
            </w:r>
          </w:p>
        </w:tc>
        <w:tc>
          <w:tcPr>
            <w:tcW w:w="1561" w:type="dxa"/>
            <w:vMerge/>
          </w:tcPr>
          <w:p w:rsidRPr="005D2CDC" w:rsidR="005D2CDC" w:rsidP="00B54993" w:rsidRDefault="005D2CDC" w14:paraId="355CFC25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</w:tr>
      <w:tr w:rsidRPr="005D2CDC" w:rsidR="005D2CDC" w:rsidTr="005D2CDC" w14:paraId="328295A1" w14:textId="77777777">
        <w:trPr>
          <w:trHeight w:val="683"/>
          <w:jc w:val="center"/>
        </w:trPr>
        <w:tc>
          <w:tcPr>
            <w:tcW w:w="1560" w:type="dxa"/>
            <w:vMerge/>
          </w:tcPr>
          <w:p w:rsidRPr="005D2CDC" w:rsidR="005D2CDC" w:rsidP="00B54993" w:rsidRDefault="005D2CDC" w14:paraId="4B3262AE" w14:textId="77777777">
            <w:pPr>
              <w:widowControl w:val="0"/>
              <w:spacing w:line="240" w:lineRule="auto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275" w:type="dxa"/>
            <w:vMerge/>
          </w:tcPr>
          <w:p w:rsidRPr="005D2CDC" w:rsidR="005D2CDC" w:rsidP="00B54993" w:rsidRDefault="005D2CDC" w14:paraId="67008CF8" w14:textId="77777777">
            <w:pPr>
              <w:widowControl w:val="0"/>
              <w:spacing w:line="240" w:lineRule="auto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699" w:type="dxa"/>
            <w:vAlign w:val="center"/>
          </w:tcPr>
          <w:p w:rsidRPr="005D2CDC" w:rsidR="005D2CDC" w:rsidP="005D2CDC" w:rsidRDefault="005D2CDC" w14:paraId="1B2CE52E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Goal Setting (final behaviour)</w:t>
            </w:r>
          </w:p>
        </w:tc>
        <w:tc>
          <w:tcPr>
            <w:tcW w:w="4253" w:type="dxa"/>
            <w:vAlign w:val="center"/>
          </w:tcPr>
          <w:p w:rsidRPr="005D2CDC" w:rsidR="005D2CDC" w:rsidP="005D2CDC" w:rsidRDefault="005D2CDC" w14:paraId="2460DC72" w14:textId="77777777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Reflective Motivation:</w:t>
            </w:r>
          </w:p>
          <w:p w:rsidRPr="005D2CDC" w:rsidR="005D2CDC" w:rsidP="005D2CDC" w:rsidRDefault="005D2CDC" w14:paraId="32F5C6E0" w14:textId="77777777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Intending to perform due to the capability/opportunity improvement.</w:t>
            </w:r>
          </w:p>
        </w:tc>
        <w:tc>
          <w:tcPr>
            <w:tcW w:w="1561" w:type="dxa"/>
            <w:vAlign w:val="center"/>
          </w:tcPr>
          <w:p w:rsidRPr="005D2CDC" w:rsidR="005D2CDC" w:rsidP="005D2CDC" w:rsidRDefault="005D2CDC" w14:paraId="19DB4177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Change-related self-efficacy</w:t>
            </w:r>
          </w:p>
          <w:p w:rsidRPr="005D2CDC" w:rsidR="005D2CDC" w:rsidP="005D2CDC" w:rsidRDefault="005D2CDC" w14:paraId="0B6B2DA7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  <w:p w:rsidRPr="005D2CDC" w:rsidR="005D2CDC" w:rsidP="005D2CDC" w:rsidRDefault="005D2CDC" w14:paraId="3BFEA166" w14:textId="546A148F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Level of individual change</w:t>
            </w:r>
          </w:p>
        </w:tc>
      </w:tr>
      <w:tr w:rsidRPr="005D2CDC" w:rsidR="005D2CDC" w:rsidTr="005D2CDC" w14:paraId="7DCFD23A" w14:textId="77777777">
        <w:trPr>
          <w:trHeight w:val="683"/>
          <w:jc w:val="center"/>
        </w:trPr>
        <w:tc>
          <w:tcPr>
            <w:tcW w:w="1560" w:type="dxa"/>
            <w:vMerge/>
          </w:tcPr>
          <w:p w:rsidRPr="005D2CDC" w:rsidR="005D2CDC" w:rsidP="00B54993" w:rsidRDefault="005D2CDC" w14:paraId="56B31794" w14:textId="77777777">
            <w:pPr>
              <w:widowControl w:val="0"/>
              <w:spacing w:line="240" w:lineRule="auto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275" w:type="dxa"/>
            <w:vMerge/>
          </w:tcPr>
          <w:p w:rsidRPr="005D2CDC" w:rsidR="005D2CDC" w:rsidP="00B54993" w:rsidRDefault="005D2CDC" w14:paraId="2F9C7DA8" w14:textId="77777777">
            <w:pPr>
              <w:widowControl w:val="0"/>
              <w:spacing w:line="240" w:lineRule="auto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699" w:type="dxa"/>
            <w:vAlign w:val="center"/>
          </w:tcPr>
          <w:p w:rsidRPr="005D2CDC" w:rsidR="005D2CDC" w:rsidP="005D2CDC" w:rsidRDefault="005D2CDC" w14:paraId="218D574C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Problem-solving</w:t>
            </w:r>
          </w:p>
        </w:tc>
        <w:tc>
          <w:tcPr>
            <w:tcW w:w="4253" w:type="dxa"/>
            <w:vAlign w:val="center"/>
          </w:tcPr>
          <w:p w:rsidRPr="005D2CDC" w:rsidR="005D2CDC" w:rsidP="005D2CDC" w:rsidRDefault="005D2CDC" w14:paraId="465ABA1A" w14:textId="77777777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Psychological Capability:</w:t>
            </w:r>
          </w:p>
          <w:p w:rsidRPr="005D2CDC" w:rsidR="005D2CDC" w:rsidP="005D2CDC" w:rsidRDefault="005D2CDC" w14:paraId="21A259D4" w14:textId="77777777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Understanding the self-factors affecting the behaviour performance.</w:t>
            </w:r>
          </w:p>
        </w:tc>
        <w:tc>
          <w:tcPr>
            <w:tcW w:w="1561" w:type="dxa"/>
            <w:vAlign w:val="center"/>
          </w:tcPr>
          <w:p w:rsidRPr="005D2CDC" w:rsidR="005D2CDC" w:rsidP="005D2CDC" w:rsidRDefault="005D2CDC" w14:paraId="6C5CE072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Change-related self-efficacy</w:t>
            </w:r>
          </w:p>
          <w:p w:rsidRPr="005D2CDC" w:rsidR="005D2CDC" w:rsidP="005D2CDC" w:rsidRDefault="005D2CDC" w14:paraId="421B6BBA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  <w:p w:rsidRPr="005D2CDC" w:rsidR="005D2CDC" w:rsidP="005D2CDC" w:rsidRDefault="005D2CDC" w14:paraId="31009138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Change appropriateness</w:t>
            </w:r>
          </w:p>
        </w:tc>
      </w:tr>
      <w:tr w:rsidRPr="005D2CDC" w:rsidR="005D2CDC" w:rsidTr="005D2CDC" w14:paraId="280AEB3E" w14:textId="77777777">
        <w:trPr>
          <w:trHeight w:val="920"/>
          <w:jc w:val="center"/>
        </w:trPr>
        <w:tc>
          <w:tcPr>
            <w:tcW w:w="1560" w:type="dxa"/>
            <w:vMerge w:val="restart"/>
            <w:vAlign w:val="center"/>
          </w:tcPr>
          <w:p w:rsidRPr="005D2CDC" w:rsidR="005D2CDC" w:rsidP="005D2CDC" w:rsidRDefault="005D2CDC" w14:paraId="28C106D0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eastAsia="pt-BR"/>
              </w:rPr>
            </w:pPr>
            <w:proofErr w:type="spellStart"/>
            <w:r w:rsidRPr="005D2CDC">
              <w:rPr>
                <w:rFonts w:eastAsia="Calibri" w:cs="Times New Roman"/>
                <w:sz w:val="20"/>
                <w:szCs w:val="20"/>
                <w:lang w:eastAsia="pt-BR"/>
              </w:rPr>
              <w:t>Education</w:t>
            </w:r>
            <w:proofErr w:type="spellEnd"/>
          </w:p>
          <w:p w:rsidRPr="005D2CDC" w:rsidR="005D2CDC" w:rsidP="005D2CDC" w:rsidRDefault="005D2CDC" w14:paraId="102F2A43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eastAsia="pt-BR"/>
              </w:rPr>
              <w:t>Training</w:t>
            </w:r>
          </w:p>
        </w:tc>
        <w:tc>
          <w:tcPr>
            <w:tcW w:w="1275" w:type="dxa"/>
            <w:vMerge w:val="restart"/>
            <w:vAlign w:val="center"/>
          </w:tcPr>
          <w:p w:rsidRPr="005D2CDC" w:rsidR="005D2CDC" w:rsidP="005D2CDC" w:rsidRDefault="005D2CDC" w14:paraId="7C7517DD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Content</w:t>
            </w:r>
          </w:p>
        </w:tc>
        <w:tc>
          <w:tcPr>
            <w:tcW w:w="1699" w:type="dxa"/>
            <w:vMerge w:val="restart"/>
            <w:vAlign w:val="center"/>
          </w:tcPr>
          <w:p w:rsidRPr="005D2CDC" w:rsidR="005D2CDC" w:rsidP="005D2CDC" w:rsidRDefault="005D2CDC" w14:paraId="33217D16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Provide instruction/</w:t>
            </w:r>
          </w:p>
          <w:p w:rsidRPr="005D2CDC" w:rsidR="005D2CDC" w:rsidP="005D2CDC" w:rsidRDefault="005D2CDC" w14:paraId="26C87BF3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information</w:t>
            </w:r>
          </w:p>
        </w:tc>
        <w:tc>
          <w:tcPr>
            <w:tcW w:w="4253" w:type="dxa"/>
            <w:vAlign w:val="center"/>
          </w:tcPr>
          <w:p w:rsidRPr="005D2CDC" w:rsidR="005D2CDC" w:rsidP="005D2CDC" w:rsidRDefault="005D2CDC" w14:paraId="7447F3A3" w14:textId="77777777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Reflective motivation:</w:t>
            </w:r>
          </w:p>
          <w:p w:rsidRPr="005D2CDC" w:rsidR="005D2CDC" w:rsidP="005D2CDC" w:rsidRDefault="005D2CDC" w14:paraId="4AB15E3C" w14:textId="29FEA8EC">
            <w:pPr>
              <w:widowControl w:val="0"/>
              <w:spacing w:line="240" w:lineRule="auto"/>
              <w:jc w:val="left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Intention to perform the behaviour.</w:t>
            </w:r>
          </w:p>
        </w:tc>
        <w:tc>
          <w:tcPr>
            <w:tcW w:w="1561" w:type="dxa"/>
            <w:vMerge w:val="restart"/>
            <w:vAlign w:val="center"/>
          </w:tcPr>
          <w:p w:rsidRPr="005D2CDC" w:rsidR="005D2CDC" w:rsidP="005D2CDC" w:rsidRDefault="005D2CDC" w14:paraId="11790309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Affective commitment</w:t>
            </w:r>
          </w:p>
          <w:p w:rsidRPr="005D2CDC" w:rsidR="005D2CDC" w:rsidP="005D2CDC" w:rsidRDefault="005D2CDC" w14:paraId="6A761E93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  <w:p w:rsidRPr="005D2CDC" w:rsidR="005D2CDC" w:rsidP="005D2CDC" w:rsidRDefault="005D2CDC" w14:paraId="507FD0FB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Level of individual change</w:t>
            </w:r>
          </w:p>
          <w:p w:rsidRPr="005D2CDC" w:rsidR="005D2CDC" w:rsidP="005D2CDC" w:rsidRDefault="005D2CDC" w14:paraId="52811662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  <w:p w:rsidRPr="005D2CDC" w:rsidR="005D2CDC" w:rsidP="005D2CDC" w:rsidRDefault="005D2CDC" w14:paraId="3D448857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Change appropriateness</w:t>
            </w:r>
          </w:p>
          <w:p w:rsidRPr="005D2CDC" w:rsidR="005D2CDC" w:rsidP="005D2CDC" w:rsidRDefault="005D2CDC" w14:paraId="092F4A2D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  <w:p w:rsidRPr="005D2CDC" w:rsidR="005D2CDC" w:rsidP="005D2CDC" w:rsidRDefault="005D2CDC" w14:paraId="763D4848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Change-related self-efficacy</w:t>
            </w:r>
          </w:p>
        </w:tc>
      </w:tr>
      <w:tr w:rsidRPr="005D2CDC" w:rsidR="005D2CDC" w:rsidTr="005D2CDC" w14:paraId="77E5A39A" w14:textId="77777777">
        <w:trPr>
          <w:trHeight w:val="920"/>
          <w:jc w:val="center"/>
        </w:trPr>
        <w:tc>
          <w:tcPr>
            <w:tcW w:w="1560" w:type="dxa"/>
            <w:vMerge/>
            <w:vAlign w:val="center"/>
          </w:tcPr>
          <w:p w:rsidRPr="005D2CDC" w:rsidR="005D2CDC" w:rsidP="005D2CDC" w:rsidRDefault="005D2CDC" w14:paraId="00A813DD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vMerge/>
            <w:vAlign w:val="center"/>
          </w:tcPr>
          <w:p w:rsidRPr="005D2CDC" w:rsidR="005D2CDC" w:rsidP="005D2CDC" w:rsidRDefault="005D2CDC" w14:paraId="4B0EC161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699" w:type="dxa"/>
            <w:vMerge/>
            <w:vAlign w:val="center"/>
          </w:tcPr>
          <w:p w:rsidRPr="005D2CDC" w:rsidR="005D2CDC" w:rsidP="005D2CDC" w:rsidRDefault="005D2CDC" w14:paraId="101D73A5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4253" w:type="dxa"/>
            <w:vAlign w:val="center"/>
          </w:tcPr>
          <w:p w:rsidRPr="005D2CDC" w:rsidR="005D2CDC" w:rsidP="005D2CDC" w:rsidRDefault="005D2CDC" w14:paraId="2FE5497F" w14:textId="77777777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Psychological capability:</w:t>
            </w:r>
          </w:p>
          <w:p w:rsidRPr="005D2CDC" w:rsidR="005D2CDC" w:rsidP="005D2CDC" w:rsidRDefault="005D2CDC" w14:paraId="54EA31DE" w14:textId="29A33622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Understanding the impact of decisions, scientifically informed.</w:t>
            </w:r>
          </w:p>
        </w:tc>
        <w:tc>
          <w:tcPr>
            <w:tcW w:w="1561" w:type="dxa"/>
            <w:vMerge/>
          </w:tcPr>
          <w:p w:rsidRPr="005D2CDC" w:rsidR="005D2CDC" w:rsidP="00B54993" w:rsidRDefault="005D2CDC" w14:paraId="378802F1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</w:tr>
      <w:tr w:rsidRPr="005D2CDC" w:rsidR="005D2CDC" w:rsidTr="005D2CDC" w14:paraId="70AE2D54" w14:textId="77777777">
        <w:trPr>
          <w:trHeight w:val="920"/>
          <w:jc w:val="center"/>
        </w:trPr>
        <w:tc>
          <w:tcPr>
            <w:tcW w:w="1560" w:type="dxa"/>
            <w:vMerge/>
            <w:vAlign w:val="center"/>
          </w:tcPr>
          <w:p w:rsidRPr="005D2CDC" w:rsidR="005D2CDC" w:rsidP="005D2CDC" w:rsidRDefault="005D2CDC" w14:paraId="3FC232CC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vMerge/>
            <w:vAlign w:val="center"/>
          </w:tcPr>
          <w:p w:rsidRPr="005D2CDC" w:rsidR="005D2CDC" w:rsidP="005D2CDC" w:rsidRDefault="005D2CDC" w14:paraId="18238CA9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699" w:type="dxa"/>
            <w:vMerge/>
            <w:vAlign w:val="center"/>
          </w:tcPr>
          <w:p w:rsidRPr="005D2CDC" w:rsidR="005D2CDC" w:rsidP="005D2CDC" w:rsidRDefault="005D2CDC" w14:paraId="26D7ECFD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4253" w:type="dxa"/>
            <w:vAlign w:val="center"/>
          </w:tcPr>
          <w:p w:rsidRPr="005D2CDC" w:rsidR="005D2CDC" w:rsidP="005D2CDC" w:rsidRDefault="005D2CDC" w14:paraId="0EBAB3BB" w14:textId="77777777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Physical capability:</w:t>
            </w:r>
          </w:p>
          <w:p w:rsidRPr="005D2CDC" w:rsidR="005D2CDC" w:rsidP="005D2CDC" w:rsidRDefault="005D2CDC" w14:paraId="44AB6539" w14:textId="2B8DD132">
            <w:pPr>
              <w:widowControl w:val="0"/>
              <w:spacing w:line="240" w:lineRule="auto"/>
              <w:jc w:val="left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Developing skills, advanced training, and knowledge to critically appraise scientific literature</w:t>
            </w:r>
          </w:p>
        </w:tc>
        <w:tc>
          <w:tcPr>
            <w:tcW w:w="1561" w:type="dxa"/>
            <w:vMerge/>
          </w:tcPr>
          <w:p w:rsidRPr="005D2CDC" w:rsidR="005D2CDC" w:rsidP="00B54993" w:rsidRDefault="005D2CDC" w14:paraId="7E572833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</w:tr>
      <w:tr w:rsidRPr="005D2CDC" w:rsidR="005D2CDC" w:rsidTr="005D2CDC" w14:paraId="1FA60182" w14:textId="77777777">
        <w:trPr>
          <w:trHeight w:val="670"/>
          <w:jc w:val="center"/>
        </w:trPr>
        <w:tc>
          <w:tcPr>
            <w:tcW w:w="1560" w:type="dxa"/>
            <w:vMerge w:val="restart"/>
            <w:vAlign w:val="center"/>
          </w:tcPr>
          <w:p w:rsidRPr="005D2CDC" w:rsidR="005D2CDC" w:rsidP="005D2CDC" w:rsidRDefault="005D2CDC" w14:paraId="45EF7161" w14:textId="75608C5E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eastAsia="pt-BR"/>
              </w:rPr>
              <w:t>Incentivisation</w:t>
            </w:r>
          </w:p>
        </w:tc>
        <w:tc>
          <w:tcPr>
            <w:tcW w:w="1275" w:type="dxa"/>
            <w:vMerge w:val="restart"/>
            <w:vAlign w:val="center"/>
          </w:tcPr>
          <w:p w:rsidRPr="005D2CDC" w:rsidR="005D2CDC" w:rsidP="005D2CDC" w:rsidRDefault="005D2CDC" w14:paraId="0DDD7780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Environment</w:t>
            </w:r>
          </w:p>
        </w:tc>
        <w:tc>
          <w:tcPr>
            <w:tcW w:w="1699" w:type="dxa"/>
            <w:vMerge w:val="restart"/>
            <w:vAlign w:val="center"/>
          </w:tcPr>
          <w:p w:rsidRPr="005D2CDC" w:rsidR="005D2CDC" w:rsidP="005D2CDC" w:rsidRDefault="005D2CDC" w14:paraId="043E1423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Reward expectation</w:t>
            </w:r>
          </w:p>
        </w:tc>
        <w:tc>
          <w:tcPr>
            <w:tcW w:w="4253" w:type="dxa"/>
            <w:vAlign w:val="center"/>
          </w:tcPr>
          <w:p w:rsidRPr="005D2CDC" w:rsidR="005D2CDC" w:rsidP="005D2CDC" w:rsidRDefault="005D2CDC" w14:paraId="5C9743C0" w14:textId="77777777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Reflective motivation:</w:t>
            </w:r>
          </w:p>
          <w:p w:rsidRPr="005D2CDC" w:rsidR="005D2CDC" w:rsidP="005D2CDC" w:rsidRDefault="005D2CDC" w14:paraId="34ED897E" w14:textId="5D43821C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 xml:space="preserve">Intention to perform the behaviour due to the social/professional </w:t>
            </w: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expectancy.</w:t>
            </w:r>
          </w:p>
        </w:tc>
        <w:tc>
          <w:tcPr>
            <w:tcW w:w="1561" w:type="dxa"/>
            <w:vMerge w:val="restart"/>
            <w:vAlign w:val="center"/>
          </w:tcPr>
          <w:p w:rsidRPr="005D2CDC" w:rsidR="005D2CDC" w:rsidP="005D2CDC" w:rsidRDefault="005D2CDC" w14:paraId="4BBFFEFD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Change-related self-efficacy</w:t>
            </w:r>
          </w:p>
        </w:tc>
      </w:tr>
      <w:tr w:rsidRPr="005D2CDC" w:rsidR="005D2CDC" w:rsidTr="005D2CDC" w14:paraId="1934E7C7" w14:textId="77777777">
        <w:trPr>
          <w:trHeight w:val="670"/>
          <w:jc w:val="center"/>
        </w:trPr>
        <w:tc>
          <w:tcPr>
            <w:tcW w:w="1560" w:type="dxa"/>
            <w:vMerge/>
            <w:vAlign w:val="center"/>
          </w:tcPr>
          <w:p w:rsidRPr="005D2CDC" w:rsidR="005D2CDC" w:rsidP="005D2CDC" w:rsidRDefault="005D2CDC" w14:paraId="28492F2C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vMerge/>
            <w:vAlign w:val="center"/>
          </w:tcPr>
          <w:p w:rsidRPr="005D2CDC" w:rsidR="005D2CDC" w:rsidP="005D2CDC" w:rsidRDefault="005D2CDC" w14:paraId="1AA36CA0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699" w:type="dxa"/>
            <w:vMerge/>
            <w:vAlign w:val="center"/>
          </w:tcPr>
          <w:p w:rsidRPr="005D2CDC" w:rsidR="005D2CDC" w:rsidP="005D2CDC" w:rsidRDefault="005D2CDC" w14:paraId="0A8AEE1A" w14:textId="77777777">
            <w:pPr>
              <w:widowControl w:val="0"/>
              <w:spacing w:line="240" w:lineRule="auto"/>
              <w:jc w:val="center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4253" w:type="dxa"/>
            <w:vAlign w:val="center"/>
          </w:tcPr>
          <w:p w:rsidRPr="005D2CDC" w:rsidR="005D2CDC" w:rsidP="005D2CDC" w:rsidRDefault="005D2CDC" w14:paraId="4A59EA62" w14:textId="77777777">
            <w:pPr>
              <w:widowControl w:val="0"/>
              <w:spacing w:line="240" w:lineRule="auto"/>
              <w:jc w:val="left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Automatic motivation:</w:t>
            </w:r>
          </w:p>
          <w:p w:rsidRPr="005D2CDC" w:rsidR="005D2CDC" w:rsidP="005D2CDC" w:rsidRDefault="005D2CDC" w14:paraId="0EDD02DC" w14:textId="76819854">
            <w:pPr>
              <w:widowControl w:val="0"/>
              <w:spacing w:line="240" w:lineRule="auto"/>
              <w:jc w:val="left"/>
              <w:rPr>
                <w:rFonts w:eastAsia="Calibri" w:cs="Times New Roman"/>
                <w:sz w:val="20"/>
                <w:szCs w:val="20"/>
                <w:lang w:val="en-US" w:eastAsia="pt-BR"/>
              </w:rPr>
            </w:pPr>
            <w:r w:rsidRPr="005D2CDC">
              <w:rPr>
                <w:rFonts w:eastAsia="Calibri" w:cs="Times New Roman"/>
                <w:sz w:val="20"/>
                <w:szCs w:val="20"/>
                <w:lang w:val="en-US" w:eastAsia="pt-BR"/>
              </w:rPr>
              <w:t>Feeling anticipated achievement at the prospect of doing the expected behaviour</w:t>
            </w:r>
          </w:p>
        </w:tc>
        <w:tc>
          <w:tcPr>
            <w:tcW w:w="1561" w:type="dxa"/>
            <w:vMerge/>
            <w:vAlign w:val="center"/>
          </w:tcPr>
          <w:p w:rsidRPr="005D2CDC" w:rsidR="005D2CDC" w:rsidP="005D2CDC" w:rsidRDefault="005D2CDC" w14:paraId="4FC37A3A" w14:textId="77777777">
            <w:pPr>
              <w:widowControl w:val="0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</w:tr>
    </w:tbl>
    <w:p w:rsidR="005D2CDC" w:rsidP="005D2CDC" w:rsidRDefault="005D2CDC" w14:paraId="3E94AAA6" w14:textId="77777777">
      <w:pPr>
        <w:ind w:firstLine="708"/>
        <w:rPr>
          <w:highlight w:val="yellow"/>
          <w:lang w:val="en-US"/>
        </w:rPr>
      </w:pPr>
    </w:p>
    <w:p w:rsidR="00AC69A6" w:rsidRDefault="00AC69A6" w14:paraId="2C9D8159" w14:textId="77777777"/>
    <w:sectPr w:rsidR="00AC69A6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DC"/>
    <w:rsid w:val="005D2CDC"/>
    <w:rsid w:val="00AC69A6"/>
    <w:rsid w:val="6050F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7377"/>
  <w15:chartTrackingRefBased/>
  <w15:docId w15:val="{DC121849-87DE-430E-A97E-BA10553B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D2CDC"/>
    <w:pPr>
      <w:suppressAutoHyphens/>
      <w:spacing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SimplesTabela2">
    <w:name w:val="Plain Table 2"/>
    <w:basedOn w:val="Tabelanormal"/>
    <w:uiPriority w:val="42"/>
    <w:rsid w:val="005D2CDC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Tabelacomgrade">
    <w:name w:val="Table Grid"/>
    <w:basedOn w:val="Tabelanormal"/>
    <w:uiPriority w:val="39"/>
    <w:rsid w:val="005D2CD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Gabriela Machado</dc:creator>
  <keywords/>
  <dc:description/>
  <lastModifiedBy>Luanna Gonçalves Ferreira</lastModifiedBy>
  <revision>2</revision>
  <dcterms:created xsi:type="dcterms:W3CDTF">2023-07-11T17:49:00.0000000Z</dcterms:created>
  <dcterms:modified xsi:type="dcterms:W3CDTF">2026-07-25T17:49:43.1616152Z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9da99f8f-065f-41d4-a070-e566f4f6cdbb</vt:lpwstr>
  </property>
</Properties>
</file>