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33F36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</w:tcPr>
          <w:p w14:paraId="2DA9C5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  <w:tbl>
            <w:tblPr>
              <w:tblStyle w:val="3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8296"/>
            </w:tblGrid>
            <w:tr w14:paraId="37DBD87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306" w:type="dxa"/>
                  <w:tcBorders>
                    <w:top w:val="nil"/>
                    <w:bottom w:val="nil"/>
                    <w:right w:val="nil"/>
                  </w:tcBorders>
                </w:tcPr>
                <w:p w14:paraId="4444F6BB">
                  <w:pPr>
                    <w:keepNext w:val="0"/>
                    <w:keepLines w:val="0"/>
                    <w:suppressLineNumbers w:val="0"/>
                    <w:spacing w:before="0" w:beforeAutospacing="0" w:after="0" w:afterAutospacing="0"/>
                    <w:ind w:left="0" w:right="0"/>
                    <w:rPr>
                      <w:rFonts w:hint="eastAsia" w:ascii="Times New Roman" w:hAnsi="Times New Roman" w:cs="Times New Roman" w:eastAsiaTheme="minorEastAsia"/>
                      <w:sz w:val="20"/>
                      <w:szCs w:val="20"/>
                      <w:vertAlign w:val="baseline"/>
                      <w:lang w:eastAsia="zh-CN"/>
                    </w:rPr>
                  </w:pPr>
                  <w:r>
                    <w:rPr>
                      <w:rFonts w:hint="eastAsia" w:ascii="Times New Roman" w:hAnsi="Times New Roman" w:cs="Times New Roman" w:eastAsiaTheme="minorEastAsia"/>
                      <w:sz w:val="20"/>
                      <w:szCs w:val="20"/>
                      <w:vertAlign w:val="baseline"/>
                      <w:lang w:eastAsia="zh-CN"/>
                    </w:rPr>
                    <w:drawing>
                      <wp:inline distT="0" distB="0" distL="114300" distR="114300">
                        <wp:extent cx="5125085" cy="5477510"/>
                        <wp:effectExtent l="0" t="0" r="5715" b="8890"/>
                        <wp:docPr id="9" name="图片 9" descr="新S1（合并）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图片 9" descr="新S1（合并）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25085" cy="54775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14:paraId="57AF8E9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3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65AFE0">
                  <w:pPr>
                    <w:keepNext w:val="0"/>
                    <w:keepLines w:val="0"/>
                    <w:suppressLineNumbers w:val="0"/>
                    <w:spacing w:before="0" w:beforeAutospacing="0" w:after="0" w:afterAutospacing="0"/>
                    <w:ind w:left="0" w:right="0"/>
                    <w:rPr>
                      <w:rFonts w:hint="default" w:ascii="Times New Roman" w:hAnsi="Times New Roman" w:cs="Times New Roman"/>
                      <w:sz w:val="20"/>
                      <w:szCs w:val="20"/>
                      <w:vertAlign w:val="baseline"/>
                    </w:rPr>
                  </w:pPr>
                </w:p>
                <w:p w14:paraId="0F046B19">
                  <w:pPr>
                    <w:keepNext w:val="0"/>
                    <w:keepLines w:val="0"/>
                    <w:widowControl w:val="0"/>
                    <w:suppressLineNumbers w:val="0"/>
                    <w:spacing w:before="0" w:beforeAutospacing="0" w:after="80" w:afterAutospacing="0"/>
                    <w:ind w:left="0" w:right="0"/>
                    <w:jc w:val="left"/>
                    <w:rPr>
                      <w:rFonts w:hint="default" w:ascii="Calibri" w:hAnsi="Calibri" w:eastAsia="宋体" w:cs="Times New Roman"/>
                      <w:kern w:val="2"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eastAsia="宋体" w:cs="Times New Roman"/>
                      <w:b/>
                      <w:bCs w:val="0"/>
                      <w:i w:val="0"/>
                      <w:kern w:val="2"/>
                      <w:sz w:val="22"/>
                      <w:szCs w:val="22"/>
                      <w:lang w:val="en-US" w:eastAsia="zh-CN" w:bidi="ar"/>
                    </w:rPr>
                    <w:t>Supplementary Fig. 1. DOX induces ferroptosis in AC16 cardiomyocytes and ATRA suppresses ferroptotic lipid peroxidation.</w:t>
                  </w:r>
                </w:p>
                <w:p w14:paraId="76B8187B">
                  <w:pPr>
                    <w:keepNext w:val="0"/>
                    <w:keepLines w:val="0"/>
                    <w:suppressLineNumbers w:val="0"/>
                    <w:spacing w:before="0" w:beforeAutospacing="0" w:after="0" w:afterAutospacing="0"/>
                    <w:ind w:left="0" w:right="0"/>
                    <w:rPr>
                      <w:rFonts w:hint="default" w:ascii="Times New Roman" w:hAnsi="Times New Roman" w:cs="Times New Roman"/>
                      <w:sz w:val="20"/>
                      <w:szCs w:val="20"/>
                      <w:vertAlign w:val="baseline"/>
                    </w:rPr>
                  </w:pPr>
                  <w:r>
                    <w:rPr>
                      <w:rFonts w:hint="default" w:ascii="Times New Roman" w:hAnsi="Times New Roman" w:eastAsia="宋体" w:cs="Times New Roman"/>
                      <w:b w:val="0"/>
                      <w:i w:val="0"/>
                      <w:kern w:val="2"/>
                      <w:sz w:val="22"/>
                      <w:szCs w:val="22"/>
                    </w:rPr>
                    <w:t>(A) CCK-8 analysis of AC16 cell viability following treatment with increasing concentrations of DOX. (B) CCK-8 analysis of cell viability after DOX treatment combined with Fer-1, z-VAD-FMK, necrostatin-1, or necrostatin-2. (C) Western blotting of SLC7A11 and GPX4 after treatment with increasing concentrations of DOX. (D, E) GSH (D) and MDA (E) levels in control and DOX-treated AC16 cells. (F) CCK-8 analysis of AC16 cell viability following treatment with increasing concentrations of ATRA. (G, H) CCK-8 analysis of cell viability after RSL3 (G) or erastin (H) treatment combined with ATRA or Fer-1. (I, J) Quantification (I) and representative C11-BODIPY flow cytometry histograms (J) of lipid ROS in AC16 cells after CON, ATRA, DOX, DOX + ATRA, or DOX + Fer-1 treatment.</w:t>
                  </w:r>
                  <w:r>
                    <w:rPr>
                      <w:rFonts w:hint="default" w:ascii="Times New Roman" w:hAnsi="Times New Roman" w:eastAsia="Times New Roman"/>
                      <w:b w:val="0"/>
                      <w:i w:val="0"/>
                      <w:sz w:val="22"/>
                    </w:rPr>
                    <w:t xml:space="preserve"> Data are mean ± SD. Statistical tests are described in Methods. ns, not significant; *p &lt; 0.05, **p &lt; 0.01, ***p &lt; 0.001.</w:t>
                  </w:r>
                </w:p>
              </w:tc>
            </w:tr>
          </w:tbl>
          <w:p w14:paraId="273B45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3799E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</w:tcPr>
          <w:p w14:paraId="764B08B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20"/>
                <w:szCs w:val="20"/>
                <w:lang w:eastAsia="zh-CN"/>
              </w:rPr>
              <w:drawing>
                <wp:inline distT="0" distB="0" distL="114300" distR="114300">
                  <wp:extent cx="4883150" cy="4675505"/>
                  <wp:effectExtent l="0" t="0" r="6350" b="10795"/>
                  <wp:docPr id="1" name="图片 1" descr="S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S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83150" cy="4675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43A2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8F7914D">
            <w:pPr>
              <w:keepNext/>
              <w:keepLines w:val="0"/>
              <w:suppressLineNumbers w:val="0"/>
              <w:spacing w:before="0" w:beforeAutospacing="0" w:after="80" w:afterAutospacing="0" w:line="240" w:lineRule="auto"/>
              <w:ind w:left="0" w:right="0"/>
              <w:jc w:val="left"/>
              <w:rPr>
                <w:rFonts w:hint="default"/>
              </w:rPr>
            </w:pPr>
            <w:r>
              <w:rPr>
                <w:rFonts w:hint="default" w:ascii="Times New Roman" w:hAnsi="Times New Roman" w:eastAsia="Times New Roman"/>
                <w:b/>
                <w:i w:val="0"/>
                <w:sz w:val="22"/>
              </w:rPr>
              <w:t>Supplementary Fig. 2. Screening and validation of SLC7A11 as an ATRA-responsive ferroptosis-related gene.</w:t>
            </w:r>
          </w:p>
          <w:p w14:paraId="432CB985">
            <w:pPr>
              <w:keepNext w:val="0"/>
              <w:keepLines w:val="0"/>
              <w:suppressLineNumbers w:val="0"/>
              <w:spacing w:before="0" w:beforeAutospacing="0" w:after="80" w:afterAutospacing="0" w:line="240" w:lineRule="auto"/>
              <w:ind w:left="0" w:right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sz w:val="22"/>
              </w:rPr>
              <w:t>(A) Volcano plot of differentially expressed ferroptosis-related genes in the ATRA-treated dataset; SLC7A11 is highlighted. (B) qRT-PCR analysis of SLC7A11 mRNA expression in AC16 cells treated with increasing concentrations of ATRA. (C, D) qRT-PCR (C) and western blotting (D) validation of SLC7A11 knock</w:t>
            </w:r>
            <w:r>
              <w:rPr>
                <w:rFonts w:hint="eastAsia" w:ascii="Times New Roman" w:hAnsi="Times New Roman" w:eastAsia="宋体"/>
                <w:b w:val="0"/>
                <w:i w:val="0"/>
                <w:sz w:val="22"/>
                <w:lang w:val="en-US" w:eastAsia="zh-CN"/>
              </w:rPr>
              <w:t>out</w:t>
            </w:r>
            <w:r>
              <w:rPr>
                <w:rFonts w:hint="default" w:ascii="Times New Roman" w:hAnsi="Times New Roman" w:eastAsia="Times New Roman"/>
                <w:b w:val="0"/>
                <w:i w:val="0"/>
                <w:sz w:val="22"/>
              </w:rPr>
              <w:t xml:space="preserve"> efficiency in AC16 cells; β-Tubulin served as the loading control. Data are mean ± SD. Statistical tests are described in Methods. ns, not significant; *p &lt; 0.05, **p &lt; 0.01, ***p &lt; 0.001.</w:t>
            </w:r>
          </w:p>
        </w:tc>
      </w:tr>
      <w:tr w14:paraId="02671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</w:tcPr>
          <w:p w14:paraId="51B442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  <w:p w14:paraId="56D69D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drawing>
                <wp:inline distT="0" distB="0" distL="114300" distR="114300">
                  <wp:extent cx="4807585" cy="3613785"/>
                  <wp:effectExtent l="0" t="0" r="5715" b="5715"/>
                  <wp:docPr id="2" name="图片 2" descr="figS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figS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6532" t="2923" r="2218" b="485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7585" cy="3613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D553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850377A">
            <w:pPr>
              <w:keepNext/>
              <w:keepLines w:val="0"/>
              <w:suppressLineNumbers w:val="0"/>
              <w:spacing w:before="0" w:beforeAutospacing="0" w:after="80" w:afterAutospacing="0" w:line="240" w:lineRule="auto"/>
              <w:ind w:left="0" w:right="0"/>
              <w:jc w:val="left"/>
              <w:rPr>
                <w:rFonts w:hint="default"/>
              </w:rPr>
            </w:pPr>
            <w:r>
              <w:rPr>
                <w:rFonts w:hint="default" w:ascii="Times New Roman" w:hAnsi="Times New Roman" w:eastAsia="Times New Roman"/>
                <w:b/>
                <w:i w:val="0"/>
                <w:sz w:val="22"/>
              </w:rPr>
              <w:t>Supplementary Fig. 3. Candidate regulators of SLC7A11 and validation of KEAP1 Arg415 mutations.</w:t>
            </w:r>
          </w:p>
          <w:p w14:paraId="1AA5B04F">
            <w:pPr>
              <w:keepNext w:val="0"/>
              <w:keepLines w:val="0"/>
              <w:suppressLineNumbers w:val="0"/>
              <w:spacing w:before="0" w:beforeAutospacing="0" w:after="80" w:afterAutospacing="0" w:line="240" w:lineRule="auto"/>
              <w:ind w:left="0" w:right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sz w:val="22"/>
              </w:rPr>
              <w:t>(A) Schematic representation of predicted regulatory elements in the SLC7A11 promoter, including antioxidant response elements (AREs), amino acid response elements (AAREs), and a p53-binding site (p53-BS). (B) Western blotting of NRF2, KEAP1, p53, ATF4, SLC7A11, and ATF3 in AC16 cells following ATRA treatment for the indicated time points; β-Tubulin served as the loading control. (C, D) Sanger sequencing validation of KEAP1 R415L (C) and R415G (D) point-mutant plasmids. Data are mean ± SD. Statistical tests are described in Methods. ns, not significant; *p &lt; 0.05, **p &lt; 0.01, ***p &lt; 0.001.</w:t>
            </w:r>
          </w:p>
        </w:tc>
      </w:tr>
      <w:tr w14:paraId="09BD1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</w:tcPr>
          <w:p w14:paraId="287D268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  <w:p w14:paraId="697006A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20"/>
                <w:szCs w:val="20"/>
                <w:lang w:eastAsia="zh-CN"/>
              </w:rPr>
              <w:drawing>
                <wp:inline distT="0" distB="0" distL="114300" distR="114300">
                  <wp:extent cx="5269865" cy="6542405"/>
                  <wp:effectExtent l="0" t="0" r="635" b="10795"/>
                  <wp:docPr id="3" name="图片 3" descr="FIG-S4（合并）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FIG-S4（合并）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9865" cy="6542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D0DF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16BF07B">
            <w:pPr>
              <w:keepNext/>
              <w:keepLines w:val="0"/>
              <w:suppressLineNumbers w:val="0"/>
              <w:spacing w:before="0" w:beforeAutospacing="0" w:after="80" w:afterAutospacing="0" w:line="240" w:lineRule="auto"/>
              <w:ind w:left="0" w:right="0"/>
              <w:jc w:val="left"/>
              <w:rPr>
                <w:rFonts w:hint="default"/>
              </w:rPr>
            </w:pPr>
            <w:r>
              <w:rPr>
                <w:rFonts w:hint="default" w:ascii="Times New Roman" w:hAnsi="Times New Roman" w:eastAsia="Times New Roman"/>
                <w:b/>
                <w:i w:val="0"/>
                <w:sz w:val="22"/>
              </w:rPr>
              <w:t>Supplementary Fig. 4. ATRA alleviates DOX-induced cardiac injury and restores ferroptosis-related gene expression in vivo.</w:t>
            </w:r>
          </w:p>
          <w:p w14:paraId="1D431666">
            <w:pPr>
              <w:keepNext w:val="0"/>
              <w:keepLines w:val="0"/>
              <w:suppressLineNumbers w:val="0"/>
              <w:spacing w:before="0" w:beforeAutospacing="0" w:after="80" w:afterAutospacing="0" w:line="240" w:lineRule="auto"/>
              <w:ind w:left="0" w:right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/>
                <w:b w:val="0"/>
                <w:i w:val="0"/>
                <w:sz w:val="22"/>
              </w:rPr>
              <w:t>(A) Body-weight changes of mice during the treatment period. (B) H&amp;E staining of myocardial tissue at 4× and 10× magnifications. (C) Sirius Red staining of myocardial collagen deposition and fibrosis. (D-H) qRT-PCR analysis of cardiac injury markers cTnT (D), ANP (E), BNP (F), MYH7 (G), and LDHa (H). (I-K) qRT-PCR analysis of ferroptosis-related genes SLC7A11 (I), GPX4 (J), and NRF2 (K). Data are mean ± SD. Statistical tests are described in Methods. ns, not significant; *p &lt; 0.05, **p &lt; 0.01, ***p &lt; 0.001.</w:t>
            </w:r>
          </w:p>
        </w:tc>
      </w:tr>
    </w:tbl>
    <w:p w14:paraId="1BE292E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4B45DD"/>
    <w:rsid w:val="1F4B45DD"/>
    <w:rsid w:val="72694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2026-08-23T08:03:00Z</dcterms:created>
  <dc:creator>许文金</dc:creator>
  <cp:lastModifiedBy>许文金</cp:lastModifiedBy>
  <dcterms:modified xsi:type="dcterms:W3CDTF">2026-08-23T08:08:03Z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ACE7C31125574DFCAEC23C34E6DC0020_11</vt:lpwstr>
  </property>
  <property fmtid="{D5CDD505-2E9C-101B-9397-08002B2CF9AE}" pid="4" name="KSOTemplateDocerSaveRecord">
    <vt:lpwstr>eyJoZGlkIjoiNjVkZWU5OGE3ZTQ2YzkxMTU3OTEyYmRlZDAxZWEzMzkiLCJ1c2VySWQiOiIyNDI2MTA1NjAifQ==</vt:lpwstr>
  </property>
</Properties>
</file>