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88554" w14:textId="514F62DF" w:rsidR="007E5A1D" w:rsidRPr="00FB577E" w:rsidRDefault="007E5A1D" w:rsidP="000150BF">
      <w:pPr>
        <w:jc w:val="both"/>
        <w:rPr>
          <w:rFonts w:ascii="Times New Roman" w:hAnsi="Times New Roman" w:cs="Times New Roman"/>
          <w:b/>
          <w:bCs/>
          <w:noProof/>
        </w:rPr>
      </w:pPr>
      <w:r w:rsidRPr="00FB577E">
        <w:rPr>
          <w:rFonts w:ascii="Times New Roman" w:hAnsi="Times New Roman" w:cs="Times New Roman"/>
          <w:b/>
          <w:bCs/>
          <w:noProof/>
        </w:rPr>
        <w:t>Figures</w:t>
      </w:r>
    </w:p>
    <w:p w14:paraId="028D8B3C" w14:textId="77777777" w:rsidR="007E5A1D" w:rsidRPr="00FB577E" w:rsidRDefault="007E5A1D" w:rsidP="000150BF">
      <w:pPr>
        <w:jc w:val="both"/>
        <w:rPr>
          <w:rFonts w:ascii="Times New Roman" w:hAnsi="Times New Roman" w:cs="Times New Roman"/>
          <w:b/>
          <w:bCs/>
          <w:noProof/>
        </w:rPr>
      </w:pPr>
    </w:p>
    <w:p w14:paraId="6C93A267" w14:textId="38D7E3C4" w:rsidR="007E5A1D" w:rsidRPr="00FB577E" w:rsidRDefault="007E5A1D" w:rsidP="000150BF">
      <w:pPr>
        <w:jc w:val="both"/>
        <w:rPr>
          <w:rFonts w:ascii="Times New Roman" w:eastAsia="Times New Roman" w:hAnsi="Times New Roman" w:cs="Times New Roman"/>
          <w:b/>
          <w:bCs/>
        </w:rPr>
      </w:pPr>
      <w:r w:rsidRPr="00FB577E">
        <w:rPr>
          <w:rFonts w:ascii="Times New Roman" w:hAnsi="Times New Roman" w:cs="Times New Roman"/>
          <w:noProof/>
        </w:rPr>
        <w:drawing>
          <wp:inline distT="0" distB="0" distL="0" distR="0" wp14:anchorId="4D49B18A" wp14:editId="74B63E01">
            <wp:extent cx="5731510" cy="4773295"/>
            <wp:effectExtent l="0" t="0" r="2540" b="8255"/>
            <wp:docPr id="563304494" name="Picture 1" descr="A group of graphs showing different types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304494" name="Picture 1" descr="A group of graphs showing different types of numbers&#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4773295"/>
                    </a:xfrm>
                    <a:prstGeom prst="rect">
                      <a:avLst/>
                    </a:prstGeom>
                    <a:noFill/>
                    <a:ln>
                      <a:noFill/>
                    </a:ln>
                  </pic:spPr>
                </pic:pic>
              </a:graphicData>
            </a:graphic>
          </wp:inline>
        </w:drawing>
      </w:r>
    </w:p>
    <w:p w14:paraId="2A351D79" w14:textId="44B5A47F" w:rsidR="000E1A26" w:rsidRPr="00FB577E" w:rsidRDefault="000E1A26" w:rsidP="000E1A26">
      <w:pPr>
        <w:jc w:val="both"/>
        <w:rPr>
          <w:rFonts w:ascii="Times New Roman" w:eastAsia="Times New Roman" w:hAnsi="Times New Roman" w:cs="Times New Roman"/>
          <w:b/>
          <w:bCs/>
        </w:rPr>
      </w:pPr>
      <w:r w:rsidRPr="00FB577E">
        <w:rPr>
          <w:rFonts w:ascii="Times New Roman" w:eastAsia="Times New Roman" w:hAnsi="Times New Roman" w:cs="Times New Roman"/>
          <w:b/>
          <w:bCs/>
        </w:rPr>
        <w:t xml:space="preserve">Fig. S1 Comparative assessment of the effect of different </w:t>
      </w:r>
      <w:r w:rsidRPr="00FB577E">
        <w:rPr>
          <w:rFonts w:ascii="Times New Roman" w:eastAsia="Times New Roman" w:hAnsi="Times New Roman" w:cs="Times New Roman"/>
          <w:b/>
          <w:bCs/>
          <w:i/>
          <w:iCs/>
        </w:rPr>
        <w:t>B. subtilis</w:t>
      </w:r>
      <w:r w:rsidRPr="00FB577E">
        <w:rPr>
          <w:rFonts w:ascii="Times New Roman" w:eastAsia="Times New Roman" w:hAnsi="Times New Roman" w:cs="Times New Roman"/>
          <w:b/>
          <w:bCs/>
        </w:rPr>
        <w:t xml:space="preserve"> isolates on growth performance of six crop species under controlled conditions. Each panel shows one crop, respectively: mung, cotton, jowar, wheat, chickpea, and maize. Seeds from the respective crops have been </w:t>
      </w:r>
      <w:proofErr w:type="spellStart"/>
      <w:r w:rsidRPr="00FB577E">
        <w:rPr>
          <w:rFonts w:ascii="Times New Roman" w:eastAsia="Times New Roman" w:hAnsi="Times New Roman" w:cs="Times New Roman"/>
          <w:b/>
          <w:bCs/>
        </w:rPr>
        <w:t>bioprimed</w:t>
      </w:r>
      <w:proofErr w:type="spellEnd"/>
      <w:r w:rsidRPr="00FB577E">
        <w:rPr>
          <w:rFonts w:ascii="Times New Roman" w:eastAsia="Times New Roman" w:hAnsi="Times New Roman" w:cs="Times New Roman"/>
          <w:b/>
          <w:bCs/>
        </w:rPr>
        <w:t xml:space="preserve"> with six </w:t>
      </w:r>
      <w:r w:rsidRPr="00FB577E">
        <w:rPr>
          <w:rFonts w:ascii="Times New Roman" w:eastAsia="Times New Roman" w:hAnsi="Times New Roman" w:cs="Times New Roman"/>
          <w:b/>
          <w:bCs/>
          <w:i/>
          <w:iCs/>
        </w:rPr>
        <w:t>B. subtilis</w:t>
      </w:r>
      <w:r w:rsidRPr="00FB577E">
        <w:rPr>
          <w:rFonts w:ascii="Times New Roman" w:eastAsia="Times New Roman" w:hAnsi="Times New Roman" w:cs="Times New Roman"/>
          <w:b/>
          <w:bCs/>
        </w:rPr>
        <w:t xml:space="preserve"> strains (HM01-HM06) and compared to water-treated, buffer-treated, and untreated controls. Bars depict the mean shoot length (orange) and average root length (</w:t>
      </w:r>
      <w:proofErr w:type="spellStart"/>
      <w:r w:rsidRPr="00FB577E">
        <w:rPr>
          <w:rFonts w:ascii="Times New Roman" w:eastAsia="Times New Roman" w:hAnsi="Times New Roman" w:cs="Times New Roman"/>
          <w:b/>
          <w:bCs/>
        </w:rPr>
        <w:t>gray</w:t>
      </w:r>
      <w:proofErr w:type="spellEnd"/>
      <w:r w:rsidRPr="00FB577E">
        <w:rPr>
          <w:rFonts w:ascii="Times New Roman" w:eastAsia="Times New Roman" w:hAnsi="Times New Roman" w:cs="Times New Roman"/>
          <w:b/>
          <w:bCs/>
        </w:rPr>
        <w:t>); the plant average fresh weight is represented by blue points (g). All the data recorded on 5</w:t>
      </w:r>
      <w:r w:rsidRPr="00FB577E">
        <w:rPr>
          <w:rFonts w:ascii="Times New Roman" w:eastAsia="Times New Roman" w:hAnsi="Times New Roman" w:cs="Times New Roman"/>
          <w:b/>
          <w:bCs/>
          <w:vertAlign w:val="superscript"/>
        </w:rPr>
        <w:t>th</w:t>
      </w:r>
      <w:r w:rsidRPr="00FB577E">
        <w:rPr>
          <w:rFonts w:ascii="Times New Roman" w:eastAsia="Times New Roman" w:hAnsi="Times New Roman" w:cs="Times New Roman"/>
          <w:b/>
          <w:bCs/>
        </w:rPr>
        <w:t xml:space="preserve"> d post-germination are represented in this dual-axis plot showing relative variation for vegetative growth parameters</w:t>
      </w:r>
      <w:r w:rsidR="00706332">
        <w:rPr>
          <w:rFonts w:ascii="Times New Roman" w:eastAsia="Times New Roman" w:hAnsi="Times New Roman" w:cs="Times New Roman"/>
          <w:b/>
          <w:bCs/>
        </w:rPr>
        <w:t xml:space="preserve"> (p &lt; 0.05)</w:t>
      </w:r>
      <w:r w:rsidRPr="00FB577E">
        <w:rPr>
          <w:rFonts w:ascii="Times New Roman" w:eastAsia="Times New Roman" w:hAnsi="Times New Roman" w:cs="Times New Roman"/>
          <w:b/>
          <w:bCs/>
        </w:rPr>
        <w:t xml:space="preserve">. </w:t>
      </w:r>
    </w:p>
    <w:p w14:paraId="5F5066FE" w14:textId="77777777" w:rsidR="007E5A1D" w:rsidRPr="00FB577E" w:rsidRDefault="007E5A1D" w:rsidP="000E1A26">
      <w:pPr>
        <w:jc w:val="both"/>
        <w:rPr>
          <w:rFonts w:ascii="Times New Roman" w:eastAsia="Times New Roman" w:hAnsi="Times New Roman" w:cs="Times New Roman"/>
          <w:b/>
          <w:bCs/>
        </w:rPr>
      </w:pPr>
    </w:p>
    <w:p w14:paraId="52B86D0B" w14:textId="3A6AE1EA" w:rsidR="000E1A26" w:rsidRPr="00FB577E" w:rsidRDefault="007E5A1D" w:rsidP="000E1A26">
      <w:pPr>
        <w:jc w:val="both"/>
        <w:rPr>
          <w:rFonts w:ascii="Times New Roman" w:eastAsia="Times New Roman" w:hAnsi="Times New Roman" w:cs="Times New Roman"/>
          <w:b/>
          <w:bCs/>
        </w:rPr>
      </w:pPr>
      <w:r w:rsidRPr="00FB577E">
        <w:rPr>
          <w:rFonts w:ascii="Times New Roman" w:hAnsi="Times New Roman" w:cs="Times New Roman"/>
          <w:noProof/>
        </w:rPr>
        <w:lastRenderedPageBreak/>
        <w:drawing>
          <wp:inline distT="0" distB="0" distL="0" distR="0" wp14:anchorId="54595908" wp14:editId="38176624">
            <wp:extent cx="5731510" cy="5833745"/>
            <wp:effectExtent l="0" t="0" r="2540" b="0"/>
            <wp:docPr id="1311851075" name="Picture 2" descr="A group of graph of different siz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51075" name="Picture 2" descr="A group of graph of different sizes&#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5833745"/>
                    </a:xfrm>
                    <a:prstGeom prst="rect">
                      <a:avLst/>
                    </a:prstGeom>
                    <a:noFill/>
                    <a:ln>
                      <a:noFill/>
                    </a:ln>
                  </pic:spPr>
                </pic:pic>
              </a:graphicData>
            </a:graphic>
          </wp:inline>
        </w:drawing>
      </w:r>
    </w:p>
    <w:p w14:paraId="083C20C8" w14:textId="77777777" w:rsidR="000E1A26" w:rsidRPr="00FB577E" w:rsidRDefault="000E1A26" w:rsidP="000E1A26">
      <w:pPr>
        <w:jc w:val="both"/>
        <w:rPr>
          <w:rFonts w:ascii="Times New Roman" w:eastAsia="Times New Roman" w:hAnsi="Times New Roman" w:cs="Times New Roman"/>
          <w:b/>
          <w:bCs/>
        </w:rPr>
      </w:pPr>
      <w:r w:rsidRPr="00FB577E">
        <w:rPr>
          <w:rFonts w:ascii="Times New Roman" w:eastAsia="Times New Roman" w:hAnsi="Times New Roman" w:cs="Times New Roman"/>
          <w:b/>
          <w:bCs/>
        </w:rPr>
        <w:t xml:space="preserve">Fig. S2 Comparative assessment of the effect of strain HM01 and HM04 on growth performance of chickpea and maize under soil-grown conditions. Seeds from the respective crops have been </w:t>
      </w:r>
      <w:proofErr w:type="spellStart"/>
      <w:r w:rsidRPr="00FB577E">
        <w:rPr>
          <w:rFonts w:ascii="Times New Roman" w:eastAsia="Times New Roman" w:hAnsi="Times New Roman" w:cs="Times New Roman"/>
          <w:b/>
          <w:bCs/>
        </w:rPr>
        <w:t>bioprimed</w:t>
      </w:r>
      <w:proofErr w:type="spellEnd"/>
      <w:r w:rsidRPr="00FB577E">
        <w:rPr>
          <w:rFonts w:ascii="Times New Roman" w:eastAsia="Times New Roman" w:hAnsi="Times New Roman" w:cs="Times New Roman"/>
          <w:b/>
          <w:bCs/>
        </w:rPr>
        <w:t xml:space="preserve"> with </w:t>
      </w:r>
      <w:r w:rsidRPr="00FB577E">
        <w:rPr>
          <w:rFonts w:ascii="Times New Roman" w:eastAsia="Times New Roman" w:hAnsi="Times New Roman" w:cs="Times New Roman"/>
          <w:b/>
          <w:bCs/>
          <w:i/>
          <w:iCs/>
        </w:rPr>
        <w:t>B. subtilis</w:t>
      </w:r>
      <w:r w:rsidRPr="00FB577E">
        <w:rPr>
          <w:rFonts w:ascii="Times New Roman" w:eastAsia="Times New Roman" w:hAnsi="Times New Roman" w:cs="Times New Roman"/>
          <w:b/>
          <w:bCs/>
        </w:rPr>
        <w:t xml:space="preserve"> strains and compared to untreated seed control. Bars depict the average shoot length (cm), average root length (cm) and the plant average fresh weight (g). All the data recorded on 5</w:t>
      </w:r>
      <w:r w:rsidRPr="00FB577E">
        <w:rPr>
          <w:rFonts w:ascii="Times New Roman" w:eastAsia="Times New Roman" w:hAnsi="Times New Roman" w:cs="Times New Roman"/>
          <w:b/>
          <w:bCs/>
          <w:vertAlign w:val="superscript"/>
        </w:rPr>
        <w:t>th</w:t>
      </w:r>
      <w:r w:rsidRPr="00FB577E">
        <w:rPr>
          <w:rFonts w:ascii="Times New Roman" w:eastAsia="Times New Roman" w:hAnsi="Times New Roman" w:cs="Times New Roman"/>
          <w:b/>
          <w:bCs/>
        </w:rPr>
        <w:t>, 8</w:t>
      </w:r>
      <w:r w:rsidRPr="00FB577E">
        <w:rPr>
          <w:rFonts w:ascii="Times New Roman" w:eastAsia="Times New Roman" w:hAnsi="Times New Roman" w:cs="Times New Roman"/>
          <w:b/>
          <w:bCs/>
          <w:vertAlign w:val="superscript"/>
        </w:rPr>
        <w:t>th</w:t>
      </w:r>
      <w:r w:rsidRPr="00FB577E">
        <w:rPr>
          <w:rFonts w:ascii="Times New Roman" w:eastAsia="Times New Roman" w:hAnsi="Times New Roman" w:cs="Times New Roman"/>
          <w:b/>
          <w:bCs/>
        </w:rPr>
        <w:t>, and 10</w:t>
      </w:r>
      <w:r w:rsidRPr="00FB577E">
        <w:rPr>
          <w:rFonts w:ascii="Times New Roman" w:eastAsia="Times New Roman" w:hAnsi="Times New Roman" w:cs="Times New Roman"/>
          <w:b/>
          <w:bCs/>
          <w:vertAlign w:val="superscript"/>
        </w:rPr>
        <w:t>th</w:t>
      </w:r>
      <w:r w:rsidRPr="00FB577E">
        <w:rPr>
          <w:rFonts w:ascii="Times New Roman" w:eastAsia="Times New Roman" w:hAnsi="Times New Roman" w:cs="Times New Roman"/>
          <w:b/>
          <w:bCs/>
        </w:rPr>
        <w:t xml:space="preserve"> d post-germination are represented in this dual-axis plot showing relative variation for vegetative growth parameters.</w:t>
      </w:r>
    </w:p>
    <w:p w14:paraId="41CB2D3A" w14:textId="77777777" w:rsidR="007E5A1D" w:rsidRPr="00FB577E" w:rsidRDefault="007E5A1D" w:rsidP="000E1A26">
      <w:pPr>
        <w:jc w:val="both"/>
        <w:rPr>
          <w:rFonts w:ascii="Times New Roman" w:eastAsia="Times New Roman" w:hAnsi="Times New Roman" w:cs="Times New Roman"/>
          <w:b/>
          <w:bCs/>
        </w:rPr>
      </w:pPr>
    </w:p>
    <w:p w14:paraId="5DCFDF5A" w14:textId="77777777" w:rsidR="007E5A1D" w:rsidRPr="00FB577E" w:rsidRDefault="007E5A1D" w:rsidP="000E1A26">
      <w:pPr>
        <w:jc w:val="both"/>
        <w:rPr>
          <w:rFonts w:ascii="Times New Roman" w:eastAsia="Times New Roman" w:hAnsi="Times New Roman" w:cs="Times New Roman"/>
          <w:b/>
          <w:bCs/>
        </w:rPr>
      </w:pPr>
    </w:p>
    <w:p w14:paraId="5F3E1832" w14:textId="77777777" w:rsidR="007E5A1D" w:rsidRPr="00FB577E" w:rsidRDefault="007E5A1D" w:rsidP="000E1A26">
      <w:pPr>
        <w:jc w:val="both"/>
        <w:rPr>
          <w:rFonts w:ascii="Times New Roman" w:eastAsia="Times New Roman" w:hAnsi="Times New Roman" w:cs="Times New Roman"/>
          <w:b/>
          <w:bCs/>
        </w:rPr>
      </w:pPr>
    </w:p>
    <w:p w14:paraId="00EAE628" w14:textId="77777777" w:rsidR="007E5A1D" w:rsidRPr="00FB577E" w:rsidRDefault="007E5A1D" w:rsidP="000E1A26">
      <w:pPr>
        <w:jc w:val="both"/>
        <w:rPr>
          <w:rFonts w:ascii="Times New Roman" w:eastAsia="Times New Roman" w:hAnsi="Times New Roman" w:cs="Times New Roman"/>
          <w:b/>
          <w:bCs/>
        </w:rPr>
      </w:pPr>
    </w:p>
    <w:p w14:paraId="749A68BE" w14:textId="77777777" w:rsidR="007E5A1D" w:rsidRPr="00FB577E" w:rsidRDefault="007E5A1D" w:rsidP="000E1A26">
      <w:pPr>
        <w:jc w:val="both"/>
        <w:rPr>
          <w:rFonts w:ascii="Times New Roman" w:eastAsia="Times New Roman" w:hAnsi="Times New Roman" w:cs="Times New Roman"/>
          <w:b/>
          <w:bCs/>
        </w:rPr>
      </w:pPr>
    </w:p>
    <w:p w14:paraId="05C24DB6" w14:textId="70F4D43B" w:rsidR="000E1A26" w:rsidRPr="00FB577E" w:rsidRDefault="007E5A1D" w:rsidP="000E1A26">
      <w:pPr>
        <w:jc w:val="both"/>
        <w:rPr>
          <w:rFonts w:ascii="Times New Roman" w:eastAsia="Times New Roman" w:hAnsi="Times New Roman" w:cs="Times New Roman"/>
          <w:b/>
          <w:bCs/>
        </w:rPr>
      </w:pPr>
      <w:r w:rsidRPr="00FB577E">
        <w:rPr>
          <w:rFonts w:ascii="Times New Roman" w:hAnsi="Times New Roman" w:cs="Times New Roman"/>
          <w:noProof/>
        </w:rPr>
        <w:drawing>
          <wp:inline distT="0" distB="0" distL="0" distR="0" wp14:anchorId="09B45215" wp14:editId="50250AAD">
            <wp:extent cx="5731510" cy="5772785"/>
            <wp:effectExtent l="0" t="0" r="2540" b="0"/>
            <wp:docPr id="1748051687" name="Picture 3"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051687" name="Picture 3" descr="A diagram of different colored square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5772785"/>
                    </a:xfrm>
                    <a:prstGeom prst="rect">
                      <a:avLst/>
                    </a:prstGeom>
                    <a:noFill/>
                    <a:ln>
                      <a:noFill/>
                    </a:ln>
                  </pic:spPr>
                </pic:pic>
              </a:graphicData>
            </a:graphic>
          </wp:inline>
        </w:drawing>
      </w:r>
    </w:p>
    <w:p w14:paraId="0A2BE350" w14:textId="25C9D80C" w:rsidR="000E1A26" w:rsidRPr="00FB577E" w:rsidRDefault="000E1A26" w:rsidP="000E1A26">
      <w:pPr>
        <w:jc w:val="both"/>
        <w:rPr>
          <w:rFonts w:ascii="Times New Roman" w:eastAsia="Times New Roman" w:hAnsi="Times New Roman" w:cs="Times New Roman"/>
          <w:b/>
          <w:bCs/>
        </w:rPr>
      </w:pPr>
      <w:r w:rsidRPr="00FB577E">
        <w:rPr>
          <w:rFonts w:ascii="Times New Roman" w:eastAsia="Times New Roman" w:hAnsi="Times New Roman" w:cs="Times New Roman"/>
          <w:b/>
          <w:bCs/>
        </w:rPr>
        <w:t xml:space="preserve">Fig. S3 Heatmap illustrating </w:t>
      </w:r>
      <w:r w:rsidR="00FB577E" w:rsidRPr="00FB577E">
        <w:rPr>
          <w:rFonts w:ascii="Times New Roman" w:eastAsia="Times New Roman" w:hAnsi="Times New Roman" w:cs="Times New Roman"/>
          <w:b/>
          <w:bCs/>
        </w:rPr>
        <w:t>(</w:t>
      </w:r>
      <w:r w:rsidRPr="00FB577E">
        <w:rPr>
          <w:rFonts w:ascii="Times New Roman" w:eastAsia="Times New Roman" w:hAnsi="Times New Roman" w:cs="Times New Roman"/>
          <w:b/>
          <w:bCs/>
        </w:rPr>
        <w:t xml:space="preserve">a) average nucleotide identity by </w:t>
      </w:r>
      <w:proofErr w:type="spellStart"/>
      <w:r w:rsidRPr="00FB577E">
        <w:rPr>
          <w:rFonts w:ascii="Times New Roman" w:eastAsia="Times New Roman" w:hAnsi="Times New Roman" w:cs="Times New Roman"/>
          <w:b/>
          <w:bCs/>
        </w:rPr>
        <w:t>orthology</w:t>
      </w:r>
      <w:proofErr w:type="spellEnd"/>
      <w:r w:rsidRPr="00FB577E">
        <w:rPr>
          <w:rFonts w:ascii="Times New Roman" w:eastAsia="Times New Roman" w:hAnsi="Times New Roman" w:cs="Times New Roman"/>
          <w:b/>
          <w:bCs/>
        </w:rPr>
        <w:t xml:space="preserve"> (</w:t>
      </w:r>
      <w:proofErr w:type="spellStart"/>
      <w:r w:rsidRPr="00FB577E">
        <w:rPr>
          <w:rFonts w:ascii="Times New Roman" w:eastAsia="Times New Roman" w:hAnsi="Times New Roman" w:cs="Times New Roman"/>
          <w:b/>
          <w:bCs/>
        </w:rPr>
        <w:t>OrthoANI</w:t>
      </w:r>
      <w:proofErr w:type="spellEnd"/>
      <w:r w:rsidRPr="00FB577E">
        <w:rPr>
          <w:rFonts w:ascii="Times New Roman" w:eastAsia="Times New Roman" w:hAnsi="Times New Roman" w:cs="Times New Roman"/>
          <w:b/>
          <w:bCs/>
        </w:rPr>
        <w:t xml:space="preserve">) and </w:t>
      </w:r>
      <w:r w:rsidR="00FB577E" w:rsidRPr="00FB577E">
        <w:rPr>
          <w:rFonts w:ascii="Times New Roman" w:eastAsia="Times New Roman" w:hAnsi="Times New Roman" w:cs="Times New Roman"/>
          <w:b/>
          <w:bCs/>
        </w:rPr>
        <w:t>(</w:t>
      </w:r>
      <w:r w:rsidRPr="00FB577E">
        <w:rPr>
          <w:rFonts w:ascii="Times New Roman" w:eastAsia="Times New Roman" w:hAnsi="Times New Roman" w:cs="Times New Roman"/>
          <w:b/>
          <w:bCs/>
        </w:rPr>
        <w:t xml:space="preserve">b) genome-to genome distance calculation (GGDC) between the </w:t>
      </w:r>
      <w:r w:rsidRPr="00FB577E">
        <w:rPr>
          <w:rFonts w:ascii="Times New Roman" w:eastAsia="Times New Roman" w:hAnsi="Times New Roman" w:cs="Times New Roman"/>
          <w:b/>
          <w:bCs/>
          <w:i/>
          <w:iCs/>
        </w:rPr>
        <w:t>B. subtilis</w:t>
      </w:r>
      <w:r w:rsidRPr="00FB577E">
        <w:rPr>
          <w:rFonts w:ascii="Times New Roman" w:eastAsia="Times New Roman" w:hAnsi="Times New Roman" w:cs="Times New Roman"/>
          <w:b/>
          <w:bCs/>
        </w:rPr>
        <w:t xml:space="preserve"> genome and reference genome, represented by the type strains of the respective genera calculated by OAT software. High OrthoANI values and low GGDC values between the strains indicate greater genomic similarity. The "ERR" value in GGDC showed that the organism (taken as an outgroup) is genetically distant from the </w:t>
      </w:r>
      <w:r w:rsidRPr="00FB577E">
        <w:rPr>
          <w:rFonts w:ascii="Times New Roman" w:eastAsia="Times New Roman" w:hAnsi="Times New Roman" w:cs="Times New Roman"/>
          <w:b/>
          <w:bCs/>
          <w:i/>
          <w:iCs/>
        </w:rPr>
        <w:t xml:space="preserve">B. subtilis </w:t>
      </w:r>
      <w:r w:rsidRPr="00FB577E">
        <w:rPr>
          <w:rFonts w:ascii="Times New Roman" w:eastAsia="Times New Roman" w:hAnsi="Times New Roman" w:cs="Times New Roman"/>
          <w:b/>
          <w:bCs/>
        </w:rPr>
        <w:t>strains.</w:t>
      </w:r>
    </w:p>
    <w:p w14:paraId="50BC1D46" w14:textId="78F63471" w:rsidR="000E1A26" w:rsidRPr="00FB577E" w:rsidRDefault="007E5A1D" w:rsidP="000E1A26">
      <w:pPr>
        <w:jc w:val="both"/>
        <w:rPr>
          <w:rFonts w:ascii="Times New Roman" w:eastAsia="Times New Roman" w:hAnsi="Times New Roman" w:cs="Times New Roman"/>
          <w:b/>
          <w:bCs/>
        </w:rPr>
      </w:pPr>
      <w:r w:rsidRPr="00FB577E">
        <w:rPr>
          <w:rFonts w:ascii="Times New Roman" w:hAnsi="Times New Roman" w:cs="Times New Roman"/>
          <w:noProof/>
        </w:rPr>
        <w:lastRenderedPageBreak/>
        <w:drawing>
          <wp:inline distT="0" distB="0" distL="0" distR="0" wp14:anchorId="50B151D6" wp14:editId="4DAF10D1">
            <wp:extent cx="5731510" cy="5527675"/>
            <wp:effectExtent l="0" t="0" r="2540" b="0"/>
            <wp:docPr id="47151202" name="Picture 4"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51202" name="Picture 4" descr="A close-up of a chart&#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5527675"/>
                    </a:xfrm>
                    <a:prstGeom prst="rect">
                      <a:avLst/>
                    </a:prstGeom>
                    <a:noFill/>
                    <a:ln>
                      <a:noFill/>
                    </a:ln>
                  </pic:spPr>
                </pic:pic>
              </a:graphicData>
            </a:graphic>
          </wp:inline>
        </w:drawing>
      </w:r>
    </w:p>
    <w:p w14:paraId="5BBBDC85" w14:textId="5D71EFCD" w:rsidR="000E1A26" w:rsidRPr="00FB577E" w:rsidRDefault="000E1A26" w:rsidP="000E1A26">
      <w:pPr>
        <w:jc w:val="both"/>
        <w:rPr>
          <w:rFonts w:ascii="Times New Roman" w:eastAsia="Times New Roman" w:hAnsi="Times New Roman" w:cs="Times New Roman"/>
          <w:b/>
          <w:bCs/>
        </w:rPr>
      </w:pPr>
      <w:r w:rsidRPr="00FB577E">
        <w:rPr>
          <w:rFonts w:ascii="Times New Roman" w:eastAsia="Times New Roman" w:hAnsi="Times New Roman" w:cs="Times New Roman"/>
          <w:b/>
          <w:bCs/>
        </w:rPr>
        <w:t xml:space="preserve">Fig. S4 Subsystem category distribution and the biological function of </w:t>
      </w:r>
      <w:r w:rsidRPr="00FB577E">
        <w:rPr>
          <w:rFonts w:ascii="Times New Roman" w:eastAsia="Times New Roman" w:hAnsi="Times New Roman" w:cs="Times New Roman"/>
          <w:b/>
          <w:bCs/>
          <w:i/>
          <w:iCs/>
        </w:rPr>
        <w:t>B. subtilis</w:t>
      </w:r>
      <w:r w:rsidRPr="00FB577E">
        <w:rPr>
          <w:rFonts w:ascii="Times New Roman" w:eastAsia="Times New Roman" w:hAnsi="Times New Roman" w:cs="Times New Roman"/>
          <w:b/>
          <w:bCs/>
        </w:rPr>
        <w:t xml:space="preserve"> strain </w:t>
      </w:r>
      <w:r w:rsidR="00FB577E" w:rsidRPr="00FB577E">
        <w:rPr>
          <w:rFonts w:ascii="Times New Roman" w:eastAsia="Times New Roman" w:hAnsi="Times New Roman" w:cs="Times New Roman"/>
          <w:b/>
          <w:bCs/>
        </w:rPr>
        <w:t>(</w:t>
      </w:r>
      <w:r w:rsidRPr="00FB577E">
        <w:rPr>
          <w:rFonts w:ascii="Times New Roman" w:eastAsia="Times New Roman" w:hAnsi="Times New Roman" w:cs="Times New Roman"/>
          <w:b/>
          <w:bCs/>
        </w:rPr>
        <w:t xml:space="preserve">a) HM01 and </w:t>
      </w:r>
      <w:r w:rsidR="00FB577E" w:rsidRPr="00FB577E">
        <w:rPr>
          <w:rFonts w:ascii="Times New Roman" w:eastAsia="Times New Roman" w:hAnsi="Times New Roman" w:cs="Times New Roman"/>
          <w:b/>
          <w:bCs/>
        </w:rPr>
        <w:t>(</w:t>
      </w:r>
      <w:r w:rsidRPr="00FB577E">
        <w:rPr>
          <w:rFonts w:ascii="Times New Roman" w:eastAsia="Times New Roman" w:hAnsi="Times New Roman" w:cs="Times New Roman"/>
          <w:b/>
          <w:bCs/>
        </w:rPr>
        <w:t>b) HM04 as determined by RAST genome analysis. Gene distributions are depicted with different colours, and their corresponding genes are numerically shown within parentheses.</w:t>
      </w:r>
    </w:p>
    <w:p w14:paraId="5107CF34" w14:textId="1C37FED0" w:rsidR="000E1A26" w:rsidRPr="00FB577E" w:rsidRDefault="007E5A1D" w:rsidP="000E1A26">
      <w:pPr>
        <w:jc w:val="both"/>
        <w:rPr>
          <w:rFonts w:ascii="Times New Roman" w:eastAsia="Times New Roman" w:hAnsi="Times New Roman" w:cs="Times New Roman"/>
          <w:b/>
          <w:bCs/>
        </w:rPr>
      </w:pPr>
      <w:r w:rsidRPr="00FB577E">
        <w:rPr>
          <w:rFonts w:ascii="Times New Roman" w:hAnsi="Times New Roman" w:cs="Times New Roman"/>
          <w:noProof/>
        </w:rPr>
        <w:lastRenderedPageBreak/>
        <w:drawing>
          <wp:inline distT="0" distB="0" distL="0" distR="0" wp14:anchorId="71727717" wp14:editId="2CE44EC8">
            <wp:extent cx="5731510" cy="3225165"/>
            <wp:effectExtent l="0" t="0" r="2540" b="0"/>
            <wp:docPr id="1221074817"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074817" name="Picture 5" descr="A screenshot of a computer&#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225165"/>
                    </a:xfrm>
                    <a:prstGeom prst="rect">
                      <a:avLst/>
                    </a:prstGeom>
                    <a:noFill/>
                    <a:ln>
                      <a:noFill/>
                    </a:ln>
                  </pic:spPr>
                </pic:pic>
              </a:graphicData>
            </a:graphic>
          </wp:inline>
        </w:drawing>
      </w:r>
    </w:p>
    <w:p w14:paraId="33A4E584" w14:textId="77777777" w:rsidR="000E1A26" w:rsidRPr="00FB577E" w:rsidRDefault="000E1A26" w:rsidP="000E1A26">
      <w:pPr>
        <w:jc w:val="both"/>
        <w:rPr>
          <w:rFonts w:ascii="Times New Roman" w:eastAsia="Times New Roman" w:hAnsi="Times New Roman" w:cs="Times New Roman"/>
          <w:b/>
          <w:bCs/>
        </w:rPr>
      </w:pPr>
      <w:r w:rsidRPr="00FB577E">
        <w:rPr>
          <w:rFonts w:ascii="Times New Roman" w:eastAsia="Times New Roman" w:hAnsi="Times New Roman" w:cs="Times New Roman"/>
          <w:b/>
          <w:bCs/>
        </w:rPr>
        <w:t xml:space="preserve">Fig. S5 Organization of secondary metabolite biosynthetic gene clusters in </w:t>
      </w:r>
      <w:r w:rsidRPr="00FB577E">
        <w:rPr>
          <w:rFonts w:ascii="Times New Roman" w:eastAsia="Times New Roman" w:hAnsi="Times New Roman" w:cs="Times New Roman"/>
          <w:b/>
          <w:bCs/>
          <w:i/>
          <w:iCs/>
        </w:rPr>
        <w:t>B. subtilis</w:t>
      </w:r>
      <w:r w:rsidRPr="00FB577E">
        <w:rPr>
          <w:rFonts w:ascii="Times New Roman" w:eastAsia="Times New Roman" w:hAnsi="Times New Roman" w:cs="Times New Roman"/>
          <w:b/>
          <w:bCs/>
        </w:rPr>
        <w:t xml:space="preserve"> strains a) HM01 and b) HM04.</w:t>
      </w:r>
    </w:p>
    <w:p w14:paraId="261DD2C3" w14:textId="77777777" w:rsidR="007E5A1D" w:rsidRPr="00FB577E" w:rsidRDefault="007E5A1D" w:rsidP="000E1A26">
      <w:pPr>
        <w:jc w:val="both"/>
        <w:rPr>
          <w:rFonts w:ascii="Times New Roman" w:eastAsia="Times New Roman" w:hAnsi="Times New Roman" w:cs="Times New Roman"/>
          <w:b/>
          <w:bCs/>
        </w:rPr>
      </w:pPr>
    </w:p>
    <w:p w14:paraId="5225CF38" w14:textId="77777777" w:rsidR="007E5A1D" w:rsidRPr="00FB577E" w:rsidRDefault="007E5A1D" w:rsidP="000E1A26">
      <w:pPr>
        <w:jc w:val="both"/>
        <w:rPr>
          <w:rFonts w:ascii="Times New Roman" w:eastAsia="Times New Roman" w:hAnsi="Times New Roman" w:cs="Times New Roman"/>
          <w:b/>
          <w:bCs/>
        </w:rPr>
      </w:pPr>
    </w:p>
    <w:p w14:paraId="5805DACF" w14:textId="20286355" w:rsidR="000E1A26" w:rsidRPr="00FB577E" w:rsidRDefault="007E5A1D" w:rsidP="000E1A26">
      <w:pPr>
        <w:jc w:val="both"/>
        <w:rPr>
          <w:rFonts w:ascii="Times New Roman" w:eastAsia="Times New Roman" w:hAnsi="Times New Roman" w:cs="Times New Roman"/>
          <w:b/>
          <w:bCs/>
        </w:rPr>
      </w:pPr>
      <w:r w:rsidRPr="00FB577E">
        <w:rPr>
          <w:rFonts w:ascii="Times New Roman" w:hAnsi="Times New Roman" w:cs="Times New Roman"/>
          <w:noProof/>
        </w:rPr>
        <w:drawing>
          <wp:inline distT="0" distB="0" distL="0" distR="0" wp14:anchorId="5B263991" wp14:editId="0F0E2669">
            <wp:extent cx="5731510" cy="3159125"/>
            <wp:effectExtent l="0" t="0" r="2540" b="3175"/>
            <wp:docPr id="1131853508" name="Picture 6" descr="A diagram of a dna sequ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53508" name="Picture 6" descr="A diagram of a dna sequence&#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159125"/>
                    </a:xfrm>
                    <a:prstGeom prst="rect">
                      <a:avLst/>
                    </a:prstGeom>
                    <a:noFill/>
                    <a:ln>
                      <a:noFill/>
                    </a:ln>
                  </pic:spPr>
                </pic:pic>
              </a:graphicData>
            </a:graphic>
          </wp:inline>
        </w:drawing>
      </w:r>
    </w:p>
    <w:p w14:paraId="73A81994" w14:textId="1FD1903E" w:rsidR="000E1A26" w:rsidRPr="00FB577E" w:rsidRDefault="000E1A26" w:rsidP="000E1A26">
      <w:pPr>
        <w:jc w:val="both"/>
        <w:rPr>
          <w:rFonts w:ascii="Times New Roman" w:eastAsia="Times New Roman" w:hAnsi="Times New Roman" w:cs="Times New Roman"/>
          <w:b/>
          <w:bCs/>
        </w:rPr>
      </w:pPr>
      <w:r w:rsidRPr="00FB577E">
        <w:rPr>
          <w:rFonts w:ascii="Times New Roman" w:eastAsia="Times New Roman" w:hAnsi="Times New Roman" w:cs="Times New Roman"/>
          <w:b/>
          <w:bCs/>
        </w:rPr>
        <w:t xml:space="preserve">Fig. S6 Organization of bacteriocin in </w:t>
      </w:r>
      <w:r w:rsidRPr="00FB577E">
        <w:rPr>
          <w:rFonts w:ascii="Times New Roman" w:eastAsia="Times New Roman" w:hAnsi="Times New Roman" w:cs="Times New Roman"/>
          <w:b/>
          <w:bCs/>
          <w:i/>
          <w:iCs/>
        </w:rPr>
        <w:t>B. subtilis</w:t>
      </w:r>
      <w:r w:rsidRPr="00FB577E">
        <w:rPr>
          <w:rFonts w:ascii="Times New Roman" w:eastAsia="Times New Roman" w:hAnsi="Times New Roman" w:cs="Times New Roman"/>
          <w:b/>
          <w:bCs/>
        </w:rPr>
        <w:t xml:space="preserve"> strains</w:t>
      </w:r>
      <w:r w:rsidR="00FB577E" w:rsidRPr="00FB577E">
        <w:rPr>
          <w:rFonts w:ascii="Times New Roman" w:eastAsia="Times New Roman" w:hAnsi="Times New Roman" w:cs="Times New Roman"/>
          <w:b/>
          <w:bCs/>
        </w:rPr>
        <w:t>:</w:t>
      </w:r>
      <w:r w:rsidRPr="00FB577E">
        <w:rPr>
          <w:rFonts w:ascii="Times New Roman" w:eastAsia="Times New Roman" w:hAnsi="Times New Roman" w:cs="Times New Roman"/>
          <w:b/>
          <w:bCs/>
        </w:rPr>
        <w:t xml:space="preserve"> </w:t>
      </w:r>
      <w:r w:rsidR="00FB577E" w:rsidRPr="00FB577E">
        <w:rPr>
          <w:rFonts w:ascii="Times New Roman" w:eastAsia="Times New Roman" w:hAnsi="Times New Roman" w:cs="Times New Roman"/>
          <w:b/>
          <w:bCs/>
        </w:rPr>
        <w:t>(</w:t>
      </w:r>
      <w:r w:rsidRPr="00FB577E">
        <w:rPr>
          <w:rFonts w:ascii="Times New Roman" w:eastAsia="Times New Roman" w:hAnsi="Times New Roman" w:cs="Times New Roman"/>
          <w:b/>
          <w:bCs/>
        </w:rPr>
        <w:t xml:space="preserve">a) HM01 and </w:t>
      </w:r>
      <w:r w:rsidR="00FB577E" w:rsidRPr="00FB577E">
        <w:rPr>
          <w:rFonts w:ascii="Times New Roman" w:eastAsia="Times New Roman" w:hAnsi="Times New Roman" w:cs="Times New Roman"/>
          <w:b/>
          <w:bCs/>
        </w:rPr>
        <w:t>(</w:t>
      </w:r>
      <w:r w:rsidRPr="00FB577E">
        <w:rPr>
          <w:rFonts w:ascii="Times New Roman" w:eastAsia="Times New Roman" w:hAnsi="Times New Roman" w:cs="Times New Roman"/>
          <w:b/>
          <w:bCs/>
        </w:rPr>
        <w:t>b) HM04.</w:t>
      </w:r>
    </w:p>
    <w:p w14:paraId="12EA2F91" w14:textId="77777777" w:rsidR="000E1A26" w:rsidRPr="00FB577E" w:rsidRDefault="000E1A26" w:rsidP="000E1A26">
      <w:pPr>
        <w:jc w:val="both"/>
        <w:rPr>
          <w:rFonts w:ascii="Times New Roman" w:eastAsia="Times New Roman" w:hAnsi="Times New Roman" w:cs="Times New Roman"/>
        </w:rPr>
      </w:pPr>
    </w:p>
    <w:p w14:paraId="7228F943" w14:textId="77777777" w:rsidR="007E5A1D" w:rsidRPr="00FB577E" w:rsidRDefault="007E5A1D" w:rsidP="000E1A26">
      <w:pPr>
        <w:jc w:val="both"/>
        <w:rPr>
          <w:rFonts w:ascii="Times New Roman" w:eastAsia="Times New Roman" w:hAnsi="Times New Roman" w:cs="Times New Roman"/>
        </w:rPr>
      </w:pPr>
    </w:p>
    <w:p w14:paraId="064A9144" w14:textId="77777777" w:rsidR="007E5A1D" w:rsidRPr="00FB577E" w:rsidRDefault="007E5A1D" w:rsidP="000E1A26">
      <w:pPr>
        <w:jc w:val="both"/>
        <w:rPr>
          <w:rFonts w:ascii="Times New Roman" w:eastAsia="Times New Roman" w:hAnsi="Times New Roman" w:cs="Times New Roman"/>
        </w:rPr>
      </w:pPr>
    </w:p>
    <w:p w14:paraId="03DB4EA3" w14:textId="7E4E9A3D" w:rsidR="007E5A1D" w:rsidRPr="00FB577E" w:rsidRDefault="007E5A1D" w:rsidP="000E1A26">
      <w:pPr>
        <w:jc w:val="both"/>
        <w:rPr>
          <w:rFonts w:ascii="Times New Roman" w:eastAsia="Times New Roman" w:hAnsi="Times New Roman" w:cs="Times New Roman"/>
        </w:rPr>
      </w:pPr>
      <w:r w:rsidRPr="00FB577E">
        <w:rPr>
          <w:rFonts w:ascii="Times New Roman" w:hAnsi="Times New Roman" w:cs="Times New Roman"/>
          <w:noProof/>
        </w:rPr>
        <w:lastRenderedPageBreak/>
        <w:drawing>
          <wp:inline distT="0" distB="0" distL="0" distR="0" wp14:anchorId="7706B7EE" wp14:editId="60288F4B">
            <wp:extent cx="5731510" cy="4268470"/>
            <wp:effectExtent l="0" t="0" r="2540" b="0"/>
            <wp:docPr id="1365179912" name="Picture 7" descr="A graph of a graph showing the amount of radiat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179912" name="Picture 7" descr="A graph of a graph showing the amount of radiator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4268470"/>
                    </a:xfrm>
                    <a:prstGeom prst="rect">
                      <a:avLst/>
                    </a:prstGeom>
                    <a:noFill/>
                    <a:ln>
                      <a:noFill/>
                    </a:ln>
                  </pic:spPr>
                </pic:pic>
              </a:graphicData>
            </a:graphic>
          </wp:inline>
        </w:drawing>
      </w:r>
    </w:p>
    <w:p w14:paraId="3D2F7743" w14:textId="77777777" w:rsidR="000E1A26" w:rsidRPr="00FB577E" w:rsidRDefault="000E1A26" w:rsidP="000E1A26">
      <w:pPr>
        <w:jc w:val="both"/>
        <w:rPr>
          <w:rFonts w:ascii="Times New Roman" w:eastAsia="Times New Roman" w:hAnsi="Times New Roman" w:cs="Times New Roman"/>
          <w:b/>
          <w:bCs/>
        </w:rPr>
      </w:pPr>
      <w:r w:rsidRPr="00FB577E">
        <w:rPr>
          <w:rFonts w:ascii="Times New Roman" w:eastAsia="Times New Roman" w:hAnsi="Times New Roman" w:cs="Times New Roman"/>
          <w:b/>
          <w:bCs/>
        </w:rPr>
        <w:t xml:space="preserve">Fig. S7 Rarefaction curves showing the relationship between sequencing depth and observed microbial taxa across rhizosphere samples. Curves were generated using species-level read count tables obtained from the </w:t>
      </w:r>
      <w:proofErr w:type="spellStart"/>
      <w:r w:rsidRPr="00FB577E">
        <w:rPr>
          <w:rFonts w:ascii="Times New Roman" w:eastAsia="Times New Roman" w:hAnsi="Times New Roman" w:cs="Times New Roman"/>
          <w:b/>
          <w:bCs/>
        </w:rPr>
        <w:t>wf</w:t>
      </w:r>
      <w:proofErr w:type="spellEnd"/>
      <w:r w:rsidRPr="00FB577E">
        <w:rPr>
          <w:rFonts w:ascii="Times New Roman" w:eastAsia="Times New Roman" w:hAnsi="Times New Roman" w:cs="Times New Roman"/>
          <w:b/>
          <w:bCs/>
        </w:rPr>
        <w:t>-metagenomics pipeline and repeated subsampling without replacement to the minimum sequencing depth. Each curve represents an individual sample, and the plateauing of curves indicates adequate sequencing depth for capturing community diversity.</w:t>
      </w:r>
    </w:p>
    <w:p w14:paraId="60FF17E9" w14:textId="14892E34" w:rsidR="000E1A26" w:rsidRPr="00FB577E" w:rsidRDefault="007E5A1D" w:rsidP="000E1A26">
      <w:pPr>
        <w:jc w:val="both"/>
        <w:rPr>
          <w:rFonts w:ascii="Times New Roman" w:eastAsia="Times New Roman" w:hAnsi="Times New Roman" w:cs="Times New Roman"/>
          <w:b/>
          <w:bCs/>
        </w:rPr>
      </w:pPr>
      <w:r w:rsidRPr="00FB577E">
        <w:rPr>
          <w:rFonts w:ascii="Times New Roman" w:hAnsi="Times New Roman" w:cs="Times New Roman"/>
          <w:noProof/>
        </w:rPr>
        <w:lastRenderedPageBreak/>
        <w:drawing>
          <wp:inline distT="0" distB="0" distL="0" distR="0" wp14:anchorId="3DFB3C44" wp14:editId="0AE722A3">
            <wp:extent cx="5731510" cy="5000625"/>
            <wp:effectExtent l="0" t="0" r="2540" b="9525"/>
            <wp:docPr id="692057362" name="Picture 8" descr="A graph with blue and orang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057362" name="Picture 8" descr="A graph with blue and orange dot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5000625"/>
                    </a:xfrm>
                    <a:prstGeom prst="rect">
                      <a:avLst/>
                    </a:prstGeom>
                    <a:noFill/>
                    <a:ln>
                      <a:noFill/>
                    </a:ln>
                  </pic:spPr>
                </pic:pic>
              </a:graphicData>
            </a:graphic>
          </wp:inline>
        </w:drawing>
      </w:r>
    </w:p>
    <w:p w14:paraId="354525EE" w14:textId="77777777" w:rsidR="000E1A26" w:rsidRPr="00FB577E" w:rsidRDefault="000E1A26" w:rsidP="000E1A26">
      <w:pPr>
        <w:jc w:val="both"/>
        <w:rPr>
          <w:rFonts w:ascii="Times New Roman" w:eastAsia="Times New Roman" w:hAnsi="Times New Roman" w:cs="Times New Roman"/>
          <w:b/>
          <w:bCs/>
        </w:rPr>
      </w:pPr>
      <w:r w:rsidRPr="00FB577E">
        <w:rPr>
          <w:rFonts w:ascii="Times New Roman" w:eastAsia="Times New Roman" w:hAnsi="Times New Roman" w:cs="Times New Roman"/>
          <w:b/>
          <w:bCs/>
        </w:rPr>
        <w:t>Fig. S8 Principal coordinate Analysis (</w:t>
      </w:r>
      <w:proofErr w:type="spellStart"/>
      <w:r w:rsidRPr="00FB577E">
        <w:rPr>
          <w:rFonts w:ascii="Times New Roman" w:eastAsia="Times New Roman" w:hAnsi="Times New Roman" w:cs="Times New Roman"/>
          <w:b/>
          <w:bCs/>
        </w:rPr>
        <w:t>PCoA</w:t>
      </w:r>
      <w:proofErr w:type="spellEnd"/>
      <w:r w:rsidRPr="00FB577E">
        <w:rPr>
          <w:rFonts w:ascii="Times New Roman" w:eastAsia="Times New Roman" w:hAnsi="Times New Roman" w:cs="Times New Roman"/>
          <w:b/>
          <w:bCs/>
        </w:rPr>
        <w:t>) based on Bray–</w:t>
      </w:r>
      <w:proofErr w:type="gramStart"/>
      <w:r w:rsidRPr="00FB577E">
        <w:rPr>
          <w:rFonts w:ascii="Times New Roman" w:eastAsia="Times New Roman" w:hAnsi="Times New Roman" w:cs="Times New Roman"/>
          <w:b/>
          <w:bCs/>
        </w:rPr>
        <w:t>Curtis</w:t>
      </w:r>
      <w:proofErr w:type="gramEnd"/>
      <w:r w:rsidRPr="00FB577E">
        <w:rPr>
          <w:rFonts w:ascii="Times New Roman" w:eastAsia="Times New Roman" w:hAnsi="Times New Roman" w:cs="Times New Roman"/>
          <w:b/>
          <w:bCs/>
        </w:rPr>
        <w:t xml:space="preserve"> matrix showing variation in bacterial community structure among chickpea- and maize-based treatments.</w:t>
      </w:r>
    </w:p>
    <w:p w14:paraId="38CCDE99" w14:textId="21DF73EE" w:rsidR="000E1A26" w:rsidRPr="00FB577E" w:rsidRDefault="007E5A1D" w:rsidP="000E1A26">
      <w:pPr>
        <w:jc w:val="both"/>
        <w:rPr>
          <w:rFonts w:ascii="Times New Roman" w:eastAsia="Times New Roman" w:hAnsi="Times New Roman" w:cs="Times New Roman"/>
          <w:b/>
          <w:bCs/>
        </w:rPr>
      </w:pPr>
      <w:r w:rsidRPr="00FB577E">
        <w:rPr>
          <w:rFonts w:ascii="Times New Roman" w:hAnsi="Times New Roman" w:cs="Times New Roman"/>
          <w:noProof/>
        </w:rPr>
        <w:lastRenderedPageBreak/>
        <w:drawing>
          <wp:inline distT="0" distB="0" distL="0" distR="0" wp14:anchorId="1047FADC" wp14:editId="07134FC0">
            <wp:extent cx="5731510" cy="3971290"/>
            <wp:effectExtent l="0" t="0" r="2540" b="0"/>
            <wp:docPr id="1365301007" name="Picture 9"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01007" name="Picture 9" descr="A comparison of a graph&#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971290"/>
                    </a:xfrm>
                    <a:prstGeom prst="rect">
                      <a:avLst/>
                    </a:prstGeom>
                    <a:noFill/>
                    <a:ln>
                      <a:noFill/>
                    </a:ln>
                  </pic:spPr>
                </pic:pic>
              </a:graphicData>
            </a:graphic>
          </wp:inline>
        </w:drawing>
      </w:r>
    </w:p>
    <w:p w14:paraId="268463D5" w14:textId="77777777" w:rsidR="000E1A26" w:rsidRDefault="000E1A26" w:rsidP="000E1A26">
      <w:pPr>
        <w:jc w:val="both"/>
        <w:rPr>
          <w:rFonts w:ascii="Times New Roman" w:eastAsia="Times New Roman" w:hAnsi="Times New Roman" w:cs="Times New Roman"/>
          <w:b/>
          <w:bCs/>
        </w:rPr>
      </w:pPr>
      <w:r w:rsidRPr="00FB577E">
        <w:rPr>
          <w:rFonts w:ascii="Times New Roman" w:eastAsia="Times New Roman" w:hAnsi="Times New Roman" w:cs="Times New Roman"/>
          <w:b/>
          <w:bCs/>
        </w:rPr>
        <w:t xml:space="preserve">Fig. S9 Hierarchical clustered heatmaps showing the relative abundance of dominant bacterial classes (a) and orders (b) across chickpea- and maize-based treatments. </w:t>
      </w:r>
    </w:p>
    <w:p w14:paraId="06CAD6C7" w14:textId="77777777" w:rsidR="002F7E6B" w:rsidRDefault="002F7E6B" w:rsidP="000E1A26">
      <w:pPr>
        <w:jc w:val="both"/>
        <w:rPr>
          <w:rFonts w:ascii="Times New Roman" w:eastAsia="Times New Roman" w:hAnsi="Times New Roman" w:cs="Times New Roman"/>
          <w:b/>
          <w:bCs/>
        </w:rPr>
      </w:pPr>
    </w:p>
    <w:p w14:paraId="093E86DF" w14:textId="77777777" w:rsidR="002F7E6B" w:rsidRDefault="002F7E6B" w:rsidP="000E1A26">
      <w:pPr>
        <w:jc w:val="both"/>
        <w:rPr>
          <w:rFonts w:ascii="Times New Roman" w:eastAsia="Times New Roman" w:hAnsi="Times New Roman" w:cs="Times New Roman"/>
          <w:b/>
          <w:bCs/>
        </w:rPr>
      </w:pPr>
    </w:p>
    <w:p w14:paraId="37935202" w14:textId="77777777" w:rsidR="002F7E6B" w:rsidRDefault="002F7E6B" w:rsidP="000E1A26">
      <w:pPr>
        <w:jc w:val="both"/>
        <w:rPr>
          <w:rFonts w:ascii="Times New Roman" w:eastAsia="Times New Roman" w:hAnsi="Times New Roman" w:cs="Times New Roman"/>
          <w:b/>
          <w:bCs/>
        </w:rPr>
      </w:pPr>
    </w:p>
    <w:p w14:paraId="7350440C" w14:textId="77777777" w:rsidR="002F7E6B" w:rsidRDefault="002F7E6B" w:rsidP="000E1A26">
      <w:pPr>
        <w:jc w:val="both"/>
        <w:rPr>
          <w:rFonts w:ascii="Times New Roman" w:eastAsia="Times New Roman" w:hAnsi="Times New Roman" w:cs="Times New Roman"/>
          <w:b/>
          <w:bCs/>
        </w:rPr>
      </w:pPr>
    </w:p>
    <w:p w14:paraId="29D30856" w14:textId="77777777" w:rsidR="002F7E6B" w:rsidRPr="00FB577E" w:rsidRDefault="002F7E6B" w:rsidP="000E1A26">
      <w:pPr>
        <w:jc w:val="both"/>
        <w:rPr>
          <w:rFonts w:ascii="Times New Roman" w:eastAsia="Times New Roman" w:hAnsi="Times New Roman" w:cs="Times New Roman"/>
          <w:b/>
          <w:bCs/>
        </w:rPr>
      </w:pPr>
    </w:p>
    <w:p w14:paraId="4087A91B" w14:textId="77777777" w:rsidR="007E5A1D" w:rsidRPr="00FB577E" w:rsidRDefault="007E5A1D" w:rsidP="000E1A26">
      <w:pPr>
        <w:jc w:val="both"/>
        <w:rPr>
          <w:rFonts w:ascii="Times New Roman" w:eastAsia="Times New Roman" w:hAnsi="Times New Roman" w:cs="Times New Roman"/>
          <w:b/>
          <w:bCs/>
        </w:rPr>
      </w:pPr>
    </w:p>
    <w:p w14:paraId="3FF6AA76" w14:textId="364DF8B0" w:rsidR="000E1A26" w:rsidRDefault="007E5A1D" w:rsidP="000E1A26">
      <w:pPr>
        <w:jc w:val="both"/>
        <w:rPr>
          <w:rFonts w:ascii="Times New Roman" w:eastAsia="Times New Roman" w:hAnsi="Times New Roman" w:cs="Times New Roman"/>
          <w:b/>
          <w:bCs/>
        </w:rPr>
      </w:pPr>
      <w:r w:rsidRPr="00FB577E">
        <w:rPr>
          <w:rFonts w:ascii="Times New Roman" w:hAnsi="Times New Roman" w:cs="Times New Roman"/>
          <w:noProof/>
        </w:rPr>
        <w:lastRenderedPageBreak/>
        <w:drawing>
          <wp:inline distT="0" distB="0" distL="0" distR="0" wp14:anchorId="253F19BA" wp14:editId="6C6F5B6D">
            <wp:extent cx="5731510" cy="3028315"/>
            <wp:effectExtent l="0" t="0" r="2540" b="635"/>
            <wp:docPr id="746421256" name="Picture 11"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421256" name="Picture 11" descr="A diagram of a network&#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3028315"/>
                    </a:xfrm>
                    <a:prstGeom prst="rect">
                      <a:avLst/>
                    </a:prstGeom>
                    <a:noFill/>
                    <a:ln>
                      <a:noFill/>
                    </a:ln>
                  </pic:spPr>
                </pic:pic>
              </a:graphicData>
            </a:graphic>
          </wp:inline>
        </w:drawing>
      </w:r>
    </w:p>
    <w:p w14:paraId="5C56BEBF" w14:textId="77777777" w:rsidR="002F7E6B" w:rsidRDefault="002F7E6B" w:rsidP="000E1A26">
      <w:pPr>
        <w:jc w:val="both"/>
        <w:rPr>
          <w:rFonts w:ascii="Times New Roman" w:eastAsia="Times New Roman" w:hAnsi="Times New Roman" w:cs="Times New Roman"/>
          <w:b/>
          <w:bCs/>
        </w:rPr>
      </w:pPr>
    </w:p>
    <w:p w14:paraId="6EB6F7A5" w14:textId="77777777" w:rsidR="002F7E6B" w:rsidRPr="00FB577E" w:rsidRDefault="002F7E6B" w:rsidP="000E1A26">
      <w:pPr>
        <w:jc w:val="both"/>
        <w:rPr>
          <w:rFonts w:ascii="Times New Roman" w:eastAsia="Times New Roman" w:hAnsi="Times New Roman" w:cs="Times New Roman"/>
          <w:b/>
          <w:bCs/>
        </w:rPr>
      </w:pPr>
    </w:p>
    <w:p w14:paraId="757ABB79" w14:textId="6D9F102F" w:rsidR="007E5A1D" w:rsidRPr="00FB577E" w:rsidRDefault="007E5A1D" w:rsidP="000E1A26">
      <w:pPr>
        <w:jc w:val="both"/>
        <w:rPr>
          <w:rFonts w:ascii="Times New Roman" w:eastAsia="Times New Roman" w:hAnsi="Times New Roman" w:cs="Times New Roman"/>
          <w:b/>
          <w:bCs/>
        </w:rPr>
      </w:pPr>
      <w:r w:rsidRPr="00FB577E">
        <w:rPr>
          <w:rFonts w:ascii="Times New Roman" w:hAnsi="Times New Roman" w:cs="Times New Roman"/>
          <w:noProof/>
        </w:rPr>
        <w:drawing>
          <wp:inline distT="0" distB="0" distL="0" distR="0" wp14:anchorId="3ABA1244" wp14:editId="27AE7FF3">
            <wp:extent cx="5731510" cy="3028315"/>
            <wp:effectExtent l="0" t="0" r="2540" b="635"/>
            <wp:docPr id="1885057443" name="Picture 12" descr="A close-up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057443" name="Picture 12" descr="A close-up of a network&#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3028315"/>
                    </a:xfrm>
                    <a:prstGeom prst="rect">
                      <a:avLst/>
                    </a:prstGeom>
                    <a:noFill/>
                    <a:ln>
                      <a:noFill/>
                    </a:ln>
                  </pic:spPr>
                </pic:pic>
              </a:graphicData>
            </a:graphic>
          </wp:inline>
        </w:drawing>
      </w:r>
    </w:p>
    <w:p w14:paraId="063B84FC" w14:textId="77777777" w:rsidR="007E5A1D" w:rsidRPr="00FB577E" w:rsidRDefault="007E5A1D" w:rsidP="000E1A26">
      <w:pPr>
        <w:jc w:val="both"/>
        <w:rPr>
          <w:rFonts w:ascii="Times New Roman" w:eastAsia="Times New Roman" w:hAnsi="Times New Roman" w:cs="Times New Roman"/>
          <w:b/>
          <w:bCs/>
        </w:rPr>
      </w:pPr>
    </w:p>
    <w:p w14:paraId="0E85DA08" w14:textId="0959229D" w:rsidR="007E5A1D" w:rsidRPr="00FB577E" w:rsidRDefault="007E5A1D" w:rsidP="000E1A26">
      <w:pPr>
        <w:jc w:val="both"/>
        <w:rPr>
          <w:rFonts w:ascii="Times New Roman" w:eastAsia="Times New Roman" w:hAnsi="Times New Roman" w:cs="Times New Roman"/>
          <w:b/>
          <w:bCs/>
        </w:rPr>
      </w:pPr>
      <w:r w:rsidRPr="00FB577E">
        <w:rPr>
          <w:rFonts w:ascii="Times New Roman" w:hAnsi="Times New Roman" w:cs="Times New Roman"/>
          <w:noProof/>
        </w:rPr>
        <w:lastRenderedPageBreak/>
        <w:drawing>
          <wp:inline distT="0" distB="0" distL="0" distR="0" wp14:anchorId="4A8D2FA2" wp14:editId="7AAF070D">
            <wp:extent cx="5731510" cy="3028315"/>
            <wp:effectExtent l="0" t="0" r="2540" b="635"/>
            <wp:docPr id="1179598482" name="Picture 13" descr="A close-up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98482" name="Picture 13" descr="A close-up of a diagram&#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028315"/>
                    </a:xfrm>
                    <a:prstGeom prst="rect">
                      <a:avLst/>
                    </a:prstGeom>
                    <a:noFill/>
                    <a:ln>
                      <a:noFill/>
                    </a:ln>
                  </pic:spPr>
                </pic:pic>
              </a:graphicData>
            </a:graphic>
          </wp:inline>
        </w:drawing>
      </w:r>
    </w:p>
    <w:p w14:paraId="58412DFC" w14:textId="77777777" w:rsidR="002F7E6B" w:rsidRPr="00FB577E" w:rsidRDefault="002F7E6B" w:rsidP="000E1A26">
      <w:pPr>
        <w:jc w:val="both"/>
        <w:rPr>
          <w:rFonts w:ascii="Times New Roman" w:eastAsia="Times New Roman" w:hAnsi="Times New Roman" w:cs="Times New Roman"/>
          <w:b/>
          <w:bCs/>
        </w:rPr>
      </w:pPr>
    </w:p>
    <w:p w14:paraId="33EA5AFF" w14:textId="3A8555A4" w:rsidR="007E5A1D" w:rsidRPr="00FB577E" w:rsidRDefault="007E5A1D" w:rsidP="000E1A26">
      <w:pPr>
        <w:jc w:val="both"/>
        <w:rPr>
          <w:rFonts w:ascii="Times New Roman" w:eastAsia="Times New Roman" w:hAnsi="Times New Roman" w:cs="Times New Roman"/>
          <w:b/>
          <w:bCs/>
        </w:rPr>
      </w:pPr>
      <w:r w:rsidRPr="00FB577E">
        <w:rPr>
          <w:rFonts w:ascii="Times New Roman" w:hAnsi="Times New Roman" w:cs="Times New Roman"/>
          <w:noProof/>
        </w:rPr>
        <w:drawing>
          <wp:inline distT="0" distB="0" distL="0" distR="0" wp14:anchorId="5972C6E5" wp14:editId="47DCBF98">
            <wp:extent cx="5731510" cy="3028315"/>
            <wp:effectExtent l="0" t="0" r="2540" b="635"/>
            <wp:docPr id="1414327491" name="Picture 14"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327491" name="Picture 14" descr="A diagram of a network&#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028315"/>
                    </a:xfrm>
                    <a:prstGeom prst="rect">
                      <a:avLst/>
                    </a:prstGeom>
                    <a:noFill/>
                    <a:ln>
                      <a:noFill/>
                    </a:ln>
                  </pic:spPr>
                </pic:pic>
              </a:graphicData>
            </a:graphic>
          </wp:inline>
        </w:drawing>
      </w:r>
    </w:p>
    <w:p w14:paraId="1D3827C2" w14:textId="41CC6468" w:rsidR="00FB577E" w:rsidRPr="00FB577E" w:rsidRDefault="000E1A26" w:rsidP="000E1A26">
      <w:pPr>
        <w:jc w:val="both"/>
        <w:rPr>
          <w:rFonts w:ascii="Times New Roman" w:eastAsia="Times New Roman" w:hAnsi="Times New Roman" w:cs="Times New Roman"/>
          <w:b/>
          <w:bCs/>
        </w:rPr>
      </w:pPr>
      <w:r w:rsidRPr="00FB577E">
        <w:rPr>
          <w:rFonts w:ascii="Times New Roman" w:eastAsia="Times New Roman" w:hAnsi="Times New Roman" w:cs="Times New Roman"/>
          <w:b/>
          <w:bCs/>
        </w:rPr>
        <w:t xml:space="preserve">Fig. S10 </w:t>
      </w:r>
      <w:proofErr w:type="spellStart"/>
      <w:r w:rsidRPr="00FB577E">
        <w:rPr>
          <w:rFonts w:ascii="Times New Roman" w:eastAsia="Times New Roman" w:hAnsi="Times New Roman" w:cs="Times New Roman"/>
          <w:b/>
          <w:bCs/>
        </w:rPr>
        <w:t>MetaCyc</w:t>
      </w:r>
      <w:proofErr w:type="spellEnd"/>
      <w:r w:rsidRPr="00FB577E">
        <w:rPr>
          <w:rFonts w:ascii="Times New Roman" w:eastAsia="Times New Roman" w:hAnsi="Times New Roman" w:cs="Times New Roman"/>
          <w:b/>
          <w:bCs/>
        </w:rPr>
        <w:t xml:space="preserve"> pathway interaction networks illustrating the functional organization of rhizosphere microbial communities associated with chickpea and maize under HM01 and HM04 treatments. Central nodes represent functional categories, to which individual metabolic pathways are connected as nodes. Pathway nodes are </w:t>
      </w:r>
      <w:proofErr w:type="spellStart"/>
      <w:r w:rsidRPr="00FB577E">
        <w:rPr>
          <w:rFonts w:ascii="Times New Roman" w:eastAsia="Times New Roman" w:hAnsi="Times New Roman" w:cs="Times New Roman"/>
          <w:b/>
          <w:bCs/>
        </w:rPr>
        <w:t>colored</w:t>
      </w:r>
      <w:proofErr w:type="spellEnd"/>
      <w:r w:rsidRPr="00FB577E">
        <w:rPr>
          <w:rFonts w:ascii="Times New Roman" w:eastAsia="Times New Roman" w:hAnsi="Times New Roman" w:cs="Times New Roman"/>
          <w:b/>
          <w:bCs/>
        </w:rPr>
        <w:t xml:space="preserve"> green when their abundance increased and red when their abundance decreased relative to the control, based on log₂ fold-change (</w:t>
      </w:r>
      <w:proofErr w:type="spellStart"/>
      <w:r w:rsidRPr="00FB577E">
        <w:rPr>
          <w:rFonts w:ascii="Times New Roman" w:eastAsia="Times New Roman" w:hAnsi="Times New Roman" w:cs="Times New Roman"/>
          <w:b/>
          <w:bCs/>
        </w:rPr>
        <w:t>log₂FC</w:t>
      </w:r>
      <w:proofErr w:type="spellEnd"/>
      <w:r w:rsidRPr="00FB577E">
        <w:rPr>
          <w:rFonts w:ascii="Times New Roman" w:eastAsia="Times New Roman" w:hAnsi="Times New Roman" w:cs="Times New Roman"/>
          <w:b/>
          <w:bCs/>
        </w:rPr>
        <w:t xml:space="preserve">) values. Node size is proportional to the relative abundance of each pathway. Edges indicate shared reactions or functional overlap among pathways. The diagrams represent: </w:t>
      </w:r>
      <w:r w:rsidR="0057632A" w:rsidRPr="00FB577E">
        <w:rPr>
          <w:rFonts w:ascii="Times New Roman" w:eastAsia="Times New Roman" w:hAnsi="Times New Roman" w:cs="Times New Roman"/>
          <w:b/>
          <w:bCs/>
        </w:rPr>
        <w:t>(a) HM01-treated chickpea rhizosphere, (b) HM04-treated chickpea rhizosphere, (c) HM01-treated maize rhizosphere, and (d) HM04-treated maize rhizosphere.</w:t>
      </w:r>
    </w:p>
    <w:p w14:paraId="6B126D5A" w14:textId="77777777" w:rsidR="00FB577E" w:rsidRPr="00FB577E" w:rsidRDefault="00FB577E" w:rsidP="000E1A26">
      <w:pPr>
        <w:jc w:val="both"/>
        <w:rPr>
          <w:rFonts w:ascii="Times New Roman" w:eastAsia="Times New Roman" w:hAnsi="Times New Roman" w:cs="Times New Roman"/>
          <w:b/>
          <w:bCs/>
        </w:rPr>
        <w:sectPr w:rsidR="00FB577E" w:rsidRPr="00FB577E">
          <w:pgSz w:w="11906" w:h="16838"/>
          <w:pgMar w:top="1440" w:right="1440" w:bottom="1440" w:left="1440" w:header="708" w:footer="708" w:gutter="0"/>
          <w:cols w:space="708"/>
          <w:docGrid w:linePitch="360"/>
        </w:sectPr>
      </w:pPr>
    </w:p>
    <w:p w14:paraId="0D8C68A4" w14:textId="77777777" w:rsidR="000E1A26" w:rsidRPr="00FB577E" w:rsidRDefault="000E1A26" w:rsidP="000E1A26">
      <w:pPr>
        <w:jc w:val="both"/>
        <w:rPr>
          <w:rFonts w:ascii="Times New Roman" w:eastAsia="Times New Roman" w:hAnsi="Times New Roman" w:cs="Times New Roman"/>
          <w:b/>
          <w:bCs/>
        </w:rPr>
      </w:pPr>
      <w:r w:rsidRPr="00FB577E">
        <w:rPr>
          <w:rFonts w:ascii="Times New Roman" w:eastAsia="Times New Roman" w:hAnsi="Times New Roman" w:cs="Times New Roman"/>
          <w:b/>
          <w:bCs/>
        </w:rPr>
        <w:lastRenderedPageBreak/>
        <w:t>Tables</w:t>
      </w:r>
    </w:p>
    <w:p w14:paraId="22348353" w14:textId="77777777" w:rsidR="00FB577E" w:rsidRPr="00FB577E" w:rsidRDefault="00FB577E" w:rsidP="00FB577E">
      <w:pPr>
        <w:jc w:val="both"/>
        <w:rPr>
          <w:rFonts w:ascii="Times New Roman" w:eastAsia="Times New Roman" w:hAnsi="Times New Roman" w:cs="Times New Roman"/>
          <w:b/>
          <w:bCs/>
        </w:rPr>
      </w:pPr>
      <w:r w:rsidRPr="00FB577E">
        <w:rPr>
          <w:rFonts w:ascii="Times New Roman" w:eastAsia="Times New Roman" w:hAnsi="Times New Roman" w:cs="Times New Roman"/>
          <w:b/>
          <w:bCs/>
        </w:rPr>
        <w:t>Table S1. Comparison of six Bacillus subtilis strains (HM01–HM06) for their effects on shoot growth, root growth, and total seedling weight in agar-based assays. To evaluate the relative improvement in plant growth metrics, GSF was computed in relation to three control treatments: water, buffer, and untreated seeds. The table illustrates crop-specific variations in response to strain inoculation, with the two crops (chickpea and maize) showing opposing effects when inoculated with strains HM01 and HM04, which are highlighted in bold.</w:t>
      </w:r>
    </w:p>
    <w:tbl>
      <w:tblPr>
        <w:tblW w:w="5000" w:type="pct"/>
        <w:tblLook w:val="04A0" w:firstRow="1" w:lastRow="0" w:firstColumn="1" w:lastColumn="0" w:noHBand="0" w:noVBand="1"/>
      </w:tblPr>
      <w:tblGrid>
        <w:gridCol w:w="1743"/>
        <w:gridCol w:w="1743"/>
        <w:gridCol w:w="1743"/>
        <w:gridCol w:w="1743"/>
        <w:gridCol w:w="1744"/>
        <w:gridCol w:w="1744"/>
        <w:gridCol w:w="1744"/>
        <w:gridCol w:w="1744"/>
      </w:tblGrid>
      <w:tr w:rsidR="00FB577E" w:rsidRPr="00FB577E" w14:paraId="7B01BFE8" w14:textId="77777777" w:rsidTr="00FB577E">
        <w:trPr>
          <w:trHeight w:val="315"/>
        </w:trPr>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89D69"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Strain</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22CBB22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Control</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7B7EDA1C"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HM01</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4C8250BE"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HM02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3E606A81"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HM03</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13E2BCC5"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HM04</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7C70863D"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HM05</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03DAC69A"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HM06</w:t>
            </w:r>
          </w:p>
        </w:tc>
      </w:tr>
      <w:tr w:rsidR="00FB577E" w:rsidRPr="00FB577E" w14:paraId="741093FE" w14:textId="77777777" w:rsidTr="00FB577E">
        <w:trPr>
          <w:trHeight w:val="315"/>
        </w:trPr>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2C2FCE"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Mung</w:t>
            </w:r>
          </w:p>
        </w:tc>
        <w:tc>
          <w:tcPr>
            <w:tcW w:w="625" w:type="pct"/>
            <w:tcBorders>
              <w:top w:val="nil"/>
              <w:left w:val="nil"/>
              <w:bottom w:val="single" w:sz="4" w:space="0" w:color="auto"/>
              <w:right w:val="single" w:sz="4" w:space="0" w:color="auto"/>
            </w:tcBorders>
            <w:shd w:val="clear" w:color="auto" w:fill="auto"/>
            <w:noWrap/>
            <w:vAlign w:val="center"/>
            <w:hideMark/>
          </w:tcPr>
          <w:p w14:paraId="7332A383"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Water</w:t>
            </w:r>
          </w:p>
        </w:tc>
        <w:tc>
          <w:tcPr>
            <w:tcW w:w="625" w:type="pct"/>
            <w:tcBorders>
              <w:top w:val="nil"/>
              <w:left w:val="nil"/>
              <w:bottom w:val="single" w:sz="4" w:space="0" w:color="auto"/>
              <w:right w:val="single" w:sz="4" w:space="0" w:color="auto"/>
            </w:tcBorders>
            <w:shd w:val="clear" w:color="auto" w:fill="auto"/>
            <w:noWrap/>
            <w:vAlign w:val="center"/>
            <w:hideMark/>
          </w:tcPr>
          <w:p w14:paraId="78B7C2D6"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3CBA7B76"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591F311C"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1CABF7CF"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0C4E849D"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3B42284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r>
      <w:tr w:rsidR="00FB577E" w:rsidRPr="00FB577E" w14:paraId="203035E8" w14:textId="77777777" w:rsidTr="00FB577E">
        <w:trPr>
          <w:trHeight w:val="315"/>
        </w:trPr>
        <w:tc>
          <w:tcPr>
            <w:tcW w:w="625" w:type="pct"/>
            <w:vMerge/>
            <w:tcBorders>
              <w:top w:val="nil"/>
              <w:left w:val="single" w:sz="4" w:space="0" w:color="auto"/>
              <w:bottom w:val="single" w:sz="4" w:space="0" w:color="auto"/>
              <w:right w:val="single" w:sz="4" w:space="0" w:color="auto"/>
            </w:tcBorders>
            <w:vAlign w:val="center"/>
            <w:hideMark/>
          </w:tcPr>
          <w:p w14:paraId="3B0A73CE" w14:textId="77777777" w:rsidR="00FB577E" w:rsidRPr="00FB577E" w:rsidRDefault="00FB577E" w:rsidP="00FB577E">
            <w:pPr>
              <w:pStyle w:val="NoSpacing"/>
              <w:rPr>
                <w:rFonts w:ascii="Times New Roman" w:hAnsi="Times New Roman" w:cs="Times New Roman"/>
              </w:rPr>
            </w:pPr>
          </w:p>
        </w:tc>
        <w:tc>
          <w:tcPr>
            <w:tcW w:w="625" w:type="pct"/>
            <w:tcBorders>
              <w:top w:val="nil"/>
              <w:left w:val="nil"/>
              <w:bottom w:val="single" w:sz="4" w:space="0" w:color="auto"/>
              <w:right w:val="single" w:sz="4" w:space="0" w:color="auto"/>
            </w:tcBorders>
            <w:shd w:val="clear" w:color="auto" w:fill="auto"/>
            <w:noWrap/>
            <w:vAlign w:val="center"/>
            <w:hideMark/>
          </w:tcPr>
          <w:p w14:paraId="1B097B7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Buffer</w:t>
            </w:r>
          </w:p>
        </w:tc>
        <w:tc>
          <w:tcPr>
            <w:tcW w:w="625" w:type="pct"/>
            <w:tcBorders>
              <w:top w:val="nil"/>
              <w:left w:val="nil"/>
              <w:bottom w:val="single" w:sz="4" w:space="0" w:color="auto"/>
              <w:right w:val="single" w:sz="4" w:space="0" w:color="auto"/>
            </w:tcBorders>
            <w:shd w:val="clear" w:color="auto" w:fill="auto"/>
            <w:noWrap/>
            <w:vAlign w:val="center"/>
            <w:hideMark/>
          </w:tcPr>
          <w:p w14:paraId="55D2E8C3"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17385AD5"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6801569F"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16650946"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3D219168"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4BD4077D"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r>
      <w:tr w:rsidR="00FB577E" w:rsidRPr="00FB577E" w14:paraId="0535AC8A" w14:textId="77777777" w:rsidTr="00FB577E">
        <w:trPr>
          <w:trHeight w:val="315"/>
        </w:trPr>
        <w:tc>
          <w:tcPr>
            <w:tcW w:w="625" w:type="pct"/>
            <w:vMerge/>
            <w:tcBorders>
              <w:top w:val="nil"/>
              <w:left w:val="single" w:sz="4" w:space="0" w:color="auto"/>
              <w:bottom w:val="single" w:sz="4" w:space="0" w:color="auto"/>
              <w:right w:val="single" w:sz="4" w:space="0" w:color="auto"/>
            </w:tcBorders>
            <w:vAlign w:val="center"/>
            <w:hideMark/>
          </w:tcPr>
          <w:p w14:paraId="7490C38B" w14:textId="77777777" w:rsidR="00FB577E" w:rsidRPr="00FB577E" w:rsidRDefault="00FB577E" w:rsidP="00FB577E">
            <w:pPr>
              <w:pStyle w:val="NoSpacing"/>
              <w:rPr>
                <w:rFonts w:ascii="Times New Roman" w:hAnsi="Times New Roman" w:cs="Times New Roman"/>
              </w:rPr>
            </w:pPr>
          </w:p>
        </w:tc>
        <w:tc>
          <w:tcPr>
            <w:tcW w:w="625" w:type="pct"/>
            <w:tcBorders>
              <w:top w:val="nil"/>
              <w:left w:val="nil"/>
              <w:bottom w:val="single" w:sz="4" w:space="0" w:color="auto"/>
              <w:right w:val="single" w:sz="4" w:space="0" w:color="auto"/>
            </w:tcBorders>
            <w:shd w:val="clear" w:color="auto" w:fill="auto"/>
            <w:noWrap/>
            <w:vAlign w:val="center"/>
            <w:hideMark/>
          </w:tcPr>
          <w:p w14:paraId="70AAA986"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Untreated</w:t>
            </w:r>
          </w:p>
        </w:tc>
        <w:tc>
          <w:tcPr>
            <w:tcW w:w="625" w:type="pct"/>
            <w:tcBorders>
              <w:top w:val="nil"/>
              <w:left w:val="nil"/>
              <w:bottom w:val="single" w:sz="4" w:space="0" w:color="auto"/>
              <w:right w:val="single" w:sz="4" w:space="0" w:color="auto"/>
            </w:tcBorders>
            <w:shd w:val="clear" w:color="auto" w:fill="auto"/>
            <w:noWrap/>
            <w:vAlign w:val="center"/>
            <w:hideMark/>
          </w:tcPr>
          <w:p w14:paraId="5E366799"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68314467"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451A0BDE"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1346256F"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0516C861"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5611D56D"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r>
      <w:tr w:rsidR="00FB577E" w:rsidRPr="00FB577E" w14:paraId="4F37249F" w14:textId="77777777" w:rsidTr="00FB577E">
        <w:trPr>
          <w:trHeight w:val="315"/>
        </w:trPr>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728D9DC"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Cotton</w:t>
            </w:r>
          </w:p>
        </w:tc>
        <w:tc>
          <w:tcPr>
            <w:tcW w:w="625" w:type="pct"/>
            <w:tcBorders>
              <w:top w:val="nil"/>
              <w:left w:val="nil"/>
              <w:bottom w:val="single" w:sz="4" w:space="0" w:color="auto"/>
              <w:right w:val="single" w:sz="4" w:space="0" w:color="auto"/>
            </w:tcBorders>
            <w:shd w:val="clear" w:color="auto" w:fill="auto"/>
            <w:noWrap/>
            <w:vAlign w:val="center"/>
            <w:hideMark/>
          </w:tcPr>
          <w:p w14:paraId="753AC1CF"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Water</w:t>
            </w:r>
          </w:p>
        </w:tc>
        <w:tc>
          <w:tcPr>
            <w:tcW w:w="625" w:type="pct"/>
            <w:tcBorders>
              <w:top w:val="nil"/>
              <w:left w:val="nil"/>
              <w:bottom w:val="single" w:sz="4" w:space="0" w:color="auto"/>
              <w:right w:val="single" w:sz="4" w:space="0" w:color="auto"/>
            </w:tcBorders>
            <w:shd w:val="clear" w:color="auto" w:fill="auto"/>
            <w:noWrap/>
            <w:vAlign w:val="center"/>
            <w:hideMark/>
          </w:tcPr>
          <w:p w14:paraId="6A2A09D3"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69C7C595"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2FF3CE7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374506FF"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6E2A34F5"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643E906A"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r>
      <w:tr w:rsidR="00FB577E" w:rsidRPr="00FB577E" w14:paraId="0915FE2B" w14:textId="77777777" w:rsidTr="00FB577E">
        <w:trPr>
          <w:trHeight w:val="315"/>
        </w:trPr>
        <w:tc>
          <w:tcPr>
            <w:tcW w:w="625" w:type="pct"/>
            <w:vMerge/>
            <w:tcBorders>
              <w:top w:val="nil"/>
              <w:left w:val="single" w:sz="4" w:space="0" w:color="auto"/>
              <w:bottom w:val="single" w:sz="4" w:space="0" w:color="auto"/>
              <w:right w:val="single" w:sz="4" w:space="0" w:color="auto"/>
            </w:tcBorders>
            <w:vAlign w:val="center"/>
            <w:hideMark/>
          </w:tcPr>
          <w:p w14:paraId="1184DA1B" w14:textId="77777777" w:rsidR="00FB577E" w:rsidRPr="00FB577E" w:rsidRDefault="00FB577E" w:rsidP="00FB577E">
            <w:pPr>
              <w:pStyle w:val="NoSpacing"/>
              <w:rPr>
                <w:rFonts w:ascii="Times New Roman" w:hAnsi="Times New Roman" w:cs="Times New Roman"/>
              </w:rPr>
            </w:pPr>
          </w:p>
        </w:tc>
        <w:tc>
          <w:tcPr>
            <w:tcW w:w="625" w:type="pct"/>
            <w:tcBorders>
              <w:top w:val="nil"/>
              <w:left w:val="nil"/>
              <w:bottom w:val="single" w:sz="4" w:space="0" w:color="auto"/>
              <w:right w:val="single" w:sz="4" w:space="0" w:color="auto"/>
            </w:tcBorders>
            <w:shd w:val="clear" w:color="auto" w:fill="auto"/>
            <w:noWrap/>
            <w:vAlign w:val="center"/>
            <w:hideMark/>
          </w:tcPr>
          <w:p w14:paraId="30AFF854"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Buffer</w:t>
            </w:r>
          </w:p>
        </w:tc>
        <w:tc>
          <w:tcPr>
            <w:tcW w:w="625" w:type="pct"/>
            <w:tcBorders>
              <w:top w:val="nil"/>
              <w:left w:val="nil"/>
              <w:bottom w:val="single" w:sz="4" w:space="0" w:color="auto"/>
              <w:right w:val="single" w:sz="4" w:space="0" w:color="auto"/>
            </w:tcBorders>
            <w:shd w:val="clear" w:color="auto" w:fill="auto"/>
            <w:noWrap/>
            <w:vAlign w:val="center"/>
            <w:hideMark/>
          </w:tcPr>
          <w:p w14:paraId="69D68308"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656DC5E9"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3F4E6D16"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3EBBBEF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439A82C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199876E5"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r>
      <w:tr w:rsidR="00FB577E" w:rsidRPr="00FB577E" w14:paraId="5516ACA6" w14:textId="77777777" w:rsidTr="00FB577E">
        <w:trPr>
          <w:trHeight w:val="315"/>
        </w:trPr>
        <w:tc>
          <w:tcPr>
            <w:tcW w:w="625" w:type="pct"/>
            <w:vMerge/>
            <w:tcBorders>
              <w:top w:val="nil"/>
              <w:left w:val="single" w:sz="4" w:space="0" w:color="auto"/>
              <w:bottom w:val="single" w:sz="4" w:space="0" w:color="auto"/>
              <w:right w:val="single" w:sz="4" w:space="0" w:color="auto"/>
            </w:tcBorders>
            <w:vAlign w:val="center"/>
            <w:hideMark/>
          </w:tcPr>
          <w:p w14:paraId="2BC47C55" w14:textId="77777777" w:rsidR="00FB577E" w:rsidRPr="00FB577E" w:rsidRDefault="00FB577E" w:rsidP="00FB577E">
            <w:pPr>
              <w:pStyle w:val="NoSpacing"/>
              <w:rPr>
                <w:rFonts w:ascii="Times New Roman" w:hAnsi="Times New Roman" w:cs="Times New Roman"/>
              </w:rPr>
            </w:pPr>
          </w:p>
        </w:tc>
        <w:tc>
          <w:tcPr>
            <w:tcW w:w="625" w:type="pct"/>
            <w:tcBorders>
              <w:top w:val="nil"/>
              <w:left w:val="nil"/>
              <w:bottom w:val="single" w:sz="4" w:space="0" w:color="auto"/>
              <w:right w:val="single" w:sz="4" w:space="0" w:color="auto"/>
            </w:tcBorders>
            <w:shd w:val="clear" w:color="auto" w:fill="auto"/>
            <w:noWrap/>
            <w:vAlign w:val="center"/>
            <w:hideMark/>
          </w:tcPr>
          <w:p w14:paraId="2BE29203"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Untreated</w:t>
            </w:r>
          </w:p>
        </w:tc>
        <w:tc>
          <w:tcPr>
            <w:tcW w:w="625" w:type="pct"/>
            <w:tcBorders>
              <w:top w:val="nil"/>
              <w:left w:val="nil"/>
              <w:bottom w:val="single" w:sz="4" w:space="0" w:color="auto"/>
              <w:right w:val="single" w:sz="4" w:space="0" w:color="auto"/>
            </w:tcBorders>
            <w:shd w:val="clear" w:color="auto" w:fill="auto"/>
            <w:noWrap/>
            <w:vAlign w:val="center"/>
            <w:hideMark/>
          </w:tcPr>
          <w:p w14:paraId="2E083B5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0CD9E9BA"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1EE84BF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50B793A1"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2DA77137"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0BAF09C6"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r>
      <w:tr w:rsidR="00FB577E" w:rsidRPr="00FB577E" w14:paraId="322194EF" w14:textId="77777777" w:rsidTr="00FB577E">
        <w:trPr>
          <w:trHeight w:val="315"/>
        </w:trPr>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EA2D3A"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Jowar</w:t>
            </w:r>
          </w:p>
        </w:tc>
        <w:tc>
          <w:tcPr>
            <w:tcW w:w="625" w:type="pct"/>
            <w:tcBorders>
              <w:top w:val="nil"/>
              <w:left w:val="nil"/>
              <w:bottom w:val="single" w:sz="4" w:space="0" w:color="auto"/>
              <w:right w:val="single" w:sz="4" w:space="0" w:color="auto"/>
            </w:tcBorders>
            <w:shd w:val="clear" w:color="auto" w:fill="auto"/>
            <w:noWrap/>
            <w:vAlign w:val="center"/>
            <w:hideMark/>
          </w:tcPr>
          <w:p w14:paraId="6FD5EA80"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Water</w:t>
            </w:r>
          </w:p>
        </w:tc>
        <w:tc>
          <w:tcPr>
            <w:tcW w:w="625" w:type="pct"/>
            <w:tcBorders>
              <w:top w:val="nil"/>
              <w:left w:val="nil"/>
              <w:bottom w:val="single" w:sz="4" w:space="0" w:color="auto"/>
              <w:right w:val="single" w:sz="4" w:space="0" w:color="auto"/>
            </w:tcBorders>
            <w:shd w:val="clear" w:color="auto" w:fill="auto"/>
            <w:noWrap/>
            <w:vAlign w:val="center"/>
            <w:hideMark/>
          </w:tcPr>
          <w:p w14:paraId="7C9227EF"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0E12EA59"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06B508D1"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6A1FDB0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632319C6"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54A0A688"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r>
      <w:tr w:rsidR="00FB577E" w:rsidRPr="00FB577E" w14:paraId="47E15A9A" w14:textId="77777777" w:rsidTr="00FB577E">
        <w:trPr>
          <w:trHeight w:val="315"/>
        </w:trPr>
        <w:tc>
          <w:tcPr>
            <w:tcW w:w="625" w:type="pct"/>
            <w:vMerge/>
            <w:tcBorders>
              <w:top w:val="nil"/>
              <w:left w:val="single" w:sz="4" w:space="0" w:color="auto"/>
              <w:bottom w:val="single" w:sz="4" w:space="0" w:color="auto"/>
              <w:right w:val="single" w:sz="4" w:space="0" w:color="auto"/>
            </w:tcBorders>
            <w:vAlign w:val="center"/>
            <w:hideMark/>
          </w:tcPr>
          <w:p w14:paraId="4D5B7362" w14:textId="77777777" w:rsidR="00FB577E" w:rsidRPr="00FB577E" w:rsidRDefault="00FB577E" w:rsidP="00FB577E">
            <w:pPr>
              <w:pStyle w:val="NoSpacing"/>
              <w:rPr>
                <w:rFonts w:ascii="Times New Roman" w:hAnsi="Times New Roman" w:cs="Times New Roman"/>
              </w:rPr>
            </w:pPr>
          </w:p>
        </w:tc>
        <w:tc>
          <w:tcPr>
            <w:tcW w:w="625" w:type="pct"/>
            <w:tcBorders>
              <w:top w:val="nil"/>
              <w:left w:val="nil"/>
              <w:bottom w:val="single" w:sz="4" w:space="0" w:color="auto"/>
              <w:right w:val="single" w:sz="4" w:space="0" w:color="auto"/>
            </w:tcBorders>
            <w:shd w:val="clear" w:color="auto" w:fill="auto"/>
            <w:noWrap/>
            <w:vAlign w:val="center"/>
            <w:hideMark/>
          </w:tcPr>
          <w:p w14:paraId="48665948"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Buffer</w:t>
            </w:r>
          </w:p>
        </w:tc>
        <w:tc>
          <w:tcPr>
            <w:tcW w:w="625" w:type="pct"/>
            <w:tcBorders>
              <w:top w:val="nil"/>
              <w:left w:val="nil"/>
              <w:bottom w:val="single" w:sz="4" w:space="0" w:color="auto"/>
              <w:right w:val="single" w:sz="4" w:space="0" w:color="auto"/>
            </w:tcBorders>
            <w:shd w:val="clear" w:color="auto" w:fill="auto"/>
            <w:noWrap/>
            <w:vAlign w:val="center"/>
            <w:hideMark/>
          </w:tcPr>
          <w:p w14:paraId="197C0177"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4550F1B2"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4D550DBC"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52FCB77E"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44184094"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71724581"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r>
      <w:tr w:rsidR="00FB577E" w:rsidRPr="00FB577E" w14:paraId="19EB2A0A" w14:textId="77777777" w:rsidTr="00FB577E">
        <w:trPr>
          <w:trHeight w:val="315"/>
        </w:trPr>
        <w:tc>
          <w:tcPr>
            <w:tcW w:w="625" w:type="pct"/>
            <w:vMerge/>
            <w:tcBorders>
              <w:top w:val="nil"/>
              <w:left w:val="single" w:sz="4" w:space="0" w:color="auto"/>
              <w:bottom w:val="single" w:sz="4" w:space="0" w:color="auto"/>
              <w:right w:val="single" w:sz="4" w:space="0" w:color="auto"/>
            </w:tcBorders>
            <w:vAlign w:val="center"/>
            <w:hideMark/>
          </w:tcPr>
          <w:p w14:paraId="2B5D9FC9" w14:textId="77777777" w:rsidR="00FB577E" w:rsidRPr="00FB577E" w:rsidRDefault="00FB577E" w:rsidP="00FB577E">
            <w:pPr>
              <w:pStyle w:val="NoSpacing"/>
              <w:rPr>
                <w:rFonts w:ascii="Times New Roman" w:hAnsi="Times New Roman" w:cs="Times New Roman"/>
              </w:rPr>
            </w:pPr>
          </w:p>
        </w:tc>
        <w:tc>
          <w:tcPr>
            <w:tcW w:w="625" w:type="pct"/>
            <w:tcBorders>
              <w:top w:val="nil"/>
              <w:left w:val="nil"/>
              <w:bottom w:val="single" w:sz="4" w:space="0" w:color="auto"/>
              <w:right w:val="single" w:sz="4" w:space="0" w:color="auto"/>
            </w:tcBorders>
            <w:shd w:val="clear" w:color="auto" w:fill="auto"/>
            <w:noWrap/>
            <w:vAlign w:val="center"/>
            <w:hideMark/>
          </w:tcPr>
          <w:p w14:paraId="41C7B3B1"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Untreated</w:t>
            </w:r>
          </w:p>
        </w:tc>
        <w:tc>
          <w:tcPr>
            <w:tcW w:w="625" w:type="pct"/>
            <w:tcBorders>
              <w:top w:val="nil"/>
              <w:left w:val="nil"/>
              <w:bottom w:val="single" w:sz="4" w:space="0" w:color="auto"/>
              <w:right w:val="single" w:sz="4" w:space="0" w:color="auto"/>
            </w:tcBorders>
            <w:shd w:val="clear" w:color="auto" w:fill="auto"/>
            <w:noWrap/>
            <w:vAlign w:val="center"/>
            <w:hideMark/>
          </w:tcPr>
          <w:p w14:paraId="254566B1"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72816286"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68ADA0C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67FE7E29"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293AD2BF"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50B3B9C9"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r>
      <w:tr w:rsidR="00FB577E" w:rsidRPr="00FB577E" w14:paraId="2404FD09" w14:textId="77777777" w:rsidTr="00FB577E">
        <w:trPr>
          <w:trHeight w:val="315"/>
        </w:trPr>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B88930"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Wheat</w:t>
            </w:r>
          </w:p>
        </w:tc>
        <w:tc>
          <w:tcPr>
            <w:tcW w:w="625" w:type="pct"/>
            <w:tcBorders>
              <w:top w:val="nil"/>
              <w:left w:val="nil"/>
              <w:bottom w:val="single" w:sz="4" w:space="0" w:color="auto"/>
              <w:right w:val="single" w:sz="4" w:space="0" w:color="auto"/>
            </w:tcBorders>
            <w:shd w:val="clear" w:color="auto" w:fill="auto"/>
            <w:noWrap/>
            <w:vAlign w:val="center"/>
            <w:hideMark/>
          </w:tcPr>
          <w:p w14:paraId="5B73E22F"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Water</w:t>
            </w:r>
          </w:p>
        </w:tc>
        <w:tc>
          <w:tcPr>
            <w:tcW w:w="625" w:type="pct"/>
            <w:tcBorders>
              <w:top w:val="nil"/>
              <w:left w:val="nil"/>
              <w:bottom w:val="single" w:sz="4" w:space="0" w:color="auto"/>
              <w:right w:val="single" w:sz="4" w:space="0" w:color="auto"/>
            </w:tcBorders>
            <w:shd w:val="clear" w:color="auto" w:fill="auto"/>
            <w:noWrap/>
            <w:vAlign w:val="center"/>
            <w:hideMark/>
          </w:tcPr>
          <w:p w14:paraId="07B906B6"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60431B3A"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0978793C"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6DCF9B41"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5084101D"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756AF9F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r>
      <w:tr w:rsidR="00FB577E" w:rsidRPr="00FB577E" w14:paraId="32C2BE5F" w14:textId="77777777" w:rsidTr="00FB577E">
        <w:trPr>
          <w:trHeight w:val="315"/>
        </w:trPr>
        <w:tc>
          <w:tcPr>
            <w:tcW w:w="625" w:type="pct"/>
            <w:vMerge/>
            <w:tcBorders>
              <w:top w:val="nil"/>
              <w:left w:val="single" w:sz="4" w:space="0" w:color="auto"/>
              <w:bottom w:val="single" w:sz="4" w:space="0" w:color="auto"/>
              <w:right w:val="single" w:sz="4" w:space="0" w:color="auto"/>
            </w:tcBorders>
            <w:vAlign w:val="center"/>
            <w:hideMark/>
          </w:tcPr>
          <w:p w14:paraId="6E6BF6A4" w14:textId="77777777" w:rsidR="00FB577E" w:rsidRPr="00FB577E" w:rsidRDefault="00FB577E" w:rsidP="00FB577E">
            <w:pPr>
              <w:pStyle w:val="NoSpacing"/>
              <w:rPr>
                <w:rFonts w:ascii="Times New Roman" w:hAnsi="Times New Roman" w:cs="Times New Roman"/>
              </w:rPr>
            </w:pPr>
          </w:p>
        </w:tc>
        <w:tc>
          <w:tcPr>
            <w:tcW w:w="625" w:type="pct"/>
            <w:tcBorders>
              <w:top w:val="nil"/>
              <w:left w:val="nil"/>
              <w:bottom w:val="single" w:sz="4" w:space="0" w:color="auto"/>
              <w:right w:val="single" w:sz="4" w:space="0" w:color="auto"/>
            </w:tcBorders>
            <w:shd w:val="clear" w:color="auto" w:fill="auto"/>
            <w:noWrap/>
            <w:vAlign w:val="center"/>
            <w:hideMark/>
          </w:tcPr>
          <w:p w14:paraId="3EE1F082"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Buffer</w:t>
            </w:r>
          </w:p>
        </w:tc>
        <w:tc>
          <w:tcPr>
            <w:tcW w:w="625" w:type="pct"/>
            <w:tcBorders>
              <w:top w:val="nil"/>
              <w:left w:val="nil"/>
              <w:bottom w:val="single" w:sz="4" w:space="0" w:color="auto"/>
              <w:right w:val="single" w:sz="4" w:space="0" w:color="auto"/>
            </w:tcBorders>
            <w:shd w:val="clear" w:color="auto" w:fill="auto"/>
            <w:noWrap/>
            <w:vAlign w:val="center"/>
            <w:hideMark/>
          </w:tcPr>
          <w:p w14:paraId="7CD479AC"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7E4CC280"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61CEB4FD"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52023DED"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3B0E9C24"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3A88F243"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r>
      <w:tr w:rsidR="00FB577E" w:rsidRPr="00FB577E" w14:paraId="46224922" w14:textId="77777777" w:rsidTr="00FB577E">
        <w:trPr>
          <w:trHeight w:val="315"/>
        </w:trPr>
        <w:tc>
          <w:tcPr>
            <w:tcW w:w="625" w:type="pct"/>
            <w:vMerge/>
            <w:tcBorders>
              <w:top w:val="nil"/>
              <w:left w:val="single" w:sz="4" w:space="0" w:color="auto"/>
              <w:bottom w:val="single" w:sz="4" w:space="0" w:color="auto"/>
              <w:right w:val="single" w:sz="4" w:space="0" w:color="auto"/>
            </w:tcBorders>
            <w:vAlign w:val="center"/>
            <w:hideMark/>
          </w:tcPr>
          <w:p w14:paraId="740E07AB" w14:textId="77777777" w:rsidR="00FB577E" w:rsidRPr="00FB577E" w:rsidRDefault="00FB577E" w:rsidP="00FB577E">
            <w:pPr>
              <w:pStyle w:val="NoSpacing"/>
              <w:rPr>
                <w:rFonts w:ascii="Times New Roman" w:hAnsi="Times New Roman" w:cs="Times New Roman"/>
              </w:rPr>
            </w:pPr>
          </w:p>
        </w:tc>
        <w:tc>
          <w:tcPr>
            <w:tcW w:w="625" w:type="pct"/>
            <w:tcBorders>
              <w:top w:val="nil"/>
              <w:left w:val="nil"/>
              <w:bottom w:val="single" w:sz="4" w:space="0" w:color="auto"/>
              <w:right w:val="single" w:sz="4" w:space="0" w:color="auto"/>
            </w:tcBorders>
            <w:shd w:val="clear" w:color="auto" w:fill="auto"/>
            <w:noWrap/>
            <w:vAlign w:val="center"/>
            <w:hideMark/>
          </w:tcPr>
          <w:p w14:paraId="59491E0F"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Untreated</w:t>
            </w:r>
          </w:p>
        </w:tc>
        <w:tc>
          <w:tcPr>
            <w:tcW w:w="625" w:type="pct"/>
            <w:tcBorders>
              <w:top w:val="nil"/>
              <w:left w:val="nil"/>
              <w:bottom w:val="single" w:sz="4" w:space="0" w:color="auto"/>
              <w:right w:val="single" w:sz="4" w:space="0" w:color="auto"/>
            </w:tcBorders>
            <w:shd w:val="clear" w:color="auto" w:fill="auto"/>
            <w:noWrap/>
            <w:vAlign w:val="center"/>
            <w:hideMark/>
          </w:tcPr>
          <w:p w14:paraId="651317DD"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28876123"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6CA64C1C"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42C2CA8E"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45E17124"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74BE5DD2"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r>
      <w:tr w:rsidR="00FB577E" w:rsidRPr="00FB577E" w14:paraId="6AFBC065" w14:textId="77777777" w:rsidTr="00FB577E">
        <w:trPr>
          <w:trHeight w:val="315"/>
        </w:trPr>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5C8355"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Chickpea</w:t>
            </w:r>
          </w:p>
        </w:tc>
        <w:tc>
          <w:tcPr>
            <w:tcW w:w="625" w:type="pct"/>
            <w:tcBorders>
              <w:top w:val="nil"/>
              <w:left w:val="nil"/>
              <w:bottom w:val="single" w:sz="4" w:space="0" w:color="auto"/>
              <w:right w:val="single" w:sz="4" w:space="0" w:color="auto"/>
            </w:tcBorders>
            <w:shd w:val="clear" w:color="auto" w:fill="auto"/>
            <w:noWrap/>
            <w:vAlign w:val="center"/>
            <w:hideMark/>
          </w:tcPr>
          <w:p w14:paraId="74270F85"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Water</w:t>
            </w:r>
          </w:p>
        </w:tc>
        <w:tc>
          <w:tcPr>
            <w:tcW w:w="625" w:type="pct"/>
            <w:tcBorders>
              <w:top w:val="nil"/>
              <w:left w:val="nil"/>
              <w:bottom w:val="single" w:sz="4" w:space="0" w:color="auto"/>
              <w:right w:val="single" w:sz="4" w:space="0" w:color="auto"/>
            </w:tcBorders>
            <w:shd w:val="clear" w:color="auto" w:fill="auto"/>
            <w:noWrap/>
            <w:vAlign w:val="center"/>
            <w:hideMark/>
          </w:tcPr>
          <w:p w14:paraId="198B51A3"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10C7987C"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54317E59"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09C90A1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00956542"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7E5A5855"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r>
      <w:tr w:rsidR="00FB577E" w:rsidRPr="00FB577E" w14:paraId="3CC8BD82" w14:textId="77777777" w:rsidTr="00FB577E">
        <w:trPr>
          <w:trHeight w:val="315"/>
        </w:trPr>
        <w:tc>
          <w:tcPr>
            <w:tcW w:w="625" w:type="pct"/>
            <w:vMerge/>
            <w:tcBorders>
              <w:top w:val="nil"/>
              <w:left w:val="single" w:sz="4" w:space="0" w:color="auto"/>
              <w:bottom w:val="single" w:sz="4" w:space="0" w:color="auto"/>
              <w:right w:val="single" w:sz="4" w:space="0" w:color="auto"/>
            </w:tcBorders>
            <w:vAlign w:val="center"/>
            <w:hideMark/>
          </w:tcPr>
          <w:p w14:paraId="5710D04F" w14:textId="77777777" w:rsidR="00FB577E" w:rsidRPr="00FB577E" w:rsidRDefault="00FB577E" w:rsidP="00FB577E">
            <w:pPr>
              <w:pStyle w:val="NoSpacing"/>
              <w:rPr>
                <w:rFonts w:ascii="Times New Roman" w:hAnsi="Times New Roman" w:cs="Times New Roman"/>
              </w:rPr>
            </w:pPr>
          </w:p>
        </w:tc>
        <w:tc>
          <w:tcPr>
            <w:tcW w:w="625" w:type="pct"/>
            <w:tcBorders>
              <w:top w:val="nil"/>
              <w:left w:val="nil"/>
              <w:bottom w:val="single" w:sz="4" w:space="0" w:color="auto"/>
              <w:right w:val="single" w:sz="4" w:space="0" w:color="auto"/>
            </w:tcBorders>
            <w:shd w:val="clear" w:color="auto" w:fill="auto"/>
            <w:noWrap/>
            <w:vAlign w:val="center"/>
            <w:hideMark/>
          </w:tcPr>
          <w:p w14:paraId="3B145D03"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Buffer</w:t>
            </w:r>
          </w:p>
        </w:tc>
        <w:tc>
          <w:tcPr>
            <w:tcW w:w="625" w:type="pct"/>
            <w:tcBorders>
              <w:top w:val="nil"/>
              <w:left w:val="nil"/>
              <w:bottom w:val="single" w:sz="4" w:space="0" w:color="auto"/>
              <w:right w:val="single" w:sz="4" w:space="0" w:color="auto"/>
            </w:tcBorders>
            <w:shd w:val="clear" w:color="auto" w:fill="auto"/>
            <w:noWrap/>
            <w:vAlign w:val="center"/>
            <w:hideMark/>
          </w:tcPr>
          <w:p w14:paraId="17410EAA"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35DC49AE"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5F035B58"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1ED43595"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4E185D36"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17BCB06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r>
      <w:tr w:rsidR="00FB577E" w:rsidRPr="00FB577E" w14:paraId="1857BC41" w14:textId="77777777" w:rsidTr="00FB577E">
        <w:trPr>
          <w:trHeight w:val="315"/>
        </w:trPr>
        <w:tc>
          <w:tcPr>
            <w:tcW w:w="625" w:type="pct"/>
            <w:vMerge/>
            <w:tcBorders>
              <w:top w:val="nil"/>
              <w:left w:val="single" w:sz="4" w:space="0" w:color="auto"/>
              <w:bottom w:val="single" w:sz="4" w:space="0" w:color="auto"/>
              <w:right w:val="single" w:sz="4" w:space="0" w:color="auto"/>
            </w:tcBorders>
            <w:vAlign w:val="center"/>
            <w:hideMark/>
          </w:tcPr>
          <w:p w14:paraId="7C1AE663" w14:textId="77777777" w:rsidR="00FB577E" w:rsidRPr="00FB577E" w:rsidRDefault="00FB577E" w:rsidP="00FB577E">
            <w:pPr>
              <w:pStyle w:val="NoSpacing"/>
              <w:rPr>
                <w:rFonts w:ascii="Times New Roman" w:hAnsi="Times New Roman" w:cs="Times New Roman"/>
              </w:rPr>
            </w:pPr>
          </w:p>
        </w:tc>
        <w:tc>
          <w:tcPr>
            <w:tcW w:w="625" w:type="pct"/>
            <w:tcBorders>
              <w:top w:val="nil"/>
              <w:left w:val="nil"/>
              <w:bottom w:val="single" w:sz="4" w:space="0" w:color="auto"/>
              <w:right w:val="single" w:sz="4" w:space="0" w:color="auto"/>
            </w:tcBorders>
            <w:shd w:val="clear" w:color="auto" w:fill="auto"/>
            <w:noWrap/>
            <w:vAlign w:val="center"/>
            <w:hideMark/>
          </w:tcPr>
          <w:p w14:paraId="2F054CB7"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Untreated</w:t>
            </w:r>
          </w:p>
        </w:tc>
        <w:tc>
          <w:tcPr>
            <w:tcW w:w="625" w:type="pct"/>
            <w:tcBorders>
              <w:top w:val="nil"/>
              <w:left w:val="nil"/>
              <w:bottom w:val="single" w:sz="4" w:space="0" w:color="auto"/>
              <w:right w:val="single" w:sz="4" w:space="0" w:color="auto"/>
            </w:tcBorders>
            <w:shd w:val="clear" w:color="auto" w:fill="auto"/>
            <w:noWrap/>
            <w:vAlign w:val="center"/>
            <w:hideMark/>
          </w:tcPr>
          <w:p w14:paraId="795CDFE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7B073999"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5F398CE7"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3DDF7088"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3FECD97D"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c>
          <w:tcPr>
            <w:tcW w:w="625" w:type="pct"/>
            <w:tcBorders>
              <w:top w:val="nil"/>
              <w:left w:val="nil"/>
              <w:bottom w:val="single" w:sz="4" w:space="0" w:color="auto"/>
              <w:right w:val="single" w:sz="4" w:space="0" w:color="auto"/>
            </w:tcBorders>
            <w:shd w:val="clear" w:color="auto" w:fill="auto"/>
            <w:noWrap/>
            <w:vAlign w:val="center"/>
            <w:hideMark/>
          </w:tcPr>
          <w:p w14:paraId="7C606035"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r>
      <w:tr w:rsidR="00FB577E" w:rsidRPr="00FB577E" w14:paraId="74B8CB7A" w14:textId="77777777" w:rsidTr="00FB577E">
        <w:trPr>
          <w:trHeight w:val="315"/>
        </w:trPr>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DDCBC6"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Maize</w:t>
            </w:r>
          </w:p>
        </w:tc>
        <w:tc>
          <w:tcPr>
            <w:tcW w:w="625" w:type="pct"/>
            <w:tcBorders>
              <w:top w:val="nil"/>
              <w:left w:val="nil"/>
              <w:bottom w:val="single" w:sz="4" w:space="0" w:color="auto"/>
              <w:right w:val="single" w:sz="4" w:space="0" w:color="auto"/>
            </w:tcBorders>
            <w:shd w:val="clear" w:color="auto" w:fill="auto"/>
            <w:noWrap/>
            <w:vAlign w:val="center"/>
            <w:hideMark/>
          </w:tcPr>
          <w:p w14:paraId="6FDF53AD"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Water</w:t>
            </w:r>
          </w:p>
        </w:tc>
        <w:tc>
          <w:tcPr>
            <w:tcW w:w="625" w:type="pct"/>
            <w:tcBorders>
              <w:top w:val="nil"/>
              <w:left w:val="nil"/>
              <w:bottom w:val="single" w:sz="4" w:space="0" w:color="auto"/>
              <w:right w:val="single" w:sz="4" w:space="0" w:color="auto"/>
            </w:tcBorders>
            <w:shd w:val="clear" w:color="auto" w:fill="auto"/>
            <w:noWrap/>
            <w:vAlign w:val="center"/>
            <w:hideMark/>
          </w:tcPr>
          <w:p w14:paraId="659A11A6"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62A40C9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4A848773"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594D2B41"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00814CB6"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7B688B66"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r>
      <w:tr w:rsidR="00FB577E" w:rsidRPr="00FB577E" w14:paraId="55874F4A" w14:textId="77777777" w:rsidTr="00FB577E">
        <w:trPr>
          <w:trHeight w:val="315"/>
        </w:trPr>
        <w:tc>
          <w:tcPr>
            <w:tcW w:w="625" w:type="pct"/>
            <w:vMerge/>
            <w:tcBorders>
              <w:top w:val="nil"/>
              <w:left w:val="single" w:sz="4" w:space="0" w:color="auto"/>
              <w:bottom w:val="single" w:sz="4" w:space="0" w:color="auto"/>
              <w:right w:val="single" w:sz="4" w:space="0" w:color="auto"/>
            </w:tcBorders>
            <w:vAlign w:val="center"/>
            <w:hideMark/>
          </w:tcPr>
          <w:p w14:paraId="706303A0" w14:textId="77777777" w:rsidR="00FB577E" w:rsidRPr="00FB577E" w:rsidRDefault="00FB577E" w:rsidP="00FB577E">
            <w:pPr>
              <w:pStyle w:val="NoSpacing"/>
              <w:rPr>
                <w:rFonts w:ascii="Times New Roman" w:hAnsi="Times New Roman" w:cs="Times New Roman"/>
              </w:rPr>
            </w:pPr>
          </w:p>
        </w:tc>
        <w:tc>
          <w:tcPr>
            <w:tcW w:w="625" w:type="pct"/>
            <w:tcBorders>
              <w:top w:val="nil"/>
              <w:left w:val="nil"/>
              <w:bottom w:val="single" w:sz="4" w:space="0" w:color="auto"/>
              <w:right w:val="single" w:sz="4" w:space="0" w:color="auto"/>
            </w:tcBorders>
            <w:shd w:val="clear" w:color="auto" w:fill="auto"/>
            <w:noWrap/>
            <w:vAlign w:val="center"/>
            <w:hideMark/>
          </w:tcPr>
          <w:p w14:paraId="218EF827"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Buffer</w:t>
            </w:r>
          </w:p>
        </w:tc>
        <w:tc>
          <w:tcPr>
            <w:tcW w:w="625" w:type="pct"/>
            <w:tcBorders>
              <w:top w:val="nil"/>
              <w:left w:val="nil"/>
              <w:bottom w:val="single" w:sz="4" w:space="0" w:color="auto"/>
              <w:right w:val="single" w:sz="4" w:space="0" w:color="auto"/>
            </w:tcBorders>
            <w:shd w:val="clear" w:color="auto" w:fill="auto"/>
            <w:noWrap/>
            <w:vAlign w:val="center"/>
            <w:hideMark/>
          </w:tcPr>
          <w:p w14:paraId="04D2C0B8"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24381070"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15DB5801"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1ACBE480"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1B09B694"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5EAE0875"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r>
      <w:tr w:rsidR="00FB577E" w:rsidRPr="00FB577E" w14:paraId="03BEC9FD" w14:textId="77777777" w:rsidTr="00FB577E">
        <w:trPr>
          <w:trHeight w:val="315"/>
        </w:trPr>
        <w:tc>
          <w:tcPr>
            <w:tcW w:w="625" w:type="pct"/>
            <w:vMerge/>
            <w:tcBorders>
              <w:top w:val="nil"/>
              <w:left w:val="single" w:sz="4" w:space="0" w:color="auto"/>
              <w:bottom w:val="single" w:sz="4" w:space="0" w:color="auto"/>
              <w:right w:val="single" w:sz="4" w:space="0" w:color="auto"/>
            </w:tcBorders>
            <w:vAlign w:val="center"/>
            <w:hideMark/>
          </w:tcPr>
          <w:p w14:paraId="42F99B1B" w14:textId="77777777" w:rsidR="00FB577E" w:rsidRPr="00FB577E" w:rsidRDefault="00FB577E" w:rsidP="00FB577E">
            <w:pPr>
              <w:pStyle w:val="NoSpacing"/>
              <w:rPr>
                <w:rFonts w:ascii="Times New Roman" w:hAnsi="Times New Roman" w:cs="Times New Roman"/>
              </w:rPr>
            </w:pPr>
          </w:p>
        </w:tc>
        <w:tc>
          <w:tcPr>
            <w:tcW w:w="625" w:type="pct"/>
            <w:tcBorders>
              <w:top w:val="nil"/>
              <w:left w:val="nil"/>
              <w:bottom w:val="single" w:sz="4" w:space="0" w:color="auto"/>
              <w:right w:val="single" w:sz="4" w:space="0" w:color="auto"/>
            </w:tcBorders>
            <w:shd w:val="clear" w:color="auto" w:fill="auto"/>
            <w:noWrap/>
            <w:vAlign w:val="center"/>
            <w:hideMark/>
          </w:tcPr>
          <w:p w14:paraId="7CC030BF"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Untreated</w:t>
            </w:r>
          </w:p>
        </w:tc>
        <w:tc>
          <w:tcPr>
            <w:tcW w:w="625" w:type="pct"/>
            <w:tcBorders>
              <w:top w:val="nil"/>
              <w:left w:val="nil"/>
              <w:bottom w:val="single" w:sz="4" w:space="0" w:color="auto"/>
              <w:right w:val="single" w:sz="4" w:space="0" w:color="auto"/>
            </w:tcBorders>
            <w:shd w:val="clear" w:color="auto" w:fill="auto"/>
            <w:noWrap/>
            <w:vAlign w:val="center"/>
            <w:hideMark/>
          </w:tcPr>
          <w:p w14:paraId="741B1CB3"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4F28EF0B"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0</w:t>
            </w:r>
          </w:p>
        </w:tc>
        <w:tc>
          <w:tcPr>
            <w:tcW w:w="625" w:type="pct"/>
            <w:tcBorders>
              <w:top w:val="nil"/>
              <w:left w:val="nil"/>
              <w:bottom w:val="single" w:sz="4" w:space="0" w:color="auto"/>
              <w:right w:val="single" w:sz="4" w:space="0" w:color="auto"/>
            </w:tcBorders>
            <w:shd w:val="clear" w:color="auto" w:fill="auto"/>
            <w:noWrap/>
            <w:vAlign w:val="center"/>
            <w:hideMark/>
          </w:tcPr>
          <w:p w14:paraId="7067681D"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4A1208AF"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100</w:t>
            </w:r>
          </w:p>
        </w:tc>
        <w:tc>
          <w:tcPr>
            <w:tcW w:w="625" w:type="pct"/>
            <w:tcBorders>
              <w:top w:val="nil"/>
              <w:left w:val="nil"/>
              <w:bottom w:val="single" w:sz="4" w:space="0" w:color="auto"/>
              <w:right w:val="single" w:sz="4" w:space="0" w:color="auto"/>
            </w:tcBorders>
            <w:shd w:val="clear" w:color="auto" w:fill="auto"/>
            <w:noWrap/>
            <w:vAlign w:val="center"/>
            <w:hideMark/>
          </w:tcPr>
          <w:p w14:paraId="30E40DFF"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67</w:t>
            </w:r>
          </w:p>
        </w:tc>
        <w:tc>
          <w:tcPr>
            <w:tcW w:w="625" w:type="pct"/>
            <w:tcBorders>
              <w:top w:val="nil"/>
              <w:left w:val="nil"/>
              <w:bottom w:val="single" w:sz="4" w:space="0" w:color="auto"/>
              <w:right w:val="single" w:sz="4" w:space="0" w:color="auto"/>
            </w:tcBorders>
            <w:shd w:val="clear" w:color="auto" w:fill="auto"/>
            <w:noWrap/>
            <w:vAlign w:val="center"/>
            <w:hideMark/>
          </w:tcPr>
          <w:p w14:paraId="37F9C31C" w14:textId="77777777" w:rsidR="00FB577E" w:rsidRPr="00FB577E" w:rsidRDefault="00FB577E" w:rsidP="00FB577E">
            <w:pPr>
              <w:pStyle w:val="NoSpacing"/>
              <w:rPr>
                <w:rFonts w:ascii="Times New Roman" w:hAnsi="Times New Roman" w:cs="Times New Roman"/>
              </w:rPr>
            </w:pPr>
            <w:r w:rsidRPr="00FB577E">
              <w:rPr>
                <w:rFonts w:ascii="Times New Roman" w:hAnsi="Times New Roman" w:cs="Times New Roman"/>
              </w:rPr>
              <w:t>33</w:t>
            </w:r>
          </w:p>
        </w:tc>
      </w:tr>
    </w:tbl>
    <w:p w14:paraId="718AB864" w14:textId="77777777" w:rsidR="00FB577E" w:rsidRPr="00FB577E" w:rsidRDefault="00FB577E" w:rsidP="000E1A26">
      <w:pPr>
        <w:jc w:val="both"/>
        <w:rPr>
          <w:rFonts w:ascii="Times New Roman" w:eastAsia="Times New Roman" w:hAnsi="Times New Roman" w:cs="Times New Roman"/>
          <w:b/>
          <w:bCs/>
        </w:rPr>
      </w:pPr>
    </w:p>
    <w:p w14:paraId="7B771383" w14:textId="77777777" w:rsidR="00FB577E" w:rsidRPr="00FB577E" w:rsidRDefault="00FB577E" w:rsidP="000E1A26">
      <w:pPr>
        <w:jc w:val="both"/>
        <w:rPr>
          <w:rFonts w:ascii="Times New Roman" w:eastAsia="Times New Roman" w:hAnsi="Times New Roman" w:cs="Times New Roman"/>
          <w:b/>
          <w:bCs/>
        </w:rPr>
      </w:pPr>
    </w:p>
    <w:p w14:paraId="3BDE0BBF" w14:textId="6C219480" w:rsidR="007E5A1D" w:rsidRPr="00FB577E" w:rsidRDefault="007E5A1D" w:rsidP="007E5A1D">
      <w:pPr>
        <w:jc w:val="both"/>
        <w:rPr>
          <w:rFonts w:ascii="Times New Roman" w:eastAsia="Times New Roman" w:hAnsi="Times New Roman" w:cs="Times New Roman"/>
        </w:rPr>
      </w:pPr>
      <w:r w:rsidRPr="00FB577E">
        <w:rPr>
          <w:rFonts w:ascii="Times New Roman" w:eastAsia="Times New Roman" w:hAnsi="Times New Roman" w:cs="Times New Roman"/>
          <w:b/>
          <w:bCs/>
        </w:rPr>
        <w:lastRenderedPageBreak/>
        <w:t xml:space="preserve">Table </w:t>
      </w:r>
      <w:r w:rsidR="00FB577E" w:rsidRPr="00FB577E">
        <w:rPr>
          <w:rFonts w:ascii="Times New Roman" w:eastAsia="Times New Roman" w:hAnsi="Times New Roman" w:cs="Times New Roman"/>
          <w:b/>
          <w:bCs/>
        </w:rPr>
        <w:t>S</w:t>
      </w:r>
      <w:r w:rsidRPr="00FB577E">
        <w:rPr>
          <w:rFonts w:ascii="Times New Roman" w:eastAsia="Times New Roman" w:hAnsi="Times New Roman" w:cs="Times New Roman"/>
          <w:b/>
          <w:bCs/>
        </w:rPr>
        <w:t xml:space="preserve">2. Detailed genomic characteristics and functional subsystem distributions of </w:t>
      </w:r>
      <w:r w:rsidRPr="00FB577E">
        <w:rPr>
          <w:rFonts w:ascii="Times New Roman" w:eastAsia="Times New Roman" w:hAnsi="Times New Roman" w:cs="Times New Roman"/>
          <w:b/>
          <w:bCs/>
          <w:i/>
          <w:iCs/>
        </w:rPr>
        <w:t>B. subtilis</w:t>
      </w:r>
      <w:r w:rsidRPr="00FB577E">
        <w:rPr>
          <w:rFonts w:ascii="Times New Roman" w:eastAsia="Times New Roman" w:hAnsi="Times New Roman" w:cs="Times New Roman"/>
          <w:b/>
          <w:bCs/>
        </w:rPr>
        <w:t xml:space="preserve"> strains HM01 and HM04. </w:t>
      </w:r>
    </w:p>
    <w:tbl>
      <w:tblPr>
        <w:tblW w:w="5000" w:type="pct"/>
        <w:tblLook w:val="0400" w:firstRow="0" w:lastRow="0" w:firstColumn="0" w:lastColumn="0" w:noHBand="0" w:noVBand="1"/>
      </w:tblPr>
      <w:tblGrid>
        <w:gridCol w:w="4248"/>
        <w:gridCol w:w="5599"/>
        <w:gridCol w:w="4101"/>
      </w:tblGrid>
      <w:tr w:rsidR="007E5A1D" w:rsidRPr="00FB577E" w14:paraId="685E2321" w14:textId="77777777" w:rsidTr="00FB577E">
        <w:trPr>
          <w:trHeight w:val="366"/>
        </w:trPr>
        <w:tc>
          <w:tcPr>
            <w:tcW w:w="1523" w:type="pct"/>
            <w:tcBorders>
              <w:top w:val="single" w:sz="4" w:space="0" w:color="000000"/>
              <w:left w:val="single" w:sz="4" w:space="0" w:color="000000"/>
              <w:bottom w:val="single" w:sz="4" w:space="0" w:color="000000"/>
              <w:right w:val="single" w:sz="4" w:space="0" w:color="000000"/>
            </w:tcBorders>
            <w:vAlign w:val="center"/>
          </w:tcPr>
          <w:p w14:paraId="50757D8C"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Features</w:t>
            </w:r>
          </w:p>
        </w:tc>
        <w:tc>
          <w:tcPr>
            <w:tcW w:w="2007" w:type="pct"/>
            <w:tcBorders>
              <w:top w:val="single" w:sz="4" w:space="0" w:color="000000"/>
              <w:left w:val="nil"/>
              <w:bottom w:val="single" w:sz="4" w:space="0" w:color="000000"/>
              <w:right w:val="single" w:sz="4" w:space="0" w:color="000000"/>
            </w:tcBorders>
            <w:vAlign w:val="center"/>
          </w:tcPr>
          <w:p w14:paraId="465E318F"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HM01</w:t>
            </w:r>
          </w:p>
        </w:tc>
        <w:tc>
          <w:tcPr>
            <w:tcW w:w="1470" w:type="pct"/>
            <w:tcBorders>
              <w:top w:val="single" w:sz="4" w:space="0" w:color="000000"/>
              <w:left w:val="nil"/>
              <w:bottom w:val="single" w:sz="4" w:space="0" w:color="000000"/>
              <w:right w:val="single" w:sz="4" w:space="0" w:color="000000"/>
            </w:tcBorders>
            <w:vAlign w:val="center"/>
          </w:tcPr>
          <w:p w14:paraId="26A022A7"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HM04</w:t>
            </w:r>
          </w:p>
        </w:tc>
      </w:tr>
      <w:tr w:rsidR="007E5A1D" w:rsidRPr="00FB577E" w14:paraId="49DE30F3" w14:textId="77777777" w:rsidTr="00FB577E">
        <w:trPr>
          <w:trHeight w:val="344"/>
        </w:trPr>
        <w:tc>
          <w:tcPr>
            <w:tcW w:w="1523" w:type="pct"/>
            <w:tcBorders>
              <w:top w:val="nil"/>
              <w:left w:val="single" w:sz="4" w:space="0" w:color="000000"/>
              <w:bottom w:val="single" w:sz="4" w:space="0" w:color="000000"/>
              <w:right w:val="single" w:sz="4" w:space="0" w:color="000000"/>
            </w:tcBorders>
            <w:vAlign w:val="center"/>
          </w:tcPr>
          <w:p w14:paraId="7E76873F"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Taxonomy</w:t>
            </w:r>
          </w:p>
        </w:tc>
        <w:tc>
          <w:tcPr>
            <w:tcW w:w="3477" w:type="pct"/>
            <w:gridSpan w:val="2"/>
            <w:tcBorders>
              <w:top w:val="single" w:sz="4" w:space="0" w:color="000000"/>
              <w:left w:val="nil"/>
              <w:bottom w:val="single" w:sz="4" w:space="0" w:color="000000"/>
              <w:right w:val="single" w:sz="4" w:space="0" w:color="000000"/>
            </w:tcBorders>
            <w:vAlign w:val="center"/>
          </w:tcPr>
          <w:p w14:paraId="242F690F"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 xml:space="preserve">Bacteria; </w:t>
            </w:r>
            <w:proofErr w:type="spellStart"/>
            <w:r w:rsidRPr="00FB577E">
              <w:rPr>
                <w:rFonts w:ascii="Times New Roman" w:hAnsi="Times New Roman" w:cs="Times New Roman"/>
              </w:rPr>
              <w:t>Bacillati</w:t>
            </w:r>
            <w:proofErr w:type="spellEnd"/>
            <w:r w:rsidRPr="00FB577E">
              <w:rPr>
                <w:rFonts w:ascii="Times New Roman" w:hAnsi="Times New Roman" w:cs="Times New Roman"/>
              </w:rPr>
              <w:t xml:space="preserve">; </w:t>
            </w:r>
            <w:proofErr w:type="spellStart"/>
            <w:r w:rsidRPr="00FB577E">
              <w:rPr>
                <w:rFonts w:ascii="Times New Roman" w:hAnsi="Times New Roman" w:cs="Times New Roman"/>
              </w:rPr>
              <w:t>Bacillota</w:t>
            </w:r>
            <w:proofErr w:type="spellEnd"/>
            <w:r w:rsidRPr="00FB577E">
              <w:rPr>
                <w:rFonts w:ascii="Times New Roman" w:hAnsi="Times New Roman" w:cs="Times New Roman"/>
              </w:rPr>
              <w:t xml:space="preserve">; Bacilli; </w:t>
            </w:r>
            <w:proofErr w:type="spellStart"/>
            <w:r w:rsidRPr="00FB577E">
              <w:rPr>
                <w:rFonts w:ascii="Times New Roman" w:hAnsi="Times New Roman" w:cs="Times New Roman"/>
              </w:rPr>
              <w:t>Bacillales</w:t>
            </w:r>
            <w:proofErr w:type="spellEnd"/>
            <w:r w:rsidRPr="00FB577E">
              <w:rPr>
                <w:rFonts w:ascii="Times New Roman" w:hAnsi="Times New Roman" w:cs="Times New Roman"/>
              </w:rPr>
              <w:t xml:space="preserve">; </w:t>
            </w:r>
            <w:proofErr w:type="spellStart"/>
            <w:r w:rsidRPr="00FB577E">
              <w:rPr>
                <w:rFonts w:ascii="Times New Roman" w:hAnsi="Times New Roman" w:cs="Times New Roman"/>
              </w:rPr>
              <w:t>Bacillaceae</w:t>
            </w:r>
            <w:proofErr w:type="spellEnd"/>
            <w:r w:rsidRPr="00FB577E">
              <w:rPr>
                <w:rFonts w:ascii="Times New Roman" w:hAnsi="Times New Roman" w:cs="Times New Roman"/>
              </w:rPr>
              <w:t>; Bacillus; Bacillus subtilis</w:t>
            </w:r>
          </w:p>
        </w:tc>
      </w:tr>
      <w:tr w:rsidR="007E5A1D" w:rsidRPr="00FB577E" w14:paraId="1C420F4E" w14:textId="77777777" w:rsidTr="00FB577E">
        <w:trPr>
          <w:trHeight w:val="330"/>
        </w:trPr>
        <w:tc>
          <w:tcPr>
            <w:tcW w:w="1523" w:type="pct"/>
            <w:tcBorders>
              <w:top w:val="nil"/>
              <w:left w:val="single" w:sz="4" w:space="0" w:color="000000"/>
              <w:bottom w:val="single" w:sz="4" w:space="0" w:color="000000"/>
              <w:right w:val="single" w:sz="4" w:space="0" w:color="000000"/>
            </w:tcBorders>
            <w:vAlign w:val="center"/>
          </w:tcPr>
          <w:p w14:paraId="6C08C593"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Total data (Mb)</w:t>
            </w:r>
          </w:p>
        </w:tc>
        <w:tc>
          <w:tcPr>
            <w:tcW w:w="2007" w:type="pct"/>
            <w:tcBorders>
              <w:top w:val="nil"/>
              <w:left w:val="nil"/>
              <w:bottom w:val="single" w:sz="4" w:space="0" w:color="000000"/>
              <w:right w:val="single" w:sz="4" w:space="0" w:color="000000"/>
            </w:tcBorders>
            <w:vAlign w:val="center"/>
          </w:tcPr>
          <w:p w14:paraId="27907670"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4.2</w:t>
            </w:r>
          </w:p>
        </w:tc>
        <w:tc>
          <w:tcPr>
            <w:tcW w:w="1470" w:type="pct"/>
            <w:tcBorders>
              <w:top w:val="nil"/>
              <w:left w:val="nil"/>
              <w:bottom w:val="single" w:sz="4" w:space="0" w:color="000000"/>
              <w:right w:val="single" w:sz="4" w:space="0" w:color="000000"/>
            </w:tcBorders>
            <w:vAlign w:val="center"/>
          </w:tcPr>
          <w:p w14:paraId="6C1C7F07"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4</w:t>
            </w:r>
          </w:p>
        </w:tc>
      </w:tr>
      <w:tr w:rsidR="007E5A1D" w:rsidRPr="00FB577E" w14:paraId="637F7C43" w14:textId="77777777" w:rsidTr="00FB577E">
        <w:trPr>
          <w:trHeight w:val="330"/>
        </w:trPr>
        <w:tc>
          <w:tcPr>
            <w:tcW w:w="1523" w:type="pct"/>
            <w:tcBorders>
              <w:top w:val="nil"/>
              <w:left w:val="single" w:sz="4" w:space="0" w:color="000000"/>
              <w:bottom w:val="single" w:sz="4" w:space="0" w:color="000000"/>
              <w:right w:val="single" w:sz="4" w:space="0" w:color="000000"/>
            </w:tcBorders>
            <w:vAlign w:val="center"/>
          </w:tcPr>
          <w:p w14:paraId="2D51DC35"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Completeness score (%)</w:t>
            </w:r>
          </w:p>
        </w:tc>
        <w:tc>
          <w:tcPr>
            <w:tcW w:w="2007" w:type="pct"/>
            <w:tcBorders>
              <w:top w:val="nil"/>
              <w:left w:val="nil"/>
              <w:bottom w:val="single" w:sz="4" w:space="0" w:color="000000"/>
              <w:right w:val="single" w:sz="4" w:space="0" w:color="000000"/>
            </w:tcBorders>
            <w:vAlign w:val="center"/>
          </w:tcPr>
          <w:p w14:paraId="3879B1EC"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99.80</w:t>
            </w:r>
          </w:p>
        </w:tc>
        <w:tc>
          <w:tcPr>
            <w:tcW w:w="1470" w:type="pct"/>
            <w:tcBorders>
              <w:top w:val="nil"/>
              <w:left w:val="nil"/>
              <w:bottom w:val="single" w:sz="4" w:space="0" w:color="000000"/>
              <w:right w:val="single" w:sz="4" w:space="0" w:color="000000"/>
            </w:tcBorders>
            <w:vAlign w:val="center"/>
          </w:tcPr>
          <w:p w14:paraId="2FAB8E51"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99.75</w:t>
            </w:r>
          </w:p>
        </w:tc>
      </w:tr>
      <w:tr w:rsidR="007E5A1D" w:rsidRPr="00FB577E" w14:paraId="27599EEF" w14:textId="77777777" w:rsidTr="00FB577E">
        <w:trPr>
          <w:trHeight w:val="330"/>
        </w:trPr>
        <w:tc>
          <w:tcPr>
            <w:tcW w:w="1523" w:type="pct"/>
            <w:tcBorders>
              <w:top w:val="nil"/>
              <w:left w:val="single" w:sz="4" w:space="0" w:color="000000"/>
              <w:bottom w:val="single" w:sz="4" w:space="0" w:color="000000"/>
              <w:right w:val="single" w:sz="4" w:space="0" w:color="000000"/>
            </w:tcBorders>
            <w:vAlign w:val="center"/>
          </w:tcPr>
          <w:p w14:paraId="2CCEF114"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Contamination score (%)</w:t>
            </w:r>
          </w:p>
        </w:tc>
        <w:tc>
          <w:tcPr>
            <w:tcW w:w="2007" w:type="pct"/>
            <w:tcBorders>
              <w:top w:val="nil"/>
              <w:left w:val="nil"/>
              <w:bottom w:val="single" w:sz="4" w:space="0" w:color="000000"/>
              <w:right w:val="single" w:sz="4" w:space="0" w:color="000000"/>
            </w:tcBorders>
            <w:vAlign w:val="center"/>
          </w:tcPr>
          <w:p w14:paraId="1A0364D5"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0.28</w:t>
            </w:r>
          </w:p>
        </w:tc>
        <w:tc>
          <w:tcPr>
            <w:tcW w:w="1470" w:type="pct"/>
            <w:tcBorders>
              <w:top w:val="nil"/>
              <w:left w:val="nil"/>
              <w:bottom w:val="single" w:sz="4" w:space="0" w:color="000000"/>
              <w:right w:val="single" w:sz="4" w:space="0" w:color="000000"/>
            </w:tcBorders>
            <w:vAlign w:val="center"/>
          </w:tcPr>
          <w:p w14:paraId="0F400DAF"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0.57</w:t>
            </w:r>
          </w:p>
        </w:tc>
      </w:tr>
      <w:tr w:rsidR="007E5A1D" w:rsidRPr="00FB577E" w14:paraId="5CC42E41" w14:textId="77777777" w:rsidTr="00FB577E">
        <w:trPr>
          <w:trHeight w:val="315"/>
        </w:trPr>
        <w:tc>
          <w:tcPr>
            <w:tcW w:w="1523" w:type="pct"/>
            <w:tcBorders>
              <w:top w:val="nil"/>
              <w:left w:val="single" w:sz="4" w:space="0" w:color="000000"/>
              <w:bottom w:val="single" w:sz="4" w:space="0" w:color="000000"/>
              <w:right w:val="single" w:sz="4" w:space="0" w:color="000000"/>
            </w:tcBorders>
            <w:vAlign w:val="center"/>
          </w:tcPr>
          <w:p w14:paraId="3432FEAE"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GC content (%)</w:t>
            </w:r>
          </w:p>
        </w:tc>
        <w:tc>
          <w:tcPr>
            <w:tcW w:w="2007" w:type="pct"/>
            <w:tcBorders>
              <w:top w:val="nil"/>
              <w:left w:val="nil"/>
              <w:bottom w:val="single" w:sz="4" w:space="0" w:color="000000"/>
              <w:right w:val="single" w:sz="4" w:space="0" w:color="000000"/>
            </w:tcBorders>
            <w:vAlign w:val="center"/>
          </w:tcPr>
          <w:p w14:paraId="23613A78"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43.7</w:t>
            </w:r>
          </w:p>
        </w:tc>
        <w:tc>
          <w:tcPr>
            <w:tcW w:w="1470" w:type="pct"/>
            <w:tcBorders>
              <w:top w:val="nil"/>
              <w:left w:val="nil"/>
              <w:bottom w:val="single" w:sz="4" w:space="0" w:color="000000"/>
              <w:right w:val="single" w:sz="4" w:space="0" w:color="000000"/>
            </w:tcBorders>
            <w:vAlign w:val="center"/>
          </w:tcPr>
          <w:p w14:paraId="640CDE97"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43.8</w:t>
            </w:r>
          </w:p>
        </w:tc>
      </w:tr>
      <w:tr w:rsidR="007E5A1D" w:rsidRPr="00FB577E" w14:paraId="1498A38D" w14:textId="77777777" w:rsidTr="00FB577E">
        <w:trPr>
          <w:trHeight w:val="315"/>
        </w:trPr>
        <w:tc>
          <w:tcPr>
            <w:tcW w:w="1523" w:type="pct"/>
            <w:tcBorders>
              <w:top w:val="nil"/>
              <w:left w:val="single" w:sz="4" w:space="0" w:color="000000"/>
              <w:bottom w:val="single" w:sz="4" w:space="0" w:color="000000"/>
              <w:right w:val="single" w:sz="4" w:space="0" w:color="000000"/>
            </w:tcBorders>
            <w:vAlign w:val="center"/>
          </w:tcPr>
          <w:p w14:paraId="6D2F66ED"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Number of Contigs (with PEGs)</w:t>
            </w:r>
          </w:p>
        </w:tc>
        <w:tc>
          <w:tcPr>
            <w:tcW w:w="2007" w:type="pct"/>
            <w:tcBorders>
              <w:top w:val="nil"/>
              <w:left w:val="nil"/>
              <w:bottom w:val="single" w:sz="4" w:space="0" w:color="000000"/>
              <w:right w:val="single" w:sz="4" w:space="0" w:color="000000"/>
            </w:tcBorders>
            <w:vAlign w:val="center"/>
          </w:tcPr>
          <w:p w14:paraId="4E8C80D7"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1</w:t>
            </w:r>
          </w:p>
        </w:tc>
        <w:tc>
          <w:tcPr>
            <w:tcW w:w="1470" w:type="pct"/>
            <w:tcBorders>
              <w:top w:val="nil"/>
              <w:left w:val="nil"/>
              <w:bottom w:val="single" w:sz="4" w:space="0" w:color="000000"/>
              <w:right w:val="single" w:sz="4" w:space="0" w:color="000000"/>
            </w:tcBorders>
            <w:vAlign w:val="center"/>
          </w:tcPr>
          <w:p w14:paraId="7F37A3EC"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1</w:t>
            </w:r>
          </w:p>
        </w:tc>
      </w:tr>
      <w:tr w:rsidR="007E5A1D" w:rsidRPr="00FB577E" w14:paraId="7DEF2411" w14:textId="77777777" w:rsidTr="00FB577E">
        <w:trPr>
          <w:trHeight w:val="315"/>
        </w:trPr>
        <w:tc>
          <w:tcPr>
            <w:tcW w:w="1523" w:type="pct"/>
            <w:tcBorders>
              <w:top w:val="nil"/>
              <w:left w:val="single" w:sz="4" w:space="0" w:color="000000"/>
              <w:bottom w:val="single" w:sz="4" w:space="0" w:color="000000"/>
              <w:right w:val="single" w:sz="4" w:space="0" w:color="000000"/>
            </w:tcBorders>
            <w:vAlign w:val="center"/>
          </w:tcPr>
          <w:p w14:paraId="3EC713CB"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N50 (bp)</w:t>
            </w:r>
          </w:p>
        </w:tc>
        <w:tc>
          <w:tcPr>
            <w:tcW w:w="2007" w:type="pct"/>
            <w:tcBorders>
              <w:top w:val="nil"/>
              <w:left w:val="nil"/>
              <w:bottom w:val="single" w:sz="4" w:space="0" w:color="000000"/>
              <w:right w:val="single" w:sz="4" w:space="0" w:color="000000"/>
            </w:tcBorders>
            <w:vAlign w:val="center"/>
          </w:tcPr>
          <w:p w14:paraId="764F15BB"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4213538</w:t>
            </w:r>
          </w:p>
        </w:tc>
        <w:tc>
          <w:tcPr>
            <w:tcW w:w="1470" w:type="pct"/>
            <w:tcBorders>
              <w:top w:val="nil"/>
              <w:left w:val="nil"/>
              <w:bottom w:val="single" w:sz="4" w:space="0" w:color="000000"/>
              <w:right w:val="single" w:sz="4" w:space="0" w:color="000000"/>
            </w:tcBorders>
            <w:vAlign w:val="center"/>
          </w:tcPr>
          <w:p w14:paraId="53018F9C"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4074150</w:t>
            </w:r>
          </w:p>
        </w:tc>
      </w:tr>
      <w:tr w:rsidR="007E5A1D" w:rsidRPr="00FB577E" w14:paraId="229E2B28" w14:textId="77777777" w:rsidTr="00FB577E">
        <w:trPr>
          <w:trHeight w:val="315"/>
        </w:trPr>
        <w:tc>
          <w:tcPr>
            <w:tcW w:w="1523" w:type="pct"/>
            <w:tcBorders>
              <w:top w:val="nil"/>
              <w:left w:val="single" w:sz="4" w:space="0" w:color="000000"/>
              <w:bottom w:val="single" w:sz="4" w:space="0" w:color="000000"/>
              <w:right w:val="single" w:sz="4" w:space="0" w:color="000000"/>
            </w:tcBorders>
            <w:vAlign w:val="center"/>
          </w:tcPr>
          <w:p w14:paraId="5A479C8E"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L50 (bp)</w:t>
            </w:r>
          </w:p>
        </w:tc>
        <w:tc>
          <w:tcPr>
            <w:tcW w:w="2007" w:type="pct"/>
            <w:tcBorders>
              <w:top w:val="nil"/>
              <w:left w:val="nil"/>
              <w:bottom w:val="single" w:sz="4" w:space="0" w:color="000000"/>
              <w:right w:val="single" w:sz="4" w:space="0" w:color="000000"/>
            </w:tcBorders>
            <w:vAlign w:val="center"/>
          </w:tcPr>
          <w:p w14:paraId="084DE182"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1</w:t>
            </w:r>
          </w:p>
        </w:tc>
        <w:tc>
          <w:tcPr>
            <w:tcW w:w="1470" w:type="pct"/>
            <w:tcBorders>
              <w:top w:val="nil"/>
              <w:left w:val="nil"/>
              <w:bottom w:val="single" w:sz="4" w:space="0" w:color="000000"/>
              <w:right w:val="single" w:sz="4" w:space="0" w:color="000000"/>
            </w:tcBorders>
            <w:vAlign w:val="center"/>
          </w:tcPr>
          <w:p w14:paraId="2ED0FD9D"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1</w:t>
            </w:r>
          </w:p>
        </w:tc>
      </w:tr>
      <w:tr w:rsidR="007E5A1D" w:rsidRPr="00FB577E" w14:paraId="21AED149" w14:textId="77777777" w:rsidTr="00FB577E">
        <w:trPr>
          <w:trHeight w:val="315"/>
        </w:trPr>
        <w:tc>
          <w:tcPr>
            <w:tcW w:w="1523" w:type="pct"/>
            <w:tcBorders>
              <w:top w:val="nil"/>
              <w:left w:val="single" w:sz="4" w:space="0" w:color="000000"/>
              <w:bottom w:val="single" w:sz="4" w:space="0" w:color="000000"/>
              <w:right w:val="single" w:sz="4" w:space="0" w:color="000000"/>
            </w:tcBorders>
            <w:vAlign w:val="center"/>
          </w:tcPr>
          <w:p w14:paraId="28EA5D12"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Number of Coding Sequences</w:t>
            </w:r>
          </w:p>
        </w:tc>
        <w:tc>
          <w:tcPr>
            <w:tcW w:w="2007" w:type="pct"/>
            <w:tcBorders>
              <w:top w:val="nil"/>
              <w:left w:val="nil"/>
              <w:bottom w:val="single" w:sz="4" w:space="0" w:color="000000"/>
              <w:right w:val="single" w:sz="4" w:space="0" w:color="000000"/>
            </w:tcBorders>
            <w:vAlign w:val="center"/>
          </w:tcPr>
          <w:p w14:paraId="42015694"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4419</w:t>
            </w:r>
          </w:p>
        </w:tc>
        <w:tc>
          <w:tcPr>
            <w:tcW w:w="1470" w:type="pct"/>
            <w:tcBorders>
              <w:top w:val="nil"/>
              <w:left w:val="nil"/>
              <w:bottom w:val="single" w:sz="4" w:space="0" w:color="000000"/>
              <w:right w:val="single" w:sz="4" w:space="0" w:color="000000"/>
            </w:tcBorders>
            <w:vAlign w:val="center"/>
          </w:tcPr>
          <w:p w14:paraId="486339D7"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4203</w:t>
            </w:r>
          </w:p>
        </w:tc>
      </w:tr>
      <w:tr w:rsidR="007E5A1D" w:rsidRPr="00FB577E" w14:paraId="0C043158" w14:textId="77777777" w:rsidTr="00FB577E">
        <w:trPr>
          <w:trHeight w:val="315"/>
        </w:trPr>
        <w:tc>
          <w:tcPr>
            <w:tcW w:w="1523" w:type="pct"/>
            <w:tcBorders>
              <w:top w:val="nil"/>
              <w:left w:val="single" w:sz="4" w:space="0" w:color="000000"/>
              <w:bottom w:val="single" w:sz="4" w:space="0" w:color="000000"/>
              <w:right w:val="single" w:sz="4" w:space="0" w:color="000000"/>
            </w:tcBorders>
            <w:vAlign w:val="center"/>
          </w:tcPr>
          <w:p w14:paraId="4A9FB1BD"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Number of RNAs</w:t>
            </w:r>
          </w:p>
        </w:tc>
        <w:tc>
          <w:tcPr>
            <w:tcW w:w="2007" w:type="pct"/>
            <w:tcBorders>
              <w:top w:val="nil"/>
              <w:left w:val="nil"/>
              <w:bottom w:val="single" w:sz="4" w:space="0" w:color="000000"/>
              <w:right w:val="single" w:sz="4" w:space="0" w:color="000000"/>
            </w:tcBorders>
            <w:vAlign w:val="center"/>
          </w:tcPr>
          <w:p w14:paraId="6B727FCA"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115</w:t>
            </w:r>
          </w:p>
        </w:tc>
        <w:tc>
          <w:tcPr>
            <w:tcW w:w="1470" w:type="pct"/>
            <w:tcBorders>
              <w:top w:val="nil"/>
              <w:left w:val="nil"/>
              <w:bottom w:val="single" w:sz="4" w:space="0" w:color="000000"/>
              <w:right w:val="single" w:sz="4" w:space="0" w:color="000000"/>
            </w:tcBorders>
            <w:vAlign w:val="center"/>
          </w:tcPr>
          <w:p w14:paraId="229D6A50"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110</w:t>
            </w:r>
          </w:p>
        </w:tc>
      </w:tr>
      <w:tr w:rsidR="007E5A1D" w:rsidRPr="00FB577E" w14:paraId="3C49A175" w14:textId="77777777" w:rsidTr="00FB577E">
        <w:trPr>
          <w:trHeight w:val="315"/>
        </w:trPr>
        <w:tc>
          <w:tcPr>
            <w:tcW w:w="1523" w:type="pct"/>
            <w:tcBorders>
              <w:top w:val="nil"/>
              <w:left w:val="single" w:sz="4" w:space="0" w:color="000000"/>
              <w:bottom w:val="single" w:sz="4" w:space="0" w:color="000000"/>
              <w:right w:val="single" w:sz="4" w:space="0" w:color="000000"/>
            </w:tcBorders>
            <w:vAlign w:val="center"/>
          </w:tcPr>
          <w:p w14:paraId="17E5ABE0"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Number of Subsystems</w:t>
            </w:r>
          </w:p>
        </w:tc>
        <w:tc>
          <w:tcPr>
            <w:tcW w:w="2007" w:type="pct"/>
            <w:tcBorders>
              <w:top w:val="nil"/>
              <w:left w:val="nil"/>
              <w:bottom w:val="single" w:sz="4" w:space="0" w:color="000000"/>
              <w:right w:val="single" w:sz="4" w:space="0" w:color="000000"/>
            </w:tcBorders>
            <w:vAlign w:val="center"/>
          </w:tcPr>
          <w:p w14:paraId="60FF7EF9"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332</w:t>
            </w:r>
          </w:p>
        </w:tc>
        <w:tc>
          <w:tcPr>
            <w:tcW w:w="1470" w:type="pct"/>
            <w:tcBorders>
              <w:top w:val="nil"/>
              <w:left w:val="nil"/>
              <w:bottom w:val="single" w:sz="4" w:space="0" w:color="000000"/>
              <w:right w:val="single" w:sz="4" w:space="0" w:color="000000"/>
            </w:tcBorders>
            <w:vAlign w:val="center"/>
          </w:tcPr>
          <w:p w14:paraId="44B7050D"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331</w:t>
            </w:r>
          </w:p>
        </w:tc>
      </w:tr>
      <w:tr w:rsidR="007E5A1D" w:rsidRPr="00FB577E" w14:paraId="49B21540" w14:textId="77777777" w:rsidTr="00FB577E">
        <w:trPr>
          <w:trHeight w:val="257"/>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6FC3E842"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Subsystem classification (Feature count)</w:t>
            </w:r>
          </w:p>
        </w:tc>
      </w:tr>
      <w:tr w:rsidR="007E5A1D" w:rsidRPr="00FB577E" w14:paraId="7E5BC38A" w14:textId="77777777" w:rsidTr="00FB577E">
        <w:trPr>
          <w:trHeight w:val="315"/>
        </w:trPr>
        <w:tc>
          <w:tcPr>
            <w:tcW w:w="1523" w:type="pct"/>
            <w:tcBorders>
              <w:top w:val="nil"/>
              <w:left w:val="single" w:sz="4" w:space="0" w:color="000000"/>
              <w:bottom w:val="single" w:sz="4" w:space="0" w:color="000000"/>
              <w:right w:val="single" w:sz="4" w:space="0" w:color="000000"/>
            </w:tcBorders>
            <w:vAlign w:val="center"/>
          </w:tcPr>
          <w:p w14:paraId="4FE61A08"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phosphorus metabolism</w:t>
            </w:r>
          </w:p>
        </w:tc>
        <w:tc>
          <w:tcPr>
            <w:tcW w:w="2007" w:type="pct"/>
            <w:tcBorders>
              <w:top w:val="nil"/>
              <w:left w:val="nil"/>
              <w:bottom w:val="single" w:sz="4" w:space="0" w:color="000000"/>
              <w:right w:val="single" w:sz="4" w:space="0" w:color="000000"/>
            </w:tcBorders>
            <w:vAlign w:val="center"/>
          </w:tcPr>
          <w:p w14:paraId="49818052"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 11</w:t>
            </w:r>
          </w:p>
        </w:tc>
        <w:tc>
          <w:tcPr>
            <w:tcW w:w="1470" w:type="pct"/>
            <w:tcBorders>
              <w:top w:val="nil"/>
              <w:left w:val="nil"/>
              <w:bottom w:val="single" w:sz="4" w:space="0" w:color="000000"/>
              <w:right w:val="single" w:sz="4" w:space="0" w:color="000000"/>
            </w:tcBorders>
            <w:vAlign w:val="center"/>
          </w:tcPr>
          <w:p w14:paraId="08249459"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 11</w:t>
            </w:r>
          </w:p>
        </w:tc>
      </w:tr>
      <w:tr w:rsidR="007E5A1D" w:rsidRPr="00FB577E" w14:paraId="24A8C609" w14:textId="77777777" w:rsidTr="00FB577E">
        <w:trPr>
          <w:trHeight w:val="315"/>
        </w:trPr>
        <w:tc>
          <w:tcPr>
            <w:tcW w:w="1523" w:type="pct"/>
            <w:tcBorders>
              <w:top w:val="nil"/>
              <w:left w:val="single" w:sz="4" w:space="0" w:color="000000"/>
              <w:bottom w:val="single" w:sz="4" w:space="0" w:color="000000"/>
              <w:right w:val="single" w:sz="4" w:space="0" w:color="000000"/>
            </w:tcBorders>
            <w:vAlign w:val="center"/>
          </w:tcPr>
          <w:p w14:paraId="21698197"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potassium metabolism</w:t>
            </w:r>
          </w:p>
        </w:tc>
        <w:tc>
          <w:tcPr>
            <w:tcW w:w="2007" w:type="pct"/>
            <w:tcBorders>
              <w:top w:val="nil"/>
              <w:left w:val="nil"/>
              <w:bottom w:val="single" w:sz="4" w:space="0" w:color="000000"/>
              <w:right w:val="single" w:sz="4" w:space="0" w:color="000000"/>
            </w:tcBorders>
            <w:vAlign w:val="center"/>
          </w:tcPr>
          <w:p w14:paraId="679D4C74"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 3</w:t>
            </w:r>
          </w:p>
        </w:tc>
        <w:tc>
          <w:tcPr>
            <w:tcW w:w="1470" w:type="pct"/>
            <w:tcBorders>
              <w:top w:val="nil"/>
              <w:left w:val="nil"/>
              <w:bottom w:val="single" w:sz="4" w:space="0" w:color="000000"/>
              <w:right w:val="single" w:sz="4" w:space="0" w:color="000000"/>
            </w:tcBorders>
            <w:vAlign w:val="center"/>
          </w:tcPr>
          <w:p w14:paraId="188AECBD"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 3</w:t>
            </w:r>
          </w:p>
        </w:tc>
      </w:tr>
      <w:tr w:rsidR="007E5A1D" w:rsidRPr="00FB577E" w14:paraId="6AC58154" w14:textId="77777777" w:rsidTr="00FB577E">
        <w:trPr>
          <w:trHeight w:val="315"/>
        </w:trPr>
        <w:tc>
          <w:tcPr>
            <w:tcW w:w="1523" w:type="pct"/>
            <w:tcBorders>
              <w:top w:val="nil"/>
              <w:left w:val="single" w:sz="4" w:space="0" w:color="000000"/>
              <w:bottom w:val="single" w:sz="4" w:space="0" w:color="000000"/>
              <w:right w:val="single" w:sz="4" w:space="0" w:color="000000"/>
            </w:tcBorders>
            <w:vAlign w:val="center"/>
          </w:tcPr>
          <w:p w14:paraId="79C203A9"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sulphur metabolism</w:t>
            </w:r>
          </w:p>
        </w:tc>
        <w:tc>
          <w:tcPr>
            <w:tcW w:w="2007" w:type="pct"/>
            <w:tcBorders>
              <w:top w:val="nil"/>
              <w:left w:val="nil"/>
              <w:bottom w:val="single" w:sz="4" w:space="0" w:color="000000"/>
              <w:right w:val="single" w:sz="4" w:space="0" w:color="000000"/>
            </w:tcBorders>
            <w:vAlign w:val="center"/>
          </w:tcPr>
          <w:p w14:paraId="231353AC"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 9</w:t>
            </w:r>
          </w:p>
        </w:tc>
        <w:tc>
          <w:tcPr>
            <w:tcW w:w="1470" w:type="pct"/>
            <w:tcBorders>
              <w:top w:val="nil"/>
              <w:left w:val="nil"/>
              <w:bottom w:val="single" w:sz="4" w:space="0" w:color="000000"/>
              <w:right w:val="single" w:sz="4" w:space="0" w:color="000000"/>
            </w:tcBorders>
            <w:vAlign w:val="center"/>
          </w:tcPr>
          <w:p w14:paraId="377DA8E7"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 8</w:t>
            </w:r>
          </w:p>
        </w:tc>
      </w:tr>
      <w:tr w:rsidR="007E5A1D" w:rsidRPr="00FB577E" w14:paraId="44B0BEB8" w14:textId="77777777" w:rsidTr="00FB577E">
        <w:trPr>
          <w:trHeight w:val="315"/>
        </w:trPr>
        <w:tc>
          <w:tcPr>
            <w:tcW w:w="1523" w:type="pct"/>
            <w:tcBorders>
              <w:top w:val="nil"/>
              <w:left w:val="single" w:sz="4" w:space="0" w:color="000000"/>
              <w:bottom w:val="single" w:sz="4" w:space="0" w:color="000000"/>
              <w:right w:val="single" w:sz="4" w:space="0" w:color="000000"/>
            </w:tcBorders>
            <w:vAlign w:val="center"/>
          </w:tcPr>
          <w:p w14:paraId="35FF646F"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iron acquisition and metabolism</w:t>
            </w:r>
          </w:p>
        </w:tc>
        <w:tc>
          <w:tcPr>
            <w:tcW w:w="2007" w:type="pct"/>
            <w:tcBorders>
              <w:top w:val="nil"/>
              <w:left w:val="nil"/>
              <w:bottom w:val="single" w:sz="4" w:space="0" w:color="000000"/>
              <w:right w:val="single" w:sz="4" w:space="0" w:color="000000"/>
            </w:tcBorders>
            <w:vAlign w:val="center"/>
          </w:tcPr>
          <w:p w14:paraId="21BCC5FA"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 32</w:t>
            </w:r>
          </w:p>
        </w:tc>
        <w:tc>
          <w:tcPr>
            <w:tcW w:w="1470" w:type="pct"/>
            <w:tcBorders>
              <w:top w:val="nil"/>
              <w:left w:val="nil"/>
              <w:bottom w:val="single" w:sz="4" w:space="0" w:color="000000"/>
              <w:right w:val="single" w:sz="4" w:space="0" w:color="000000"/>
            </w:tcBorders>
            <w:vAlign w:val="center"/>
          </w:tcPr>
          <w:p w14:paraId="6203BE84"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 31</w:t>
            </w:r>
          </w:p>
        </w:tc>
      </w:tr>
      <w:tr w:rsidR="007E5A1D" w:rsidRPr="00FB577E" w14:paraId="1B316758" w14:textId="77777777" w:rsidTr="00FB577E">
        <w:trPr>
          <w:trHeight w:val="315"/>
        </w:trPr>
        <w:tc>
          <w:tcPr>
            <w:tcW w:w="1523" w:type="pct"/>
            <w:tcBorders>
              <w:top w:val="nil"/>
              <w:left w:val="single" w:sz="4" w:space="0" w:color="000000"/>
              <w:bottom w:val="single" w:sz="4" w:space="0" w:color="000000"/>
              <w:right w:val="single" w:sz="4" w:space="0" w:color="000000"/>
            </w:tcBorders>
            <w:vAlign w:val="center"/>
          </w:tcPr>
          <w:p w14:paraId="4B9180D8"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secondary metabolism</w:t>
            </w:r>
          </w:p>
        </w:tc>
        <w:tc>
          <w:tcPr>
            <w:tcW w:w="2007" w:type="pct"/>
            <w:tcBorders>
              <w:top w:val="nil"/>
              <w:left w:val="nil"/>
              <w:bottom w:val="single" w:sz="4" w:space="0" w:color="000000"/>
              <w:right w:val="single" w:sz="4" w:space="0" w:color="000000"/>
            </w:tcBorders>
            <w:vAlign w:val="center"/>
          </w:tcPr>
          <w:p w14:paraId="2808BCCE"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 10</w:t>
            </w:r>
          </w:p>
        </w:tc>
        <w:tc>
          <w:tcPr>
            <w:tcW w:w="1470" w:type="pct"/>
            <w:tcBorders>
              <w:top w:val="nil"/>
              <w:left w:val="nil"/>
              <w:bottom w:val="single" w:sz="4" w:space="0" w:color="000000"/>
              <w:right w:val="single" w:sz="4" w:space="0" w:color="000000"/>
            </w:tcBorders>
            <w:vAlign w:val="center"/>
          </w:tcPr>
          <w:p w14:paraId="723FF89C"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 6</w:t>
            </w:r>
          </w:p>
        </w:tc>
      </w:tr>
      <w:tr w:rsidR="007E5A1D" w:rsidRPr="00FB577E" w14:paraId="3BA19182" w14:textId="77777777" w:rsidTr="00FB577E">
        <w:trPr>
          <w:trHeight w:val="315"/>
        </w:trPr>
        <w:tc>
          <w:tcPr>
            <w:tcW w:w="1523" w:type="pct"/>
            <w:tcBorders>
              <w:top w:val="nil"/>
              <w:left w:val="single" w:sz="4" w:space="0" w:color="000000"/>
              <w:bottom w:val="single" w:sz="4" w:space="0" w:color="000000"/>
              <w:right w:val="single" w:sz="4" w:space="0" w:color="000000"/>
            </w:tcBorders>
            <w:vAlign w:val="center"/>
          </w:tcPr>
          <w:p w14:paraId="51565962"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motility and chemotaxis</w:t>
            </w:r>
          </w:p>
        </w:tc>
        <w:tc>
          <w:tcPr>
            <w:tcW w:w="2007" w:type="pct"/>
            <w:tcBorders>
              <w:top w:val="nil"/>
              <w:left w:val="nil"/>
              <w:bottom w:val="single" w:sz="4" w:space="0" w:color="000000"/>
              <w:right w:val="single" w:sz="4" w:space="0" w:color="000000"/>
            </w:tcBorders>
            <w:vAlign w:val="center"/>
          </w:tcPr>
          <w:p w14:paraId="78AFEA34"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 45</w:t>
            </w:r>
          </w:p>
        </w:tc>
        <w:tc>
          <w:tcPr>
            <w:tcW w:w="1470" w:type="pct"/>
            <w:tcBorders>
              <w:top w:val="nil"/>
              <w:left w:val="nil"/>
              <w:bottom w:val="single" w:sz="4" w:space="0" w:color="000000"/>
              <w:right w:val="single" w:sz="4" w:space="0" w:color="000000"/>
            </w:tcBorders>
            <w:vAlign w:val="center"/>
          </w:tcPr>
          <w:p w14:paraId="0FB8B26C"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 45</w:t>
            </w:r>
          </w:p>
        </w:tc>
      </w:tr>
      <w:tr w:rsidR="007E5A1D" w:rsidRPr="00FB577E" w14:paraId="78CB40E5" w14:textId="77777777" w:rsidTr="00FB577E">
        <w:trPr>
          <w:trHeight w:val="60"/>
        </w:trPr>
        <w:tc>
          <w:tcPr>
            <w:tcW w:w="1523" w:type="pct"/>
            <w:tcBorders>
              <w:top w:val="nil"/>
              <w:left w:val="single" w:sz="4" w:space="0" w:color="000000"/>
              <w:bottom w:val="single" w:sz="4" w:space="0" w:color="000000"/>
              <w:right w:val="single" w:sz="4" w:space="0" w:color="000000"/>
            </w:tcBorders>
            <w:vAlign w:val="center"/>
          </w:tcPr>
          <w:p w14:paraId="4057EB83"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Stress response</w:t>
            </w:r>
          </w:p>
        </w:tc>
        <w:tc>
          <w:tcPr>
            <w:tcW w:w="2007" w:type="pct"/>
            <w:tcBorders>
              <w:top w:val="nil"/>
              <w:left w:val="nil"/>
              <w:bottom w:val="single" w:sz="4" w:space="0" w:color="000000"/>
              <w:right w:val="single" w:sz="4" w:space="0" w:color="000000"/>
            </w:tcBorders>
            <w:vAlign w:val="center"/>
          </w:tcPr>
          <w:p w14:paraId="07F2DEC7"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 45</w:t>
            </w:r>
          </w:p>
        </w:tc>
        <w:tc>
          <w:tcPr>
            <w:tcW w:w="1470" w:type="pct"/>
            <w:tcBorders>
              <w:top w:val="nil"/>
              <w:left w:val="nil"/>
              <w:bottom w:val="single" w:sz="4" w:space="0" w:color="000000"/>
              <w:right w:val="single" w:sz="4" w:space="0" w:color="000000"/>
            </w:tcBorders>
            <w:vAlign w:val="center"/>
          </w:tcPr>
          <w:p w14:paraId="0B593823" w14:textId="77777777" w:rsidR="007E5A1D" w:rsidRPr="00FB577E" w:rsidRDefault="007E5A1D" w:rsidP="00FB577E">
            <w:pPr>
              <w:pStyle w:val="NoSpacing"/>
              <w:rPr>
                <w:rFonts w:ascii="Times New Roman" w:hAnsi="Times New Roman" w:cs="Times New Roman"/>
              </w:rPr>
            </w:pPr>
            <w:r w:rsidRPr="00FB577E">
              <w:rPr>
                <w:rFonts w:ascii="Times New Roman" w:hAnsi="Times New Roman" w:cs="Times New Roman"/>
              </w:rPr>
              <w:t> 45</w:t>
            </w:r>
          </w:p>
        </w:tc>
      </w:tr>
    </w:tbl>
    <w:p w14:paraId="78A78BE9" w14:textId="77777777" w:rsidR="007E5A1D" w:rsidRPr="00FB577E" w:rsidRDefault="007E5A1D">
      <w:pPr>
        <w:rPr>
          <w:rFonts w:ascii="Times New Roman" w:hAnsi="Times New Roman" w:cs="Times New Roman"/>
        </w:rPr>
      </w:pPr>
    </w:p>
    <w:p w14:paraId="601BC57A" w14:textId="77777777" w:rsidR="00FB577E" w:rsidRPr="00FB577E" w:rsidRDefault="00FB577E">
      <w:pPr>
        <w:rPr>
          <w:rFonts w:ascii="Times New Roman" w:hAnsi="Times New Roman" w:cs="Times New Roman"/>
        </w:rPr>
      </w:pPr>
    </w:p>
    <w:p w14:paraId="061A38A8" w14:textId="77777777" w:rsidR="00FB577E" w:rsidRPr="00FB577E" w:rsidRDefault="00FB577E">
      <w:pPr>
        <w:rPr>
          <w:rFonts w:ascii="Times New Roman" w:hAnsi="Times New Roman" w:cs="Times New Roman"/>
        </w:rPr>
      </w:pPr>
    </w:p>
    <w:p w14:paraId="0486AB1C" w14:textId="77777777" w:rsidR="00FB577E" w:rsidRPr="00FB577E" w:rsidRDefault="00FB577E">
      <w:pPr>
        <w:rPr>
          <w:rFonts w:ascii="Times New Roman" w:hAnsi="Times New Roman" w:cs="Times New Roman"/>
        </w:rPr>
      </w:pPr>
    </w:p>
    <w:p w14:paraId="6D53DB0F" w14:textId="7A636726" w:rsidR="00FB577E" w:rsidRPr="00FB577E" w:rsidRDefault="00FB577E" w:rsidP="00FB577E">
      <w:pPr>
        <w:jc w:val="both"/>
        <w:rPr>
          <w:rFonts w:ascii="Times New Roman" w:eastAsia="Times New Roman" w:hAnsi="Times New Roman" w:cs="Times New Roman"/>
          <w:b/>
          <w:bCs/>
        </w:rPr>
      </w:pPr>
      <w:r w:rsidRPr="00FB577E">
        <w:rPr>
          <w:rFonts w:ascii="Times New Roman" w:eastAsia="Times New Roman" w:hAnsi="Times New Roman" w:cs="Times New Roman"/>
          <w:b/>
          <w:bCs/>
        </w:rPr>
        <w:lastRenderedPageBreak/>
        <w:t>Table S3. Functional annotation of genes associated with PGP pathways in strains HM01 and HM04. Genes that are uniquely present in the isolates are highlighted in bold.</w:t>
      </w:r>
    </w:p>
    <w:tbl>
      <w:tblPr>
        <w:tblW w:w="5000" w:type="pct"/>
        <w:tblLook w:val="04A0" w:firstRow="1" w:lastRow="0" w:firstColumn="1" w:lastColumn="0" w:noHBand="0" w:noVBand="1"/>
      </w:tblPr>
      <w:tblGrid>
        <w:gridCol w:w="4643"/>
        <w:gridCol w:w="4643"/>
        <w:gridCol w:w="4662"/>
      </w:tblGrid>
      <w:tr w:rsidR="00FB577E" w:rsidRPr="00FB577E" w14:paraId="5B608B10" w14:textId="77777777" w:rsidTr="00FB577E">
        <w:trPr>
          <w:trHeight w:val="300"/>
        </w:trPr>
        <w:tc>
          <w:tcPr>
            <w:tcW w:w="16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98A132" w14:textId="77777777" w:rsidR="00FB577E" w:rsidRPr="00FB577E" w:rsidRDefault="00FB577E" w:rsidP="00FB577E">
            <w:pPr>
              <w:pStyle w:val="NoSpacing"/>
            </w:pPr>
            <w:r w:rsidRPr="00FB577E">
              <w:t>Pathway</w:t>
            </w:r>
          </w:p>
        </w:tc>
        <w:tc>
          <w:tcPr>
            <w:tcW w:w="1664" w:type="pct"/>
            <w:tcBorders>
              <w:top w:val="single" w:sz="4" w:space="0" w:color="auto"/>
              <w:left w:val="nil"/>
              <w:bottom w:val="single" w:sz="4" w:space="0" w:color="auto"/>
              <w:right w:val="single" w:sz="4" w:space="0" w:color="auto"/>
            </w:tcBorders>
            <w:shd w:val="clear" w:color="auto" w:fill="auto"/>
            <w:vAlign w:val="center"/>
            <w:hideMark/>
          </w:tcPr>
          <w:p w14:paraId="1F6CEF75" w14:textId="77777777" w:rsidR="00FB577E" w:rsidRPr="00FB577E" w:rsidRDefault="00FB577E" w:rsidP="00FB577E">
            <w:pPr>
              <w:pStyle w:val="NoSpacing"/>
            </w:pPr>
            <w:r w:rsidRPr="00FB577E">
              <w:t>HM01</w:t>
            </w:r>
          </w:p>
        </w:tc>
        <w:tc>
          <w:tcPr>
            <w:tcW w:w="1671" w:type="pct"/>
            <w:tcBorders>
              <w:top w:val="single" w:sz="4" w:space="0" w:color="auto"/>
              <w:left w:val="nil"/>
              <w:bottom w:val="single" w:sz="4" w:space="0" w:color="auto"/>
              <w:right w:val="single" w:sz="4" w:space="0" w:color="auto"/>
            </w:tcBorders>
            <w:shd w:val="clear" w:color="auto" w:fill="auto"/>
            <w:vAlign w:val="center"/>
            <w:hideMark/>
          </w:tcPr>
          <w:p w14:paraId="312B0B62" w14:textId="77777777" w:rsidR="00FB577E" w:rsidRPr="00FB577E" w:rsidRDefault="00FB577E" w:rsidP="00FB577E">
            <w:pPr>
              <w:pStyle w:val="NoSpacing"/>
            </w:pPr>
            <w:r w:rsidRPr="00FB577E">
              <w:t>HM04</w:t>
            </w:r>
          </w:p>
        </w:tc>
      </w:tr>
      <w:tr w:rsidR="00FB577E" w:rsidRPr="00FB577E" w14:paraId="57A69BF1" w14:textId="77777777" w:rsidTr="00FB577E">
        <w:trPr>
          <w:trHeight w:val="300"/>
        </w:trPr>
        <w:tc>
          <w:tcPr>
            <w:tcW w:w="1664" w:type="pct"/>
            <w:tcBorders>
              <w:top w:val="nil"/>
              <w:left w:val="single" w:sz="4" w:space="0" w:color="auto"/>
              <w:bottom w:val="single" w:sz="4" w:space="0" w:color="auto"/>
              <w:right w:val="single" w:sz="4" w:space="0" w:color="auto"/>
            </w:tcBorders>
            <w:shd w:val="clear" w:color="auto" w:fill="auto"/>
            <w:vAlign w:val="center"/>
            <w:hideMark/>
          </w:tcPr>
          <w:p w14:paraId="21C3C433" w14:textId="77777777" w:rsidR="00FB577E" w:rsidRPr="00FB577E" w:rsidRDefault="00FB577E" w:rsidP="00FB577E">
            <w:pPr>
              <w:pStyle w:val="NoSpacing"/>
            </w:pPr>
            <w:r w:rsidRPr="00FB577E">
              <w:t>Phosphate solubilization</w:t>
            </w:r>
          </w:p>
        </w:tc>
        <w:tc>
          <w:tcPr>
            <w:tcW w:w="1664" w:type="pct"/>
            <w:tcBorders>
              <w:top w:val="nil"/>
              <w:left w:val="nil"/>
              <w:bottom w:val="single" w:sz="4" w:space="0" w:color="auto"/>
              <w:right w:val="single" w:sz="4" w:space="0" w:color="auto"/>
            </w:tcBorders>
            <w:shd w:val="clear" w:color="auto" w:fill="auto"/>
            <w:vAlign w:val="center"/>
            <w:hideMark/>
          </w:tcPr>
          <w:p w14:paraId="6E4A94C4" w14:textId="77777777" w:rsidR="00FB577E" w:rsidRPr="00FB577E" w:rsidRDefault="00FB577E" w:rsidP="00FB577E">
            <w:pPr>
              <w:pStyle w:val="NoSpacing"/>
            </w:pPr>
            <w:proofErr w:type="spellStart"/>
            <w:r w:rsidRPr="00FB577E">
              <w:t>pstA</w:t>
            </w:r>
            <w:proofErr w:type="spellEnd"/>
            <w:r w:rsidRPr="00FB577E">
              <w:t xml:space="preserve">, </w:t>
            </w:r>
            <w:proofErr w:type="spellStart"/>
            <w:r w:rsidRPr="00FB577E">
              <w:t>pstB</w:t>
            </w:r>
            <w:proofErr w:type="spellEnd"/>
            <w:r w:rsidRPr="00FB577E">
              <w:t xml:space="preserve">, </w:t>
            </w:r>
            <w:proofErr w:type="spellStart"/>
            <w:r w:rsidRPr="00FB577E">
              <w:t>pstS</w:t>
            </w:r>
            <w:proofErr w:type="spellEnd"/>
          </w:p>
        </w:tc>
        <w:tc>
          <w:tcPr>
            <w:tcW w:w="1671" w:type="pct"/>
            <w:tcBorders>
              <w:top w:val="nil"/>
              <w:left w:val="nil"/>
              <w:bottom w:val="single" w:sz="4" w:space="0" w:color="auto"/>
              <w:right w:val="single" w:sz="4" w:space="0" w:color="auto"/>
            </w:tcBorders>
            <w:shd w:val="clear" w:color="auto" w:fill="auto"/>
            <w:vAlign w:val="center"/>
            <w:hideMark/>
          </w:tcPr>
          <w:p w14:paraId="3E3A24E8" w14:textId="77777777" w:rsidR="00FB577E" w:rsidRPr="00FB577E" w:rsidRDefault="00FB577E" w:rsidP="00FB577E">
            <w:pPr>
              <w:pStyle w:val="NoSpacing"/>
            </w:pPr>
            <w:proofErr w:type="spellStart"/>
            <w:r w:rsidRPr="00FB577E">
              <w:t>pstA</w:t>
            </w:r>
            <w:proofErr w:type="spellEnd"/>
            <w:r w:rsidRPr="00FB577E">
              <w:t xml:space="preserve">, </w:t>
            </w:r>
            <w:proofErr w:type="spellStart"/>
            <w:r w:rsidRPr="00FB577E">
              <w:t>pstB</w:t>
            </w:r>
            <w:proofErr w:type="spellEnd"/>
            <w:r w:rsidRPr="00FB577E">
              <w:t xml:space="preserve">, </w:t>
            </w:r>
            <w:proofErr w:type="spellStart"/>
            <w:r w:rsidRPr="00FB577E">
              <w:t>pstS</w:t>
            </w:r>
            <w:proofErr w:type="spellEnd"/>
          </w:p>
        </w:tc>
      </w:tr>
      <w:tr w:rsidR="00FB577E" w:rsidRPr="00FB577E" w14:paraId="527D2DC8" w14:textId="77777777" w:rsidTr="00FB577E">
        <w:trPr>
          <w:trHeight w:val="300"/>
        </w:trPr>
        <w:tc>
          <w:tcPr>
            <w:tcW w:w="1664" w:type="pct"/>
            <w:tcBorders>
              <w:top w:val="nil"/>
              <w:left w:val="single" w:sz="4" w:space="0" w:color="auto"/>
              <w:bottom w:val="single" w:sz="4" w:space="0" w:color="auto"/>
              <w:right w:val="single" w:sz="4" w:space="0" w:color="auto"/>
            </w:tcBorders>
            <w:shd w:val="clear" w:color="auto" w:fill="auto"/>
            <w:vAlign w:val="center"/>
            <w:hideMark/>
          </w:tcPr>
          <w:p w14:paraId="2DB94737" w14:textId="77777777" w:rsidR="00FB577E" w:rsidRPr="00FB577E" w:rsidRDefault="00FB577E" w:rsidP="00FB577E">
            <w:pPr>
              <w:pStyle w:val="NoSpacing"/>
            </w:pPr>
            <w:r w:rsidRPr="00FB577E">
              <w:t>Potassium solubilization</w:t>
            </w:r>
          </w:p>
        </w:tc>
        <w:tc>
          <w:tcPr>
            <w:tcW w:w="1664" w:type="pct"/>
            <w:tcBorders>
              <w:top w:val="nil"/>
              <w:left w:val="nil"/>
              <w:bottom w:val="single" w:sz="4" w:space="0" w:color="auto"/>
              <w:right w:val="single" w:sz="4" w:space="0" w:color="auto"/>
            </w:tcBorders>
            <w:shd w:val="clear" w:color="auto" w:fill="auto"/>
            <w:vAlign w:val="center"/>
            <w:hideMark/>
          </w:tcPr>
          <w:p w14:paraId="37EDDA94" w14:textId="77777777" w:rsidR="00FB577E" w:rsidRPr="00FB577E" w:rsidRDefault="00FB577E" w:rsidP="00FB577E">
            <w:pPr>
              <w:pStyle w:val="NoSpacing"/>
            </w:pPr>
            <w:proofErr w:type="spellStart"/>
            <w:r w:rsidRPr="00FB577E">
              <w:t>ktrA</w:t>
            </w:r>
            <w:proofErr w:type="spellEnd"/>
            <w:r w:rsidRPr="00FB577E">
              <w:t xml:space="preserve">, </w:t>
            </w:r>
            <w:proofErr w:type="spellStart"/>
            <w:r w:rsidRPr="00FB577E">
              <w:t>ktrB</w:t>
            </w:r>
            <w:proofErr w:type="spellEnd"/>
          </w:p>
        </w:tc>
        <w:tc>
          <w:tcPr>
            <w:tcW w:w="1671" w:type="pct"/>
            <w:tcBorders>
              <w:top w:val="nil"/>
              <w:left w:val="nil"/>
              <w:bottom w:val="single" w:sz="4" w:space="0" w:color="auto"/>
              <w:right w:val="single" w:sz="4" w:space="0" w:color="auto"/>
            </w:tcBorders>
            <w:shd w:val="clear" w:color="auto" w:fill="auto"/>
            <w:vAlign w:val="center"/>
            <w:hideMark/>
          </w:tcPr>
          <w:p w14:paraId="3AE73230" w14:textId="77777777" w:rsidR="00FB577E" w:rsidRPr="00FB577E" w:rsidRDefault="00FB577E" w:rsidP="00FB577E">
            <w:pPr>
              <w:pStyle w:val="NoSpacing"/>
            </w:pPr>
            <w:proofErr w:type="spellStart"/>
            <w:r w:rsidRPr="00FB577E">
              <w:t>ktrA</w:t>
            </w:r>
            <w:proofErr w:type="spellEnd"/>
            <w:r w:rsidRPr="00FB577E">
              <w:t xml:space="preserve">, </w:t>
            </w:r>
            <w:proofErr w:type="spellStart"/>
            <w:r w:rsidRPr="00FB577E">
              <w:t>ktrB</w:t>
            </w:r>
            <w:proofErr w:type="spellEnd"/>
          </w:p>
        </w:tc>
      </w:tr>
      <w:tr w:rsidR="00FB577E" w:rsidRPr="00FB577E" w14:paraId="36883DC4" w14:textId="77777777" w:rsidTr="00FB577E">
        <w:trPr>
          <w:trHeight w:val="300"/>
        </w:trPr>
        <w:tc>
          <w:tcPr>
            <w:tcW w:w="1664" w:type="pct"/>
            <w:tcBorders>
              <w:top w:val="nil"/>
              <w:left w:val="single" w:sz="4" w:space="0" w:color="auto"/>
              <w:bottom w:val="single" w:sz="4" w:space="0" w:color="auto"/>
              <w:right w:val="single" w:sz="4" w:space="0" w:color="auto"/>
            </w:tcBorders>
            <w:shd w:val="clear" w:color="auto" w:fill="auto"/>
            <w:vAlign w:val="center"/>
            <w:hideMark/>
          </w:tcPr>
          <w:p w14:paraId="27524366" w14:textId="77777777" w:rsidR="00FB577E" w:rsidRPr="00FB577E" w:rsidRDefault="00FB577E" w:rsidP="00FB577E">
            <w:pPr>
              <w:pStyle w:val="NoSpacing"/>
            </w:pPr>
            <w:r w:rsidRPr="00FB577E">
              <w:t>Zinc solubilization</w:t>
            </w:r>
          </w:p>
        </w:tc>
        <w:tc>
          <w:tcPr>
            <w:tcW w:w="1664" w:type="pct"/>
            <w:tcBorders>
              <w:top w:val="nil"/>
              <w:left w:val="nil"/>
              <w:bottom w:val="single" w:sz="4" w:space="0" w:color="auto"/>
              <w:right w:val="single" w:sz="4" w:space="0" w:color="auto"/>
            </w:tcBorders>
            <w:shd w:val="clear" w:color="auto" w:fill="auto"/>
            <w:vAlign w:val="center"/>
            <w:hideMark/>
          </w:tcPr>
          <w:p w14:paraId="19F06F8E" w14:textId="77777777" w:rsidR="00FB577E" w:rsidRPr="00FB577E" w:rsidRDefault="00FB577E" w:rsidP="00FB577E">
            <w:pPr>
              <w:pStyle w:val="NoSpacing"/>
            </w:pPr>
            <w:proofErr w:type="spellStart"/>
            <w:r w:rsidRPr="00FB577E">
              <w:t>znuA</w:t>
            </w:r>
            <w:proofErr w:type="spellEnd"/>
            <w:r w:rsidRPr="00FB577E">
              <w:t xml:space="preserve">, </w:t>
            </w:r>
            <w:proofErr w:type="spellStart"/>
            <w:r w:rsidRPr="00FB577E">
              <w:t>znuB</w:t>
            </w:r>
            <w:proofErr w:type="spellEnd"/>
            <w:r w:rsidRPr="00FB577E">
              <w:t xml:space="preserve">, </w:t>
            </w:r>
            <w:proofErr w:type="spellStart"/>
            <w:r w:rsidRPr="00FB577E">
              <w:t>znuC</w:t>
            </w:r>
            <w:proofErr w:type="spellEnd"/>
            <w:r w:rsidRPr="00FB577E">
              <w:t xml:space="preserve">, </w:t>
            </w:r>
            <w:proofErr w:type="spellStart"/>
            <w:r w:rsidRPr="00FB577E">
              <w:t>zur</w:t>
            </w:r>
            <w:proofErr w:type="spellEnd"/>
          </w:p>
        </w:tc>
        <w:tc>
          <w:tcPr>
            <w:tcW w:w="1671" w:type="pct"/>
            <w:tcBorders>
              <w:top w:val="nil"/>
              <w:left w:val="nil"/>
              <w:bottom w:val="single" w:sz="4" w:space="0" w:color="auto"/>
              <w:right w:val="single" w:sz="4" w:space="0" w:color="auto"/>
            </w:tcBorders>
            <w:shd w:val="clear" w:color="auto" w:fill="auto"/>
            <w:vAlign w:val="center"/>
            <w:hideMark/>
          </w:tcPr>
          <w:p w14:paraId="37F469B6" w14:textId="77777777" w:rsidR="00FB577E" w:rsidRPr="00FB577E" w:rsidRDefault="00FB577E" w:rsidP="00FB577E">
            <w:pPr>
              <w:pStyle w:val="NoSpacing"/>
            </w:pPr>
            <w:proofErr w:type="spellStart"/>
            <w:r w:rsidRPr="00FB577E">
              <w:t>znuA</w:t>
            </w:r>
            <w:proofErr w:type="spellEnd"/>
            <w:r w:rsidRPr="00FB577E">
              <w:t xml:space="preserve">, </w:t>
            </w:r>
            <w:proofErr w:type="spellStart"/>
            <w:r w:rsidRPr="00FB577E">
              <w:t>znuB</w:t>
            </w:r>
            <w:proofErr w:type="spellEnd"/>
            <w:r w:rsidRPr="00FB577E">
              <w:t xml:space="preserve">, </w:t>
            </w:r>
            <w:proofErr w:type="spellStart"/>
            <w:r w:rsidRPr="00FB577E">
              <w:t>znuC</w:t>
            </w:r>
            <w:proofErr w:type="spellEnd"/>
            <w:r w:rsidRPr="00FB577E">
              <w:t xml:space="preserve">, </w:t>
            </w:r>
            <w:proofErr w:type="spellStart"/>
            <w:r w:rsidRPr="00FB577E">
              <w:t>zur</w:t>
            </w:r>
            <w:proofErr w:type="spellEnd"/>
          </w:p>
        </w:tc>
      </w:tr>
      <w:tr w:rsidR="00FB577E" w:rsidRPr="00FB577E" w14:paraId="0E226A4C" w14:textId="77777777" w:rsidTr="00FB577E">
        <w:trPr>
          <w:trHeight w:val="300"/>
        </w:trPr>
        <w:tc>
          <w:tcPr>
            <w:tcW w:w="1664" w:type="pct"/>
            <w:tcBorders>
              <w:top w:val="nil"/>
              <w:left w:val="single" w:sz="4" w:space="0" w:color="auto"/>
              <w:bottom w:val="single" w:sz="4" w:space="0" w:color="auto"/>
              <w:right w:val="single" w:sz="4" w:space="0" w:color="auto"/>
            </w:tcBorders>
            <w:shd w:val="clear" w:color="auto" w:fill="auto"/>
            <w:vAlign w:val="center"/>
            <w:hideMark/>
          </w:tcPr>
          <w:p w14:paraId="23B64918" w14:textId="77777777" w:rsidR="00FB577E" w:rsidRPr="00FB577E" w:rsidRDefault="00FB577E" w:rsidP="00FB577E">
            <w:pPr>
              <w:pStyle w:val="NoSpacing"/>
            </w:pPr>
            <w:r w:rsidRPr="00FB577E">
              <w:t xml:space="preserve">Iron </w:t>
            </w:r>
            <w:proofErr w:type="spellStart"/>
            <w:r w:rsidRPr="00FB577E">
              <w:t>sequetration</w:t>
            </w:r>
            <w:proofErr w:type="spellEnd"/>
            <w:r w:rsidRPr="00FB577E">
              <w:t xml:space="preserve"> and metabolism</w:t>
            </w:r>
          </w:p>
        </w:tc>
        <w:tc>
          <w:tcPr>
            <w:tcW w:w="1664" w:type="pct"/>
            <w:tcBorders>
              <w:top w:val="nil"/>
              <w:left w:val="nil"/>
              <w:bottom w:val="single" w:sz="4" w:space="0" w:color="auto"/>
              <w:right w:val="single" w:sz="4" w:space="0" w:color="auto"/>
            </w:tcBorders>
            <w:shd w:val="clear" w:color="auto" w:fill="auto"/>
            <w:vAlign w:val="center"/>
            <w:hideMark/>
          </w:tcPr>
          <w:p w14:paraId="231EDCBC" w14:textId="77777777" w:rsidR="00FB577E" w:rsidRPr="00FB577E" w:rsidRDefault="00FB577E" w:rsidP="00FB577E">
            <w:pPr>
              <w:pStyle w:val="NoSpacing"/>
            </w:pPr>
            <w:proofErr w:type="spellStart"/>
            <w:r w:rsidRPr="00FB577E">
              <w:t>efeM</w:t>
            </w:r>
            <w:proofErr w:type="spellEnd"/>
            <w:r w:rsidRPr="00FB577E">
              <w:t xml:space="preserve">, </w:t>
            </w:r>
            <w:proofErr w:type="spellStart"/>
            <w:r w:rsidRPr="00FB577E">
              <w:t>efeN</w:t>
            </w:r>
            <w:proofErr w:type="spellEnd"/>
            <w:r w:rsidRPr="00FB577E">
              <w:t xml:space="preserve">, </w:t>
            </w:r>
            <w:proofErr w:type="spellStart"/>
            <w:r w:rsidRPr="00FB577E">
              <w:t>efeU</w:t>
            </w:r>
            <w:proofErr w:type="spellEnd"/>
            <w:r w:rsidRPr="00FB577E">
              <w:t xml:space="preserve">, </w:t>
            </w:r>
            <w:proofErr w:type="spellStart"/>
            <w:r w:rsidRPr="00FB577E">
              <w:t>fecD</w:t>
            </w:r>
            <w:proofErr w:type="spellEnd"/>
            <w:r w:rsidRPr="00FB577E">
              <w:t>, fur</w:t>
            </w:r>
          </w:p>
        </w:tc>
        <w:tc>
          <w:tcPr>
            <w:tcW w:w="1671" w:type="pct"/>
            <w:tcBorders>
              <w:top w:val="nil"/>
              <w:left w:val="nil"/>
              <w:bottom w:val="single" w:sz="4" w:space="0" w:color="auto"/>
              <w:right w:val="single" w:sz="4" w:space="0" w:color="auto"/>
            </w:tcBorders>
            <w:shd w:val="clear" w:color="auto" w:fill="auto"/>
            <w:vAlign w:val="center"/>
            <w:hideMark/>
          </w:tcPr>
          <w:p w14:paraId="7206E8EB" w14:textId="77777777" w:rsidR="00FB577E" w:rsidRPr="00FB577E" w:rsidRDefault="00FB577E" w:rsidP="00FB577E">
            <w:pPr>
              <w:pStyle w:val="NoSpacing"/>
            </w:pPr>
            <w:proofErr w:type="spellStart"/>
            <w:r w:rsidRPr="00FB577E">
              <w:t>efeM</w:t>
            </w:r>
            <w:proofErr w:type="spellEnd"/>
            <w:r w:rsidRPr="00FB577E">
              <w:t xml:space="preserve">, </w:t>
            </w:r>
            <w:proofErr w:type="spellStart"/>
            <w:r w:rsidRPr="00FB577E">
              <w:t>efeN</w:t>
            </w:r>
            <w:proofErr w:type="spellEnd"/>
            <w:r w:rsidRPr="00FB577E">
              <w:t xml:space="preserve">, </w:t>
            </w:r>
            <w:proofErr w:type="spellStart"/>
            <w:r w:rsidRPr="00FB577E">
              <w:t>efeU</w:t>
            </w:r>
            <w:proofErr w:type="spellEnd"/>
            <w:r w:rsidRPr="00FB577E">
              <w:t xml:space="preserve">, </w:t>
            </w:r>
            <w:proofErr w:type="spellStart"/>
            <w:r w:rsidRPr="00FB577E">
              <w:t>fecD</w:t>
            </w:r>
            <w:proofErr w:type="spellEnd"/>
            <w:r w:rsidRPr="00FB577E">
              <w:t>, fur</w:t>
            </w:r>
          </w:p>
        </w:tc>
      </w:tr>
      <w:tr w:rsidR="00FB577E" w:rsidRPr="00FB577E" w14:paraId="388FFE1E" w14:textId="77777777" w:rsidTr="00FB577E">
        <w:trPr>
          <w:trHeight w:val="300"/>
        </w:trPr>
        <w:tc>
          <w:tcPr>
            <w:tcW w:w="1664" w:type="pct"/>
            <w:tcBorders>
              <w:top w:val="nil"/>
              <w:left w:val="single" w:sz="4" w:space="0" w:color="auto"/>
              <w:bottom w:val="single" w:sz="4" w:space="0" w:color="auto"/>
              <w:right w:val="single" w:sz="4" w:space="0" w:color="auto"/>
            </w:tcBorders>
            <w:shd w:val="clear" w:color="auto" w:fill="auto"/>
            <w:vAlign w:val="center"/>
            <w:hideMark/>
          </w:tcPr>
          <w:p w14:paraId="5954A0E0" w14:textId="77777777" w:rsidR="00FB577E" w:rsidRPr="00FB577E" w:rsidRDefault="00FB577E" w:rsidP="00FB577E">
            <w:pPr>
              <w:pStyle w:val="NoSpacing"/>
            </w:pPr>
            <w:r w:rsidRPr="00FB577E">
              <w:t>Nitrogen fixation</w:t>
            </w:r>
          </w:p>
        </w:tc>
        <w:tc>
          <w:tcPr>
            <w:tcW w:w="1664" w:type="pct"/>
            <w:tcBorders>
              <w:top w:val="nil"/>
              <w:left w:val="nil"/>
              <w:bottom w:val="single" w:sz="4" w:space="0" w:color="auto"/>
              <w:right w:val="single" w:sz="4" w:space="0" w:color="auto"/>
            </w:tcBorders>
            <w:shd w:val="clear" w:color="auto" w:fill="auto"/>
            <w:vAlign w:val="center"/>
            <w:hideMark/>
          </w:tcPr>
          <w:p w14:paraId="1EACA537" w14:textId="77777777" w:rsidR="00FB577E" w:rsidRPr="00FB577E" w:rsidRDefault="00FB577E" w:rsidP="00FB577E">
            <w:pPr>
              <w:pStyle w:val="NoSpacing"/>
            </w:pPr>
            <w:proofErr w:type="spellStart"/>
            <w:r w:rsidRPr="00FB577E">
              <w:t>nifS</w:t>
            </w:r>
            <w:proofErr w:type="spellEnd"/>
          </w:p>
        </w:tc>
        <w:tc>
          <w:tcPr>
            <w:tcW w:w="1671" w:type="pct"/>
            <w:tcBorders>
              <w:top w:val="nil"/>
              <w:left w:val="nil"/>
              <w:bottom w:val="single" w:sz="4" w:space="0" w:color="auto"/>
              <w:right w:val="single" w:sz="4" w:space="0" w:color="auto"/>
            </w:tcBorders>
            <w:shd w:val="clear" w:color="auto" w:fill="auto"/>
            <w:vAlign w:val="center"/>
            <w:hideMark/>
          </w:tcPr>
          <w:p w14:paraId="604B01C6" w14:textId="77777777" w:rsidR="00FB577E" w:rsidRPr="00FB577E" w:rsidRDefault="00FB577E" w:rsidP="00FB577E">
            <w:pPr>
              <w:pStyle w:val="NoSpacing"/>
            </w:pPr>
            <w:proofErr w:type="spellStart"/>
            <w:r w:rsidRPr="00FB577E">
              <w:t>nifS</w:t>
            </w:r>
            <w:proofErr w:type="spellEnd"/>
          </w:p>
        </w:tc>
      </w:tr>
      <w:tr w:rsidR="00FB577E" w:rsidRPr="00FB577E" w14:paraId="587CC636" w14:textId="77777777" w:rsidTr="00FB577E">
        <w:trPr>
          <w:trHeight w:val="300"/>
        </w:trPr>
        <w:tc>
          <w:tcPr>
            <w:tcW w:w="1664" w:type="pct"/>
            <w:tcBorders>
              <w:top w:val="nil"/>
              <w:left w:val="single" w:sz="4" w:space="0" w:color="auto"/>
              <w:bottom w:val="single" w:sz="4" w:space="0" w:color="auto"/>
              <w:right w:val="single" w:sz="4" w:space="0" w:color="auto"/>
            </w:tcBorders>
            <w:shd w:val="clear" w:color="auto" w:fill="auto"/>
            <w:vAlign w:val="center"/>
            <w:hideMark/>
          </w:tcPr>
          <w:p w14:paraId="0714A20A" w14:textId="77777777" w:rsidR="00FB577E" w:rsidRPr="00FB577E" w:rsidRDefault="00FB577E" w:rsidP="00FB577E">
            <w:pPr>
              <w:pStyle w:val="NoSpacing"/>
            </w:pPr>
            <w:r w:rsidRPr="00FB577E">
              <w:t>Siderophore production</w:t>
            </w:r>
          </w:p>
        </w:tc>
        <w:tc>
          <w:tcPr>
            <w:tcW w:w="1664" w:type="pct"/>
            <w:tcBorders>
              <w:top w:val="nil"/>
              <w:left w:val="nil"/>
              <w:bottom w:val="single" w:sz="4" w:space="0" w:color="auto"/>
              <w:right w:val="single" w:sz="4" w:space="0" w:color="auto"/>
            </w:tcBorders>
            <w:shd w:val="clear" w:color="auto" w:fill="auto"/>
            <w:vAlign w:val="center"/>
            <w:hideMark/>
          </w:tcPr>
          <w:p w14:paraId="3D9904A4" w14:textId="77777777" w:rsidR="00FB577E" w:rsidRPr="00FB577E" w:rsidRDefault="00FB577E" w:rsidP="00FB577E">
            <w:pPr>
              <w:pStyle w:val="NoSpacing"/>
            </w:pPr>
            <w:proofErr w:type="spellStart"/>
            <w:r w:rsidRPr="00FB577E">
              <w:t>fhuD</w:t>
            </w:r>
            <w:proofErr w:type="spellEnd"/>
            <w:r w:rsidRPr="00FB577E">
              <w:t xml:space="preserve">, </w:t>
            </w:r>
            <w:proofErr w:type="spellStart"/>
            <w:r w:rsidRPr="00FB577E">
              <w:t>mbtH</w:t>
            </w:r>
            <w:proofErr w:type="spellEnd"/>
          </w:p>
        </w:tc>
        <w:tc>
          <w:tcPr>
            <w:tcW w:w="1671" w:type="pct"/>
            <w:tcBorders>
              <w:top w:val="nil"/>
              <w:left w:val="nil"/>
              <w:bottom w:val="single" w:sz="4" w:space="0" w:color="auto"/>
              <w:right w:val="single" w:sz="4" w:space="0" w:color="auto"/>
            </w:tcBorders>
            <w:shd w:val="clear" w:color="auto" w:fill="auto"/>
            <w:vAlign w:val="center"/>
            <w:hideMark/>
          </w:tcPr>
          <w:p w14:paraId="3253EB75" w14:textId="77777777" w:rsidR="00FB577E" w:rsidRPr="00FB577E" w:rsidRDefault="00FB577E" w:rsidP="00FB577E">
            <w:pPr>
              <w:pStyle w:val="NoSpacing"/>
            </w:pPr>
            <w:proofErr w:type="spellStart"/>
            <w:r w:rsidRPr="00FB577E">
              <w:t>fhuD</w:t>
            </w:r>
            <w:proofErr w:type="spellEnd"/>
          </w:p>
        </w:tc>
      </w:tr>
      <w:tr w:rsidR="00FB577E" w:rsidRPr="00FB577E" w14:paraId="55CF3E86" w14:textId="77777777" w:rsidTr="00FB577E">
        <w:trPr>
          <w:trHeight w:val="300"/>
        </w:trPr>
        <w:tc>
          <w:tcPr>
            <w:tcW w:w="1664" w:type="pct"/>
            <w:tcBorders>
              <w:top w:val="nil"/>
              <w:left w:val="single" w:sz="4" w:space="0" w:color="auto"/>
              <w:bottom w:val="single" w:sz="4" w:space="0" w:color="auto"/>
              <w:right w:val="single" w:sz="4" w:space="0" w:color="auto"/>
            </w:tcBorders>
            <w:shd w:val="clear" w:color="auto" w:fill="auto"/>
            <w:vAlign w:val="center"/>
            <w:hideMark/>
          </w:tcPr>
          <w:p w14:paraId="45CCF63C" w14:textId="77777777" w:rsidR="00FB577E" w:rsidRPr="00FB577E" w:rsidRDefault="00FB577E" w:rsidP="00FB577E">
            <w:pPr>
              <w:pStyle w:val="NoSpacing"/>
            </w:pPr>
            <w:r w:rsidRPr="00FB577E">
              <w:t>Assimilatory sulphate reduction</w:t>
            </w:r>
          </w:p>
        </w:tc>
        <w:tc>
          <w:tcPr>
            <w:tcW w:w="1664" w:type="pct"/>
            <w:tcBorders>
              <w:top w:val="nil"/>
              <w:left w:val="nil"/>
              <w:bottom w:val="single" w:sz="4" w:space="0" w:color="auto"/>
              <w:right w:val="single" w:sz="4" w:space="0" w:color="auto"/>
            </w:tcBorders>
            <w:shd w:val="clear" w:color="auto" w:fill="auto"/>
            <w:vAlign w:val="center"/>
            <w:hideMark/>
          </w:tcPr>
          <w:p w14:paraId="630F35DC" w14:textId="77777777" w:rsidR="00FB577E" w:rsidRPr="00FB577E" w:rsidRDefault="00FB577E" w:rsidP="00FB577E">
            <w:pPr>
              <w:pStyle w:val="NoSpacing"/>
            </w:pPr>
            <w:proofErr w:type="spellStart"/>
            <w:r w:rsidRPr="00FB577E">
              <w:t>cysC</w:t>
            </w:r>
            <w:proofErr w:type="spellEnd"/>
            <w:r w:rsidRPr="00FB577E">
              <w:t xml:space="preserve">, </w:t>
            </w:r>
            <w:proofErr w:type="spellStart"/>
            <w:r w:rsidRPr="00FB577E">
              <w:t>cysE</w:t>
            </w:r>
            <w:proofErr w:type="spellEnd"/>
            <w:r w:rsidRPr="00FB577E">
              <w:t xml:space="preserve">, </w:t>
            </w:r>
            <w:proofErr w:type="spellStart"/>
            <w:r w:rsidRPr="00FB577E">
              <w:t>cysH</w:t>
            </w:r>
            <w:proofErr w:type="spellEnd"/>
            <w:r w:rsidRPr="00FB577E">
              <w:t xml:space="preserve">, </w:t>
            </w:r>
            <w:proofErr w:type="spellStart"/>
            <w:r w:rsidRPr="00FB577E">
              <w:t>cysI</w:t>
            </w:r>
            <w:proofErr w:type="spellEnd"/>
            <w:r w:rsidRPr="00FB577E">
              <w:t xml:space="preserve">, </w:t>
            </w:r>
            <w:proofErr w:type="spellStart"/>
            <w:r w:rsidRPr="00FB577E">
              <w:t>cysJ</w:t>
            </w:r>
            <w:proofErr w:type="spellEnd"/>
            <w:r w:rsidRPr="00FB577E">
              <w:t xml:space="preserve">, </w:t>
            </w:r>
            <w:proofErr w:type="spellStart"/>
            <w:r w:rsidRPr="00FB577E">
              <w:t>cysK</w:t>
            </w:r>
            <w:proofErr w:type="spellEnd"/>
            <w:r w:rsidRPr="00FB577E">
              <w:t xml:space="preserve">, </w:t>
            </w:r>
            <w:proofErr w:type="spellStart"/>
            <w:r w:rsidRPr="00FB577E">
              <w:t>cysL</w:t>
            </w:r>
            <w:proofErr w:type="spellEnd"/>
            <w:r w:rsidRPr="00FB577E">
              <w:t xml:space="preserve">, </w:t>
            </w:r>
            <w:proofErr w:type="spellStart"/>
            <w:r w:rsidRPr="00FB577E">
              <w:t>cysS</w:t>
            </w:r>
            <w:proofErr w:type="spellEnd"/>
            <w:r w:rsidRPr="00FB577E">
              <w:t xml:space="preserve">, </w:t>
            </w:r>
            <w:proofErr w:type="spellStart"/>
            <w:r w:rsidRPr="00FB577E">
              <w:t>cysP</w:t>
            </w:r>
            <w:proofErr w:type="spellEnd"/>
          </w:p>
        </w:tc>
        <w:tc>
          <w:tcPr>
            <w:tcW w:w="1671" w:type="pct"/>
            <w:tcBorders>
              <w:top w:val="nil"/>
              <w:left w:val="nil"/>
              <w:bottom w:val="single" w:sz="4" w:space="0" w:color="auto"/>
              <w:right w:val="single" w:sz="4" w:space="0" w:color="auto"/>
            </w:tcBorders>
            <w:shd w:val="clear" w:color="auto" w:fill="auto"/>
            <w:vAlign w:val="center"/>
            <w:hideMark/>
          </w:tcPr>
          <w:p w14:paraId="59921F7F" w14:textId="77777777" w:rsidR="00FB577E" w:rsidRPr="00FB577E" w:rsidRDefault="00FB577E" w:rsidP="00FB577E">
            <w:pPr>
              <w:pStyle w:val="NoSpacing"/>
            </w:pPr>
            <w:proofErr w:type="spellStart"/>
            <w:r w:rsidRPr="00FB577E">
              <w:t>cysC</w:t>
            </w:r>
            <w:proofErr w:type="spellEnd"/>
            <w:r w:rsidRPr="00FB577E">
              <w:t xml:space="preserve">, </w:t>
            </w:r>
            <w:proofErr w:type="spellStart"/>
            <w:r w:rsidRPr="00FB577E">
              <w:t>cysE</w:t>
            </w:r>
            <w:proofErr w:type="spellEnd"/>
            <w:r w:rsidRPr="00FB577E">
              <w:t xml:space="preserve">, </w:t>
            </w:r>
            <w:proofErr w:type="spellStart"/>
            <w:r w:rsidRPr="00FB577E">
              <w:t>cysH</w:t>
            </w:r>
            <w:proofErr w:type="spellEnd"/>
            <w:r w:rsidRPr="00FB577E">
              <w:t xml:space="preserve">, </w:t>
            </w:r>
            <w:proofErr w:type="spellStart"/>
            <w:r w:rsidRPr="00FB577E">
              <w:t>cysI</w:t>
            </w:r>
            <w:proofErr w:type="spellEnd"/>
            <w:r w:rsidRPr="00FB577E">
              <w:t xml:space="preserve">, </w:t>
            </w:r>
            <w:proofErr w:type="spellStart"/>
            <w:r w:rsidRPr="00FB577E">
              <w:t>cysJ</w:t>
            </w:r>
            <w:proofErr w:type="spellEnd"/>
            <w:r w:rsidRPr="00FB577E">
              <w:t xml:space="preserve">, </w:t>
            </w:r>
            <w:proofErr w:type="spellStart"/>
            <w:r w:rsidRPr="00FB577E">
              <w:t>cysL</w:t>
            </w:r>
            <w:proofErr w:type="spellEnd"/>
            <w:r w:rsidRPr="00FB577E">
              <w:t xml:space="preserve">, </w:t>
            </w:r>
            <w:proofErr w:type="spellStart"/>
            <w:r w:rsidRPr="00FB577E">
              <w:t>cysS</w:t>
            </w:r>
            <w:proofErr w:type="spellEnd"/>
            <w:r w:rsidRPr="00FB577E">
              <w:t xml:space="preserve">, </w:t>
            </w:r>
            <w:proofErr w:type="spellStart"/>
            <w:r w:rsidRPr="00FB577E">
              <w:t>cysP</w:t>
            </w:r>
            <w:proofErr w:type="spellEnd"/>
          </w:p>
        </w:tc>
      </w:tr>
      <w:tr w:rsidR="00FB577E" w:rsidRPr="00FB577E" w14:paraId="66D0F5A0" w14:textId="77777777" w:rsidTr="00FB577E">
        <w:trPr>
          <w:trHeight w:val="300"/>
        </w:trPr>
        <w:tc>
          <w:tcPr>
            <w:tcW w:w="1664" w:type="pct"/>
            <w:tcBorders>
              <w:top w:val="nil"/>
              <w:left w:val="single" w:sz="4" w:space="0" w:color="auto"/>
              <w:bottom w:val="single" w:sz="4" w:space="0" w:color="auto"/>
              <w:right w:val="single" w:sz="4" w:space="0" w:color="auto"/>
            </w:tcBorders>
            <w:shd w:val="clear" w:color="auto" w:fill="auto"/>
            <w:vAlign w:val="center"/>
            <w:hideMark/>
          </w:tcPr>
          <w:p w14:paraId="0A9E9065" w14:textId="77777777" w:rsidR="00FB577E" w:rsidRPr="00FB577E" w:rsidRDefault="00FB577E" w:rsidP="00FB577E">
            <w:pPr>
              <w:pStyle w:val="NoSpacing"/>
            </w:pPr>
            <w:r w:rsidRPr="00FB577E">
              <w:t>Dissimilatory sulphate reduction</w:t>
            </w:r>
          </w:p>
        </w:tc>
        <w:tc>
          <w:tcPr>
            <w:tcW w:w="1664" w:type="pct"/>
            <w:tcBorders>
              <w:top w:val="nil"/>
              <w:left w:val="nil"/>
              <w:bottom w:val="single" w:sz="4" w:space="0" w:color="auto"/>
              <w:right w:val="single" w:sz="4" w:space="0" w:color="auto"/>
            </w:tcBorders>
            <w:shd w:val="clear" w:color="auto" w:fill="auto"/>
            <w:vAlign w:val="center"/>
            <w:hideMark/>
          </w:tcPr>
          <w:p w14:paraId="001633E2" w14:textId="77777777" w:rsidR="00FB577E" w:rsidRPr="00FB577E" w:rsidRDefault="00FB577E" w:rsidP="00FB577E">
            <w:pPr>
              <w:pStyle w:val="NoSpacing"/>
            </w:pPr>
            <w:proofErr w:type="spellStart"/>
            <w:r w:rsidRPr="00FB577E">
              <w:t>dsrE</w:t>
            </w:r>
            <w:proofErr w:type="spellEnd"/>
            <w:r w:rsidRPr="00FB577E">
              <w:t>, sat</w:t>
            </w:r>
          </w:p>
        </w:tc>
        <w:tc>
          <w:tcPr>
            <w:tcW w:w="1671" w:type="pct"/>
            <w:tcBorders>
              <w:top w:val="nil"/>
              <w:left w:val="nil"/>
              <w:bottom w:val="single" w:sz="4" w:space="0" w:color="auto"/>
              <w:right w:val="single" w:sz="4" w:space="0" w:color="auto"/>
            </w:tcBorders>
            <w:shd w:val="clear" w:color="auto" w:fill="auto"/>
            <w:vAlign w:val="center"/>
            <w:hideMark/>
          </w:tcPr>
          <w:p w14:paraId="6ED119A0" w14:textId="77777777" w:rsidR="00FB577E" w:rsidRPr="00FB577E" w:rsidRDefault="00FB577E" w:rsidP="00FB577E">
            <w:pPr>
              <w:pStyle w:val="NoSpacing"/>
            </w:pPr>
            <w:proofErr w:type="spellStart"/>
            <w:r w:rsidRPr="00FB577E">
              <w:t>dsrE</w:t>
            </w:r>
            <w:proofErr w:type="spellEnd"/>
            <w:r w:rsidRPr="00FB577E">
              <w:t>, sat</w:t>
            </w:r>
          </w:p>
        </w:tc>
      </w:tr>
      <w:tr w:rsidR="00FB577E" w:rsidRPr="00FB577E" w14:paraId="200B73C3" w14:textId="77777777" w:rsidTr="00FB577E">
        <w:trPr>
          <w:trHeight w:val="1245"/>
        </w:trPr>
        <w:tc>
          <w:tcPr>
            <w:tcW w:w="1664" w:type="pct"/>
            <w:tcBorders>
              <w:top w:val="nil"/>
              <w:left w:val="single" w:sz="4" w:space="0" w:color="auto"/>
              <w:bottom w:val="single" w:sz="4" w:space="0" w:color="auto"/>
              <w:right w:val="single" w:sz="4" w:space="0" w:color="auto"/>
            </w:tcBorders>
            <w:shd w:val="clear" w:color="auto" w:fill="auto"/>
            <w:hideMark/>
          </w:tcPr>
          <w:p w14:paraId="796BF554" w14:textId="77777777" w:rsidR="00FB577E" w:rsidRPr="00FB577E" w:rsidRDefault="00FB577E" w:rsidP="00FB577E">
            <w:pPr>
              <w:pStyle w:val="NoSpacing"/>
            </w:pPr>
            <w:r w:rsidRPr="00FB577E">
              <w:t>Chemotaxis</w:t>
            </w:r>
          </w:p>
        </w:tc>
        <w:tc>
          <w:tcPr>
            <w:tcW w:w="1664" w:type="pct"/>
            <w:tcBorders>
              <w:top w:val="nil"/>
              <w:left w:val="nil"/>
              <w:bottom w:val="single" w:sz="4" w:space="0" w:color="auto"/>
              <w:right w:val="single" w:sz="4" w:space="0" w:color="auto"/>
            </w:tcBorders>
            <w:shd w:val="clear" w:color="auto" w:fill="auto"/>
            <w:vAlign w:val="center"/>
            <w:hideMark/>
          </w:tcPr>
          <w:p w14:paraId="3DAFA189" w14:textId="77777777" w:rsidR="00FB577E" w:rsidRPr="00FB577E" w:rsidRDefault="00FB577E" w:rsidP="00FB577E">
            <w:pPr>
              <w:pStyle w:val="NoSpacing"/>
            </w:pPr>
            <w:proofErr w:type="spellStart"/>
            <w:r w:rsidRPr="00FB577E">
              <w:t>cheA</w:t>
            </w:r>
            <w:proofErr w:type="spellEnd"/>
            <w:r w:rsidRPr="00FB577E">
              <w:t xml:space="preserve">, </w:t>
            </w:r>
            <w:proofErr w:type="spellStart"/>
            <w:r w:rsidRPr="00FB577E">
              <w:t>cheB</w:t>
            </w:r>
            <w:proofErr w:type="spellEnd"/>
            <w:r w:rsidRPr="00FB577E">
              <w:t xml:space="preserve">, </w:t>
            </w:r>
            <w:proofErr w:type="spellStart"/>
            <w:r w:rsidRPr="00FB577E">
              <w:t>cheC</w:t>
            </w:r>
            <w:proofErr w:type="spellEnd"/>
            <w:r w:rsidRPr="00FB577E">
              <w:t xml:space="preserve">, </w:t>
            </w:r>
            <w:proofErr w:type="spellStart"/>
            <w:r w:rsidRPr="00FB577E">
              <w:t>cheD</w:t>
            </w:r>
            <w:proofErr w:type="spellEnd"/>
            <w:r w:rsidRPr="00FB577E">
              <w:t xml:space="preserve">, </w:t>
            </w:r>
            <w:proofErr w:type="spellStart"/>
            <w:r w:rsidRPr="00FB577E">
              <w:t>cheR</w:t>
            </w:r>
            <w:proofErr w:type="spellEnd"/>
            <w:r w:rsidRPr="00FB577E">
              <w:t xml:space="preserve">, </w:t>
            </w:r>
            <w:proofErr w:type="spellStart"/>
            <w:r w:rsidRPr="00FB577E">
              <w:t>cheV</w:t>
            </w:r>
            <w:proofErr w:type="spellEnd"/>
            <w:r w:rsidRPr="00FB577E">
              <w:t xml:space="preserve">, </w:t>
            </w:r>
            <w:proofErr w:type="spellStart"/>
            <w:r w:rsidRPr="00FB577E">
              <w:t>cheW</w:t>
            </w:r>
            <w:proofErr w:type="spellEnd"/>
            <w:r w:rsidRPr="00FB577E">
              <w:t xml:space="preserve">, </w:t>
            </w:r>
            <w:proofErr w:type="spellStart"/>
            <w:r w:rsidRPr="00FB577E">
              <w:t>cheY</w:t>
            </w:r>
            <w:proofErr w:type="spellEnd"/>
            <w:r w:rsidRPr="00FB577E">
              <w:t xml:space="preserve">, </w:t>
            </w:r>
            <w:proofErr w:type="spellStart"/>
            <w:r w:rsidRPr="00FB577E">
              <w:t>dppA</w:t>
            </w:r>
            <w:proofErr w:type="spellEnd"/>
            <w:r w:rsidRPr="00FB577E">
              <w:t xml:space="preserve">, </w:t>
            </w:r>
            <w:proofErr w:type="spellStart"/>
            <w:r w:rsidRPr="00FB577E">
              <w:t>fliD</w:t>
            </w:r>
            <w:proofErr w:type="spellEnd"/>
            <w:r w:rsidRPr="00FB577E">
              <w:t xml:space="preserve">, </w:t>
            </w:r>
            <w:proofErr w:type="spellStart"/>
            <w:r w:rsidRPr="00FB577E">
              <w:t>fliE</w:t>
            </w:r>
            <w:proofErr w:type="spellEnd"/>
            <w:r w:rsidRPr="00FB577E">
              <w:t xml:space="preserve">, </w:t>
            </w:r>
            <w:proofErr w:type="spellStart"/>
            <w:r w:rsidRPr="00FB577E">
              <w:t>fliF</w:t>
            </w:r>
            <w:proofErr w:type="spellEnd"/>
            <w:r w:rsidRPr="00FB577E">
              <w:t xml:space="preserve">, </w:t>
            </w:r>
            <w:proofErr w:type="spellStart"/>
            <w:r w:rsidRPr="00FB577E">
              <w:t>fliG</w:t>
            </w:r>
            <w:proofErr w:type="spellEnd"/>
            <w:r w:rsidRPr="00FB577E">
              <w:t xml:space="preserve">, </w:t>
            </w:r>
            <w:proofErr w:type="spellStart"/>
            <w:r w:rsidRPr="00FB577E">
              <w:t>fliJ</w:t>
            </w:r>
            <w:proofErr w:type="spellEnd"/>
            <w:r w:rsidRPr="00FB577E">
              <w:t xml:space="preserve">, </w:t>
            </w:r>
            <w:proofErr w:type="spellStart"/>
            <w:r w:rsidRPr="00FB577E">
              <w:t>fliM</w:t>
            </w:r>
            <w:proofErr w:type="spellEnd"/>
            <w:r w:rsidRPr="00FB577E">
              <w:t xml:space="preserve">, </w:t>
            </w:r>
            <w:proofErr w:type="spellStart"/>
            <w:r w:rsidRPr="00FB577E">
              <w:t>fliP</w:t>
            </w:r>
            <w:proofErr w:type="spellEnd"/>
            <w:r w:rsidRPr="00FB577E">
              <w:t xml:space="preserve">, </w:t>
            </w:r>
            <w:proofErr w:type="spellStart"/>
            <w:r w:rsidRPr="00FB577E">
              <w:t>fliQ</w:t>
            </w:r>
            <w:proofErr w:type="spellEnd"/>
            <w:r w:rsidRPr="00FB577E">
              <w:t xml:space="preserve">, </w:t>
            </w:r>
            <w:proofErr w:type="spellStart"/>
            <w:r w:rsidRPr="00FB577E">
              <w:t>fliR</w:t>
            </w:r>
            <w:proofErr w:type="spellEnd"/>
            <w:r w:rsidRPr="00FB577E">
              <w:t xml:space="preserve">, </w:t>
            </w:r>
            <w:proofErr w:type="spellStart"/>
            <w:r w:rsidRPr="00FB577E">
              <w:t>fliS</w:t>
            </w:r>
            <w:proofErr w:type="spellEnd"/>
            <w:r w:rsidRPr="00FB577E">
              <w:t xml:space="preserve">, </w:t>
            </w:r>
            <w:proofErr w:type="spellStart"/>
            <w:r w:rsidRPr="00FB577E">
              <w:t>fliT</w:t>
            </w:r>
            <w:proofErr w:type="spellEnd"/>
            <w:r w:rsidRPr="00FB577E">
              <w:t xml:space="preserve">, </w:t>
            </w:r>
            <w:proofErr w:type="spellStart"/>
            <w:r w:rsidRPr="00FB577E">
              <w:t>fliW</w:t>
            </w:r>
            <w:proofErr w:type="spellEnd"/>
            <w:r w:rsidRPr="00FB577E">
              <w:t xml:space="preserve">, </w:t>
            </w:r>
            <w:proofErr w:type="spellStart"/>
            <w:r w:rsidRPr="00FB577E">
              <w:t>malG</w:t>
            </w:r>
            <w:proofErr w:type="spellEnd"/>
            <w:r w:rsidRPr="00FB577E">
              <w:t xml:space="preserve">, </w:t>
            </w:r>
            <w:proofErr w:type="spellStart"/>
            <w:r w:rsidRPr="00FB577E">
              <w:t>mcpA</w:t>
            </w:r>
            <w:proofErr w:type="spellEnd"/>
            <w:r w:rsidRPr="00FB577E">
              <w:t xml:space="preserve">, </w:t>
            </w:r>
            <w:proofErr w:type="spellStart"/>
            <w:r w:rsidRPr="00FB577E">
              <w:t>mcpB</w:t>
            </w:r>
            <w:proofErr w:type="spellEnd"/>
            <w:r w:rsidRPr="00FB577E">
              <w:t xml:space="preserve">, </w:t>
            </w:r>
            <w:proofErr w:type="spellStart"/>
            <w:r w:rsidRPr="00FB577E">
              <w:t>mcpC</w:t>
            </w:r>
            <w:proofErr w:type="spellEnd"/>
            <w:r w:rsidRPr="00FB577E">
              <w:t xml:space="preserve">, </w:t>
            </w:r>
            <w:proofErr w:type="spellStart"/>
            <w:r w:rsidRPr="00FB577E">
              <w:t>mglA</w:t>
            </w:r>
            <w:proofErr w:type="spellEnd"/>
            <w:r w:rsidRPr="00FB577E">
              <w:t xml:space="preserve">, </w:t>
            </w:r>
            <w:proofErr w:type="spellStart"/>
            <w:r w:rsidRPr="00FB577E">
              <w:t>motB</w:t>
            </w:r>
            <w:proofErr w:type="spellEnd"/>
            <w:r w:rsidRPr="00FB577E">
              <w:t xml:space="preserve">, </w:t>
            </w:r>
            <w:proofErr w:type="spellStart"/>
            <w:r w:rsidRPr="00FB577E">
              <w:t>rbsA</w:t>
            </w:r>
            <w:proofErr w:type="spellEnd"/>
            <w:r w:rsidRPr="00FB577E">
              <w:t xml:space="preserve">, </w:t>
            </w:r>
            <w:proofErr w:type="spellStart"/>
            <w:r w:rsidRPr="00FB577E">
              <w:t>rbsB</w:t>
            </w:r>
            <w:proofErr w:type="spellEnd"/>
            <w:r w:rsidRPr="00FB577E">
              <w:t xml:space="preserve">, </w:t>
            </w:r>
            <w:proofErr w:type="spellStart"/>
            <w:r w:rsidRPr="00FB577E">
              <w:t>rbsC</w:t>
            </w:r>
            <w:proofErr w:type="spellEnd"/>
            <w:r w:rsidRPr="00FB577E">
              <w:t xml:space="preserve">, </w:t>
            </w:r>
            <w:proofErr w:type="spellStart"/>
            <w:r w:rsidRPr="00FB577E">
              <w:t>rbsD</w:t>
            </w:r>
            <w:proofErr w:type="spellEnd"/>
            <w:r w:rsidRPr="00FB577E">
              <w:t xml:space="preserve">, </w:t>
            </w:r>
            <w:proofErr w:type="spellStart"/>
            <w:r w:rsidRPr="00FB577E">
              <w:t>rbsK</w:t>
            </w:r>
            <w:proofErr w:type="spellEnd"/>
          </w:p>
        </w:tc>
        <w:tc>
          <w:tcPr>
            <w:tcW w:w="1671" w:type="pct"/>
            <w:tcBorders>
              <w:top w:val="nil"/>
              <w:left w:val="nil"/>
              <w:bottom w:val="single" w:sz="4" w:space="0" w:color="auto"/>
              <w:right w:val="single" w:sz="4" w:space="0" w:color="auto"/>
            </w:tcBorders>
            <w:shd w:val="clear" w:color="auto" w:fill="auto"/>
            <w:vAlign w:val="center"/>
            <w:hideMark/>
          </w:tcPr>
          <w:p w14:paraId="15D4CEBA" w14:textId="77777777" w:rsidR="00FB577E" w:rsidRPr="00FB577E" w:rsidRDefault="00FB577E" w:rsidP="00FB577E">
            <w:pPr>
              <w:pStyle w:val="NoSpacing"/>
            </w:pPr>
            <w:proofErr w:type="spellStart"/>
            <w:r w:rsidRPr="00FB577E">
              <w:t>cheA</w:t>
            </w:r>
            <w:proofErr w:type="spellEnd"/>
            <w:r w:rsidRPr="00FB577E">
              <w:t xml:space="preserve">, </w:t>
            </w:r>
            <w:proofErr w:type="spellStart"/>
            <w:r w:rsidRPr="00FB577E">
              <w:t>cheB</w:t>
            </w:r>
            <w:proofErr w:type="spellEnd"/>
            <w:r w:rsidRPr="00FB577E">
              <w:t xml:space="preserve">, </w:t>
            </w:r>
            <w:proofErr w:type="spellStart"/>
            <w:r w:rsidRPr="00FB577E">
              <w:t>cheC</w:t>
            </w:r>
            <w:proofErr w:type="spellEnd"/>
            <w:r w:rsidRPr="00FB577E">
              <w:t xml:space="preserve">, </w:t>
            </w:r>
            <w:proofErr w:type="spellStart"/>
            <w:r w:rsidRPr="00FB577E">
              <w:t>cheD</w:t>
            </w:r>
            <w:proofErr w:type="spellEnd"/>
            <w:r w:rsidRPr="00FB577E">
              <w:t xml:space="preserve">, </w:t>
            </w:r>
            <w:proofErr w:type="spellStart"/>
            <w:r w:rsidRPr="00FB577E">
              <w:t>cheR</w:t>
            </w:r>
            <w:proofErr w:type="spellEnd"/>
            <w:r w:rsidRPr="00FB577E">
              <w:t xml:space="preserve">, </w:t>
            </w:r>
            <w:proofErr w:type="spellStart"/>
            <w:r w:rsidRPr="00FB577E">
              <w:t>cheV</w:t>
            </w:r>
            <w:proofErr w:type="spellEnd"/>
            <w:r w:rsidRPr="00FB577E">
              <w:t xml:space="preserve">, </w:t>
            </w:r>
            <w:proofErr w:type="spellStart"/>
            <w:r w:rsidRPr="00FB577E">
              <w:t>cheW</w:t>
            </w:r>
            <w:proofErr w:type="spellEnd"/>
            <w:r w:rsidRPr="00FB577E">
              <w:t xml:space="preserve">, </w:t>
            </w:r>
            <w:proofErr w:type="spellStart"/>
            <w:r w:rsidRPr="00FB577E">
              <w:t>cheY</w:t>
            </w:r>
            <w:proofErr w:type="spellEnd"/>
            <w:r w:rsidRPr="00FB577E">
              <w:t xml:space="preserve">, </w:t>
            </w:r>
            <w:proofErr w:type="spellStart"/>
            <w:r w:rsidRPr="00FB577E">
              <w:t>dppA</w:t>
            </w:r>
            <w:proofErr w:type="spellEnd"/>
            <w:r w:rsidRPr="00FB577E">
              <w:t xml:space="preserve">, </w:t>
            </w:r>
            <w:proofErr w:type="spellStart"/>
            <w:r w:rsidRPr="00FB577E">
              <w:t>dppB</w:t>
            </w:r>
            <w:proofErr w:type="spellEnd"/>
            <w:r w:rsidRPr="00FB577E">
              <w:t xml:space="preserve">, </w:t>
            </w:r>
            <w:proofErr w:type="spellStart"/>
            <w:r w:rsidRPr="00FB577E">
              <w:t>dppC</w:t>
            </w:r>
            <w:proofErr w:type="spellEnd"/>
            <w:r w:rsidRPr="00FB577E">
              <w:t xml:space="preserve">, </w:t>
            </w:r>
            <w:proofErr w:type="spellStart"/>
            <w:r w:rsidRPr="00FB577E">
              <w:t>fliD</w:t>
            </w:r>
            <w:proofErr w:type="spellEnd"/>
            <w:r w:rsidRPr="00FB577E">
              <w:t xml:space="preserve">, </w:t>
            </w:r>
            <w:proofErr w:type="spellStart"/>
            <w:r w:rsidRPr="00FB577E">
              <w:t>fliE</w:t>
            </w:r>
            <w:proofErr w:type="spellEnd"/>
            <w:r w:rsidRPr="00FB577E">
              <w:t xml:space="preserve">, </w:t>
            </w:r>
            <w:proofErr w:type="spellStart"/>
            <w:r w:rsidRPr="00FB577E">
              <w:t>fliF</w:t>
            </w:r>
            <w:proofErr w:type="spellEnd"/>
            <w:r w:rsidRPr="00FB577E">
              <w:t xml:space="preserve">, </w:t>
            </w:r>
            <w:proofErr w:type="spellStart"/>
            <w:r w:rsidRPr="00FB577E">
              <w:t>fliG</w:t>
            </w:r>
            <w:proofErr w:type="spellEnd"/>
            <w:r w:rsidRPr="00FB577E">
              <w:t xml:space="preserve">, </w:t>
            </w:r>
            <w:proofErr w:type="spellStart"/>
            <w:r w:rsidRPr="00FB577E">
              <w:t>fliJ</w:t>
            </w:r>
            <w:proofErr w:type="spellEnd"/>
            <w:r w:rsidRPr="00FB577E">
              <w:t xml:space="preserve">, </w:t>
            </w:r>
            <w:proofErr w:type="spellStart"/>
            <w:r w:rsidRPr="00FB577E">
              <w:t>fliM</w:t>
            </w:r>
            <w:proofErr w:type="spellEnd"/>
            <w:r w:rsidRPr="00FB577E">
              <w:t xml:space="preserve">, </w:t>
            </w:r>
            <w:proofErr w:type="spellStart"/>
            <w:r w:rsidRPr="00FB577E">
              <w:t>fliP</w:t>
            </w:r>
            <w:proofErr w:type="spellEnd"/>
            <w:r w:rsidRPr="00FB577E">
              <w:t xml:space="preserve">, </w:t>
            </w:r>
            <w:proofErr w:type="spellStart"/>
            <w:r w:rsidRPr="00FB577E">
              <w:t>fliQ</w:t>
            </w:r>
            <w:proofErr w:type="spellEnd"/>
            <w:r w:rsidRPr="00FB577E">
              <w:t xml:space="preserve">, </w:t>
            </w:r>
            <w:proofErr w:type="spellStart"/>
            <w:r w:rsidRPr="00FB577E">
              <w:t>fliR</w:t>
            </w:r>
            <w:proofErr w:type="spellEnd"/>
            <w:r w:rsidRPr="00FB577E">
              <w:t xml:space="preserve">, </w:t>
            </w:r>
            <w:proofErr w:type="spellStart"/>
            <w:r w:rsidRPr="00FB577E">
              <w:t>fliS</w:t>
            </w:r>
            <w:proofErr w:type="spellEnd"/>
            <w:r w:rsidRPr="00FB577E">
              <w:t xml:space="preserve">, </w:t>
            </w:r>
            <w:proofErr w:type="spellStart"/>
            <w:r w:rsidRPr="00FB577E">
              <w:t>fliT</w:t>
            </w:r>
            <w:proofErr w:type="spellEnd"/>
            <w:r w:rsidRPr="00FB577E">
              <w:t xml:space="preserve">, </w:t>
            </w:r>
            <w:proofErr w:type="spellStart"/>
            <w:r w:rsidRPr="00FB577E">
              <w:t>fliW</w:t>
            </w:r>
            <w:proofErr w:type="spellEnd"/>
            <w:r w:rsidRPr="00FB577E">
              <w:t xml:space="preserve">, </w:t>
            </w:r>
            <w:proofErr w:type="spellStart"/>
            <w:r w:rsidRPr="00FB577E">
              <w:t>malG</w:t>
            </w:r>
            <w:proofErr w:type="spellEnd"/>
            <w:r w:rsidRPr="00FB577E">
              <w:t xml:space="preserve">, </w:t>
            </w:r>
            <w:proofErr w:type="spellStart"/>
            <w:r w:rsidRPr="00FB577E">
              <w:t>mcpA</w:t>
            </w:r>
            <w:proofErr w:type="spellEnd"/>
            <w:r w:rsidRPr="00FB577E">
              <w:t xml:space="preserve">, </w:t>
            </w:r>
            <w:proofErr w:type="spellStart"/>
            <w:r w:rsidRPr="00FB577E">
              <w:t>mcpB</w:t>
            </w:r>
            <w:proofErr w:type="spellEnd"/>
            <w:r w:rsidRPr="00FB577E">
              <w:t xml:space="preserve">, </w:t>
            </w:r>
            <w:proofErr w:type="spellStart"/>
            <w:r w:rsidRPr="00FB577E">
              <w:t>mcpC</w:t>
            </w:r>
            <w:proofErr w:type="spellEnd"/>
            <w:r w:rsidRPr="00FB577E">
              <w:t xml:space="preserve">, </w:t>
            </w:r>
            <w:proofErr w:type="spellStart"/>
            <w:r w:rsidRPr="00FB577E">
              <w:t>mglA</w:t>
            </w:r>
            <w:proofErr w:type="spellEnd"/>
            <w:r w:rsidRPr="00FB577E">
              <w:t xml:space="preserve">, </w:t>
            </w:r>
            <w:proofErr w:type="spellStart"/>
            <w:r w:rsidRPr="00FB577E">
              <w:t>motB</w:t>
            </w:r>
            <w:proofErr w:type="spellEnd"/>
            <w:r w:rsidRPr="00FB577E">
              <w:t xml:space="preserve">, </w:t>
            </w:r>
            <w:proofErr w:type="spellStart"/>
            <w:r w:rsidRPr="00FB577E">
              <w:t>rbsA</w:t>
            </w:r>
            <w:proofErr w:type="spellEnd"/>
            <w:r w:rsidRPr="00FB577E">
              <w:t xml:space="preserve">, </w:t>
            </w:r>
            <w:proofErr w:type="spellStart"/>
            <w:r w:rsidRPr="00FB577E">
              <w:t>rbsB</w:t>
            </w:r>
            <w:proofErr w:type="spellEnd"/>
            <w:r w:rsidRPr="00FB577E">
              <w:t xml:space="preserve">, </w:t>
            </w:r>
            <w:proofErr w:type="spellStart"/>
            <w:r w:rsidRPr="00FB577E">
              <w:t>rbsC</w:t>
            </w:r>
            <w:proofErr w:type="spellEnd"/>
            <w:r w:rsidRPr="00FB577E">
              <w:t xml:space="preserve">, </w:t>
            </w:r>
            <w:proofErr w:type="spellStart"/>
            <w:r w:rsidRPr="00FB577E">
              <w:t>rbsD</w:t>
            </w:r>
            <w:proofErr w:type="spellEnd"/>
            <w:r w:rsidRPr="00FB577E">
              <w:t xml:space="preserve">, </w:t>
            </w:r>
            <w:proofErr w:type="spellStart"/>
            <w:r w:rsidRPr="00FB577E">
              <w:t>rbsK</w:t>
            </w:r>
            <w:proofErr w:type="spellEnd"/>
          </w:p>
        </w:tc>
      </w:tr>
      <w:tr w:rsidR="00FB577E" w:rsidRPr="00FB577E" w14:paraId="5C413342" w14:textId="77777777" w:rsidTr="00FB577E">
        <w:trPr>
          <w:trHeight w:val="300"/>
        </w:trPr>
        <w:tc>
          <w:tcPr>
            <w:tcW w:w="1664" w:type="pct"/>
            <w:tcBorders>
              <w:top w:val="nil"/>
              <w:left w:val="single" w:sz="4" w:space="0" w:color="auto"/>
              <w:bottom w:val="single" w:sz="4" w:space="0" w:color="auto"/>
              <w:right w:val="single" w:sz="4" w:space="0" w:color="auto"/>
            </w:tcBorders>
            <w:shd w:val="clear" w:color="auto" w:fill="auto"/>
            <w:vAlign w:val="center"/>
            <w:hideMark/>
          </w:tcPr>
          <w:p w14:paraId="7264D089" w14:textId="77777777" w:rsidR="00FB577E" w:rsidRPr="00FB577E" w:rsidRDefault="00FB577E" w:rsidP="00FB577E">
            <w:pPr>
              <w:pStyle w:val="NoSpacing"/>
            </w:pPr>
            <w:r w:rsidRPr="00FB577E">
              <w:t xml:space="preserve">Nitrification </w:t>
            </w:r>
          </w:p>
        </w:tc>
        <w:tc>
          <w:tcPr>
            <w:tcW w:w="1664" w:type="pct"/>
            <w:tcBorders>
              <w:top w:val="nil"/>
              <w:left w:val="nil"/>
              <w:bottom w:val="single" w:sz="4" w:space="0" w:color="auto"/>
              <w:right w:val="single" w:sz="4" w:space="0" w:color="auto"/>
            </w:tcBorders>
            <w:shd w:val="clear" w:color="auto" w:fill="auto"/>
            <w:vAlign w:val="center"/>
            <w:hideMark/>
          </w:tcPr>
          <w:p w14:paraId="20A109AA" w14:textId="77777777" w:rsidR="00FB577E" w:rsidRPr="00FB577E" w:rsidRDefault="00FB577E" w:rsidP="00FB577E">
            <w:pPr>
              <w:pStyle w:val="NoSpacing"/>
            </w:pPr>
            <w:r w:rsidRPr="00FB577E">
              <w:t>--</w:t>
            </w:r>
          </w:p>
        </w:tc>
        <w:tc>
          <w:tcPr>
            <w:tcW w:w="1671" w:type="pct"/>
            <w:tcBorders>
              <w:top w:val="nil"/>
              <w:left w:val="nil"/>
              <w:bottom w:val="single" w:sz="4" w:space="0" w:color="auto"/>
              <w:right w:val="single" w:sz="4" w:space="0" w:color="auto"/>
            </w:tcBorders>
            <w:shd w:val="clear" w:color="auto" w:fill="auto"/>
            <w:vAlign w:val="center"/>
            <w:hideMark/>
          </w:tcPr>
          <w:p w14:paraId="5CFC75D4" w14:textId="77777777" w:rsidR="00FB577E" w:rsidRPr="00FB577E" w:rsidRDefault="00FB577E" w:rsidP="00FB577E">
            <w:pPr>
              <w:pStyle w:val="NoSpacing"/>
            </w:pPr>
            <w:proofErr w:type="spellStart"/>
            <w:r w:rsidRPr="00FB577E">
              <w:t>narT</w:t>
            </w:r>
            <w:proofErr w:type="spellEnd"/>
            <w:r w:rsidRPr="00FB577E">
              <w:t xml:space="preserve">, </w:t>
            </w:r>
            <w:proofErr w:type="spellStart"/>
            <w:r w:rsidRPr="00FB577E">
              <w:t>narX</w:t>
            </w:r>
            <w:proofErr w:type="spellEnd"/>
          </w:p>
        </w:tc>
      </w:tr>
      <w:tr w:rsidR="00FB577E" w:rsidRPr="00FB577E" w14:paraId="4AEA5223" w14:textId="77777777" w:rsidTr="00FB577E">
        <w:trPr>
          <w:trHeight w:val="300"/>
        </w:trPr>
        <w:tc>
          <w:tcPr>
            <w:tcW w:w="1664" w:type="pct"/>
            <w:tcBorders>
              <w:top w:val="nil"/>
              <w:left w:val="single" w:sz="4" w:space="0" w:color="auto"/>
              <w:bottom w:val="single" w:sz="4" w:space="0" w:color="auto"/>
              <w:right w:val="single" w:sz="4" w:space="0" w:color="auto"/>
            </w:tcBorders>
            <w:shd w:val="clear" w:color="auto" w:fill="auto"/>
            <w:vAlign w:val="center"/>
            <w:hideMark/>
          </w:tcPr>
          <w:p w14:paraId="4C5864BC" w14:textId="77777777" w:rsidR="00FB577E" w:rsidRPr="00FB577E" w:rsidRDefault="00FB577E" w:rsidP="00FB577E">
            <w:pPr>
              <w:pStyle w:val="NoSpacing"/>
            </w:pPr>
            <w:r w:rsidRPr="00FB577E">
              <w:t>Auxin production</w:t>
            </w:r>
          </w:p>
        </w:tc>
        <w:tc>
          <w:tcPr>
            <w:tcW w:w="1664" w:type="pct"/>
            <w:tcBorders>
              <w:top w:val="nil"/>
              <w:left w:val="nil"/>
              <w:bottom w:val="single" w:sz="4" w:space="0" w:color="auto"/>
              <w:right w:val="single" w:sz="4" w:space="0" w:color="auto"/>
            </w:tcBorders>
            <w:shd w:val="clear" w:color="auto" w:fill="auto"/>
            <w:vAlign w:val="center"/>
            <w:hideMark/>
          </w:tcPr>
          <w:p w14:paraId="761D6080" w14:textId="77777777" w:rsidR="00FB577E" w:rsidRPr="00FB577E" w:rsidRDefault="00FB577E" w:rsidP="00FB577E">
            <w:pPr>
              <w:pStyle w:val="NoSpacing"/>
            </w:pPr>
            <w:proofErr w:type="spellStart"/>
            <w:r w:rsidRPr="00FB577E">
              <w:t>padC</w:t>
            </w:r>
            <w:proofErr w:type="spellEnd"/>
            <w:r w:rsidRPr="00FB577E">
              <w:t xml:space="preserve">, </w:t>
            </w:r>
            <w:proofErr w:type="spellStart"/>
            <w:r w:rsidRPr="00FB577E">
              <w:t>patB</w:t>
            </w:r>
            <w:proofErr w:type="spellEnd"/>
          </w:p>
        </w:tc>
        <w:tc>
          <w:tcPr>
            <w:tcW w:w="1671" w:type="pct"/>
            <w:tcBorders>
              <w:top w:val="nil"/>
              <w:left w:val="nil"/>
              <w:bottom w:val="single" w:sz="4" w:space="0" w:color="auto"/>
              <w:right w:val="single" w:sz="4" w:space="0" w:color="auto"/>
            </w:tcBorders>
            <w:shd w:val="clear" w:color="auto" w:fill="auto"/>
            <w:vAlign w:val="center"/>
            <w:hideMark/>
          </w:tcPr>
          <w:p w14:paraId="600C1764" w14:textId="77777777" w:rsidR="00FB577E" w:rsidRPr="00FB577E" w:rsidRDefault="00FB577E" w:rsidP="00FB577E">
            <w:pPr>
              <w:pStyle w:val="NoSpacing"/>
            </w:pPr>
            <w:proofErr w:type="spellStart"/>
            <w:r w:rsidRPr="00FB577E">
              <w:t>PadC</w:t>
            </w:r>
            <w:proofErr w:type="spellEnd"/>
            <w:r w:rsidRPr="00FB577E">
              <w:t xml:space="preserve">, </w:t>
            </w:r>
            <w:proofErr w:type="spellStart"/>
            <w:r w:rsidRPr="00FB577E">
              <w:t>patB</w:t>
            </w:r>
            <w:proofErr w:type="spellEnd"/>
          </w:p>
        </w:tc>
      </w:tr>
      <w:tr w:rsidR="00FB577E" w:rsidRPr="00FB577E" w14:paraId="2AA0EA2A" w14:textId="77777777" w:rsidTr="00FB577E">
        <w:trPr>
          <w:trHeight w:val="300"/>
        </w:trPr>
        <w:tc>
          <w:tcPr>
            <w:tcW w:w="1664" w:type="pct"/>
            <w:tcBorders>
              <w:top w:val="nil"/>
              <w:left w:val="single" w:sz="4" w:space="0" w:color="auto"/>
              <w:bottom w:val="single" w:sz="4" w:space="0" w:color="auto"/>
              <w:right w:val="single" w:sz="4" w:space="0" w:color="auto"/>
            </w:tcBorders>
            <w:shd w:val="clear" w:color="auto" w:fill="auto"/>
            <w:vAlign w:val="center"/>
            <w:hideMark/>
          </w:tcPr>
          <w:p w14:paraId="1A5DD764" w14:textId="77777777" w:rsidR="00FB577E" w:rsidRPr="00FB577E" w:rsidRDefault="00FB577E" w:rsidP="00FB577E">
            <w:pPr>
              <w:pStyle w:val="NoSpacing"/>
            </w:pPr>
            <w:r w:rsidRPr="00FB577E">
              <w:t>Cytokinin production</w:t>
            </w:r>
          </w:p>
        </w:tc>
        <w:tc>
          <w:tcPr>
            <w:tcW w:w="1664" w:type="pct"/>
            <w:tcBorders>
              <w:top w:val="nil"/>
              <w:left w:val="nil"/>
              <w:bottom w:val="single" w:sz="4" w:space="0" w:color="auto"/>
              <w:right w:val="single" w:sz="4" w:space="0" w:color="auto"/>
            </w:tcBorders>
            <w:shd w:val="clear" w:color="auto" w:fill="auto"/>
            <w:vAlign w:val="center"/>
            <w:hideMark/>
          </w:tcPr>
          <w:p w14:paraId="1D1CE688" w14:textId="77777777" w:rsidR="00FB577E" w:rsidRPr="00FB577E" w:rsidRDefault="00FB577E" w:rsidP="00FB577E">
            <w:pPr>
              <w:pStyle w:val="NoSpacing"/>
            </w:pPr>
            <w:proofErr w:type="spellStart"/>
            <w:r w:rsidRPr="00FB577E">
              <w:t>miaB</w:t>
            </w:r>
            <w:proofErr w:type="spellEnd"/>
          </w:p>
        </w:tc>
        <w:tc>
          <w:tcPr>
            <w:tcW w:w="1671" w:type="pct"/>
            <w:tcBorders>
              <w:top w:val="nil"/>
              <w:left w:val="nil"/>
              <w:bottom w:val="single" w:sz="4" w:space="0" w:color="auto"/>
              <w:right w:val="single" w:sz="4" w:space="0" w:color="auto"/>
            </w:tcBorders>
            <w:shd w:val="clear" w:color="auto" w:fill="auto"/>
            <w:vAlign w:val="center"/>
            <w:hideMark/>
          </w:tcPr>
          <w:p w14:paraId="78C4A2A7" w14:textId="77777777" w:rsidR="00FB577E" w:rsidRPr="00FB577E" w:rsidRDefault="00FB577E" w:rsidP="00FB577E">
            <w:pPr>
              <w:pStyle w:val="NoSpacing"/>
            </w:pPr>
            <w:proofErr w:type="spellStart"/>
            <w:r w:rsidRPr="00FB577E">
              <w:t>miaB</w:t>
            </w:r>
            <w:proofErr w:type="spellEnd"/>
          </w:p>
        </w:tc>
      </w:tr>
      <w:tr w:rsidR="00FB577E" w:rsidRPr="00FB577E" w14:paraId="54BFFF74" w14:textId="77777777" w:rsidTr="00FB577E">
        <w:trPr>
          <w:trHeight w:val="300"/>
        </w:trPr>
        <w:tc>
          <w:tcPr>
            <w:tcW w:w="1664" w:type="pct"/>
            <w:tcBorders>
              <w:top w:val="nil"/>
              <w:left w:val="single" w:sz="4" w:space="0" w:color="auto"/>
              <w:bottom w:val="single" w:sz="4" w:space="0" w:color="auto"/>
              <w:right w:val="single" w:sz="4" w:space="0" w:color="auto"/>
            </w:tcBorders>
            <w:shd w:val="clear" w:color="auto" w:fill="auto"/>
            <w:vAlign w:val="center"/>
            <w:hideMark/>
          </w:tcPr>
          <w:p w14:paraId="7A440CB8" w14:textId="77777777" w:rsidR="00FB577E" w:rsidRPr="00FB577E" w:rsidRDefault="00FB577E" w:rsidP="00FB577E">
            <w:pPr>
              <w:pStyle w:val="NoSpacing"/>
            </w:pPr>
            <w:r w:rsidRPr="00FB577E">
              <w:t>Denitrification</w:t>
            </w:r>
          </w:p>
        </w:tc>
        <w:tc>
          <w:tcPr>
            <w:tcW w:w="1664" w:type="pct"/>
            <w:tcBorders>
              <w:top w:val="nil"/>
              <w:left w:val="nil"/>
              <w:bottom w:val="single" w:sz="4" w:space="0" w:color="auto"/>
              <w:right w:val="single" w:sz="4" w:space="0" w:color="auto"/>
            </w:tcBorders>
            <w:shd w:val="clear" w:color="auto" w:fill="auto"/>
            <w:vAlign w:val="center"/>
            <w:hideMark/>
          </w:tcPr>
          <w:p w14:paraId="1FA8E947" w14:textId="77777777" w:rsidR="00FB577E" w:rsidRPr="00FB577E" w:rsidRDefault="00FB577E" w:rsidP="00FB577E">
            <w:pPr>
              <w:pStyle w:val="NoSpacing"/>
            </w:pPr>
            <w:proofErr w:type="spellStart"/>
            <w:r w:rsidRPr="00FB577E">
              <w:t>narG</w:t>
            </w:r>
            <w:proofErr w:type="spellEnd"/>
            <w:r w:rsidRPr="00FB577E">
              <w:t xml:space="preserve">, </w:t>
            </w:r>
            <w:proofErr w:type="spellStart"/>
            <w:r w:rsidRPr="00FB577E">
              <w:t>narH</w:t>
            </w:r>
            <w:proofErr w:type="spellEnd"/>
            <w:r w:rsidRPr="00FB577E">
              <w:t xml:space="preserve">, </w:t>
            </w:r>
            <w:proofErr w:type="spellStart"/>
            <w:r w:rsidRPr="00FB577E">
              <w:t>norR</w:t>
            </w:r>
            <w:proofErr w:type="spellEnd"/>
          </w:p>
        </w:tc>
        <w:tc>
          <w:tcPr>
            <w:tcW w:w="1671" w:type="pct"/>
            <w:tcBorders>
              <w:top w:val="nil"/>
              <w:left w:val="nil"/>
              <w:bottom w:val="single" w:sz="4" w:space="0" w:color="auto"/>
              <w:right w:val="single" w:sz="4" w:space="0" w:color="auto"/>
            </w:tcBorders>
            <w:shd w:val="clear" w:color="auto" w:fill="auto"/>
            <w:vAlign w:val="center"/>
            <w:hideMark/>
          </w:tcPr>
          <w:p w14:paraId="2E0A1B24" w14:textId="77777777" w:rsidR="00FB577E" w:rsidRPr="00FB577E" w:rsidRDefault="00FB577E" w:rsidP="00FB577E">
            <w:pPr>
              <w:pStyle w:val="NoSpacing"/>
            </w:pPr>
            <w:proofErr w:type="spellStart"/>
            <w:r w:rsidRPr="00FB577E">
              <w:t>narG</w:t>
            </w:r>
            <w:proofErr w:type="spellEnd"/>
            <w:r w:rsidRPr="00FB577E">
              <w:t xml:space="preserve">, </w:t>
            </w:r>
            <w:proofErr w:type="spellStart"/>
            <w:r w:rsidRPr="00FB577E">
              <w:t>norR</w:t>
            </w:r>
            <w:proofErr w:type="spellEnd"/>
          </w:p>
        </w:tc>
      </w:tr>
      <w:tr w:rsidR="00FB577E" w:rsidRPr="00FB577E" w14:paraId="5256DA56" w14:textId="77777777" w:rsidTr="00FB577E">
        <w:trPr>
          <w:trHeight w:val="300"/>
        </w:trPr>
        <w:tc>
          <w:tcPr>
            <w:tcW w:w="1664" w:type="pct"/>
            <w:tcBorders>
              <w:top w:val="nil"/>
              <w:left w:val="single" w:sz="4" w:space="0" w:color="auto"/>
              <w:bottom w:val="single" w:sz="4" w:space="0" w:color="auto"/>
              <w:right w:val="single" w:sz="4" w:space="0" w:color="auto"/>
            </w:tcBorders>
            <w:shd w:val="clear" w:color="auto" w:fill="auto"/>
            <w:vAlign w:val="center"/>
            <w:hideMark/>
          </w:tcPr>
          <w:p w14:paraId="64B7FB00" w14:textId="77777777" w:rsidR="00FB577E" w:rsidRPr="00FB577E" w:rsidRDefault="00FB577E" w:rsidP="00FB577E">
            <w:pPr>
              <w:pStyle w:val="NoSpacing"/>
            </w:pPr>
            <w:r w:rsidRPr="00FB577E">
              <w:t>Assimilatory nitrate reduction</w:t>
            </w:r>
          </w:p>
        </w:tc>
        <w:tc>
          <w:tcPr>
            <w:tcW w:w="1664" w:type="pct"/>
            <w:tcBorders>
              <w:top w:val="nil"/>
              <w:left w:val="nil"/>
              <w:bottom w:val="single" w:sz="4" w:space="0" w:color="auto"/>
              <w:right w:val="single" w:sz="4" w:space="0" w:color="auto"/>
            </w:tcBorders>
            <w:shd w:val="clear" w:color="auto" w:fill="auto"/>
            <w:vAlign w:val="center"/>
            <w:hideMark/>
          </w:tcPr>
          <w:p w14:paraId="0125247E" w14:textId="77777777" w:rsidR="00FB577E" w:rsidRPr="00FB577E" w:rsidRDefault="00FB577E" w:rsidP="00FB577E">
            <w:pPr>
              <w:pStyle w:val="NoSpacing"/>
            </w:pPr>
            <w:proofErr w:type="spellStart"/>
            <w:r w:rsidRPr="00FB577E">
              <w:t>nasA</w:t>
            </w:r>
            <w:proofErr w:type="spellEnd"/>
            <w:r w:rsidRPr="00FB577E">
              <w:t xml:space="preserve">, </w:t>
            </w:r>
            <w:proofErr w:type="spellStart"/>
            <w:r w:rsidRPr="00FB577E">
              <w:t>nasB</w:t>
            </w:r>
            <w:proofErr w:type="spellEnd"/>
            <w:r w:rsidRPr="00FB577E">
              <w:t xml:space="preserve">, </w:t>
            </w:r>
            <w:proofErr w:type="spellStart"/>
            <w:r w:rsidRPr="00FB577E">
              <w:t>nasC</w:t>
            </w:r>
            <w:proofErr w:type="spellEnd"/>
            <w:r w:rsidRPr="00FB577E">
              <w:t xml:space="preserve">, </w:t>
            </w:r>
            <w:proofErr w:type="spellStart"/>
            <w:r w:rsidRPr="00FB577E">
              <w:t>nasD</w:t>
            </w:r>
            <w:proofErr w:type="spellEnd"/>
            <w:r w:rsidRPr="00FB577E">
              <w:t xml:space="preserve">, </w:t>
            </w:r>
            <w:proofErr w:type="spellStart"/>
            <w:r w:rsidRPr="00FB577E">
              <w:t>nasE</w:t>
            </w:r>
            <w:proofErr w:type="spellEnd"/>
            <w:r w:rsidRPr="00FB577E">
              <w:t xml:space="preserve">, </w:t>
            </w:r>
            <w:proofErr w:type="spellStart"/>
            <w:r w:rsidRPr="00FB577E">
              <w:t>nirC</w:t>
            </w:r>
            <w:proofErr w:type="spellEnd"/>
          </w:p>
        </w:tc>
        <w:tc>
          <w:tcPr>
            <w:tcW w:w="1671" w:type="pct"/>
            <w:tcBorders>
              <w:top w:val="nil"/>
              <w:left w:val="nil"/>
              <w:bottom w:val="single" w:sz="4" w:space="0" w:color="auto"/>
              <w:right w:val="single" w:sz="4" w:space="0" w:color="auto"/>
            </w:tcBorders>
            <w:shd w:val="clear" w:color="auto" w:fill="auto"/>
            <w:vAlign w:val="center"/>
            <w:hideMark/>
          </w:tcPr>
          <w:p w14:paraId="08F5A20F" w14:textId="77777777" w:rsidR="00FB577E" w:rsidRPr="00FB577E" w:rsidRDefault="00FB577E" w:rsidP="00FB577E">
            <w:pPr>
              <w:pStyle w:val="NoSpacing"/>
            </w:pPr>
            <w:proofErr w:type="spellStart"/>
            <w:r w:rsidRPr="00FB577E">
              <w:t>nasA</w:t>
            </w:r>
            <w:proofErr w:type="spellEnd"/>
            <w:r w:rsidRPr="00FB577E">
              <w:t xml:space="preserve">, </w:t>
            </w:r>
            <w:proofErr w:type="spellStart"/>
            <w:r w:rsidRPr="00FB577E">
              <w:t>nasB</w:t>
            </w:r>
            <w:proofErr w:type="spellEnd"/>
            <w:r w:rsidRPr="00FB577E">
              <w:t xml:space="preserve">, </w:t>
            </w:r>
            <w:proofErr w:type="spellStart"/>
            <w:r w:rsidRPr="00FB577E">
              <w:t>nasC</w:t>
            </w:r>
            <w:proofErr w:type="spellEnd"/>
            <w:r w:rsidRPr="00FB577E">
              <w:t xml:space="preserve">, </w:t>
            </w:r>
            <w:proofErr w:type="spellStart"/>
            <w:r w:rsidRPr="00FB577E">
              <w:t>nasD</w:t>
            </w:r>
            <w:proofErr w:type="spellEnd"/>
            <w:r w:rsidRPr="00FB577E">
              <w:t xml:space="preserve">, </w:t>
            </w:r>
            <w:proofErr w:type="spellStart"/>
            <w:r w:rsidRPr="00FB577E">
              <w:t>nasE</w:t>
            </w:r>
            <w:proofErr w:type="spellEnd"/>
            <w:r w:rsidRPr="00FB577E">
              <w:t xml:space="preserve">, </w:t>
            </w:r>
            <w:proofErr w:type="spellStart"/>
            <w:r w:rsidRPr="00FB577E">
              <w:t>nasF</w:t>
            </w:r>
            <w:proofErr w:type="spellEnd"/>
          </w:p>
        </w:tc>
      </w:tr>
      <w:tr w:rsidR="00FB577E" w:rsidRPr="00FB577E" w14:paraId="25A0DA4F" w14:textId="77777777" w:rsidTr="00FB577E">
        <w:trPr>
          <w:trHeight w:val="300"/>
        </w:trPr>
        <w:tc>
          <w:tcPr>
            <w:tcW w:w="1664" w:type="pct"/>
            <w:tcBorders>
              <w:top w:val="nil"/>
              <w:left w:val="single" w:sz="4" w:space="0" w:color="auto"/>
              <w:bottom w:val="single" w:sz="4" w:space="0" w:color="auto"/>
              <w:right w:val="single" w:sz="4" w:space="0" w:color="auto"/>
            </w:tcBorders>
            <w:shd w:val="clear" w:color="auto" w:fill="auto"/>
            <w:vAlign w:val="center"/>
            <w:hideMark/>
          </w:tcPr>
          <w:p w14:paraId="6903061F" w14:textId="77777777" w:rsidR="00FB577E" w:rsidRPr="00FB577E" w:rsidRDefault="00FB577E" w:rsidP="00FB577E">
            <w:pPr>
              <w:pStyle w:val="NoSpacing"/>
            </w:pPr>
            <w:r w:rsidRPr="00FB577E">
              <w:t>Dissimilatory nitrate reduction</w:t>
            </w:r>
          </w:p>
        </w:tc>
        <w:tc>
          <w:tcPr>
            <w:tcW w:w="1664" w:type="pct"/>
            <w:tcBorders>
              <w:top w:val="nil"/>
              <w:left w:val="nil"/>
              <w:bottom w:val="single" w:sz="4" w:space="0" w:color="auto"/>
              <w:right w:val="single" w:sz="4" w:space="0" w:color="auto"/>
            </w:tcBorders>
            <w:shd w:val="clear" w:color="auto" w:fill="auto"/>
            <w:vAlign w:val="center"/>
            <w:hideMark/>
          </w:tcPr>
          <w:p w14:paraId="340EB292" w14:textId="77777777" w:rsidR="00FB577E" w:rsidRPr="00FB577E" w:rsidRDefault="00FB577E" w:rsidP="00FB577E">
            <w:pPr>
              <w:pStyle w:val="NoSpacing"/>
            </w:pPr>
            <w:proofErr w:type="spellStart"/>
            <w:r w:rsidRPr="00FB577E">
              <w:t>narH</w:t>
            </w:r>
            <w:proofErr w:type="spellEnd"/>
          </w:p>
        </w:tc>
        <w:tc>
          <w:tcPr>
            <w:tcW w:w="1671" w:type="pct"/>
            <w:tcBorders>
              <w:top w:val="nil"/>
              <w:left w:val="nil"/>
              <w:bottom w:val="single" w:sz="4" w:space="0" w:color="auto"/>
              <w:right w:val="single" w:sz="4" w:space="0" w:color="auto"/>
            </w:tcBorders>
            <w:shd w:val="clear" w:color="auto" w:fill="auto"/>
            <w:vAlign w:val="center"/>
            <w:hideMark/>
          </w:tcPr>
          <w:p w14:paraId="32E566AD" w14:textId="77777777" w:rsidR="00FB577E" w:rsidRPr="00FB577E" w:rsidRDefault="00FB577E" w:rsidP="00FB577E">
            <w:pPr>
              <w:pStyle w:val="NoSpacing"/>
            </w:pPr>
            <w:proofErr w:type="spellStart"/>
            <w:r w:rsidRPr="00FB577E">
              <w:t>narH</w:t>
            </w:r>
            <w:proofErr w:type="spellEnd"/>
            <w:r w:rsidRPr="00FB577E">
              <w:t xml:space="preserve">, </w:t>
            </w:r>
            <w:proofErr w:type="spellStart"/>
            <w:r w:rsidRPr="00FB577E">
              <w:t>narX</w:t>
            </w:r>
            <w:proofErr w:type="spellEnd"/>
          </w:p>
        </w:tc>
      </w:tr>
    </w:tbl>
    <w:p w14:paraId="4BE3C1A2" w14:textId="77777777" w:rsidR="00FB577E" w:rsidRPr="00FB577E" w:rsidRDefault="00FB577E">
      <w:pPr>
        <w:rPr>
          <w:rFonts w:ascii="Times New Roman" w:hAnsi="Times New Roman" w:cs="Times New Roman"/>
        </w:rPr>
      </w:pPr>
    </w:p>
    <w:p w14:paraId="63C935D7" w14:textId="77777777" w:rsidR="00FB577E" w:rsidRPr="00FB577E" w:rsidRDefault="00FB577E">
      <w:pPr>
        <w:rPr>
          <w:rFonts w:ascii="Times New Roman" w:hAnsi="Times New Roman" w:cs="Times New Roman"/>
        </w:rPr>
      </w:pPr>
    </w:p>
    <w:p w14:paraId="1D17A9BB" w14:textId="77777777" w:rsidR="00FB577E" w:rsidRPr="00FB577E" w:rsidRDefault="00FB577E">
      <w:pPr>
        <w:rPr>
          <w:rFonts w:ascii="Times New Roman" w:hAnsi="Times New Roman" w:cs="Times New Roman"/>
        </w:rPr>
      </w:pPr>
    </w:p>
    <w:p w14:paraId="6F81DC97" w14:textId="77777777" w:rsidR="00FB577E" w:rsidRPr="00FB577E" w:rsidRDefault="00FB577E">
      <w:pPr>
        <w:rPr>
          <w:rFonts w:ascii="Times New Roman" w:hAnsi="Times New Roman" w:cs="Times New Roman"/>
        </w:rPr>
      </w:pPr>
    </w:p>
    <w:p w14:paraId="66D77FB7" w14:textId="158D85C6" w:rsidR="00FB577E" w:rsidRPr="00FB577E" w:rsidRDefault="00FB577E" w:rsidP="00FB577E">
      <w:pPr>
        <w:jc w:val="both"/>
        <w:rPr>
          <w:rFonts w:ascii="Times New Roman" w:eastAsia="Times New Roman" w:hAnsi="Times New Roman" w:cs="Times New Roman"/>
          <w:b/>
          <w:bCs/>
        </w:rPr>
      </w:pPr>
      <w:r w:rsidRPr="00FB577E">
        <w:rPr>
          <w:rFonts w:ascii="Times New Roman" w:eastAsia="Times New Roman" w:hAnsi="Times New Roman" w:cs="Times New Roman"/>
          <w:b/>
          <w:bCs/>
        </w:rPr>
        <w:lastRenderedPageBreak/>
        <w:t>Table S</w:t>
      </w:r>
      <w:r>
        <w:rPr>
          <w:rFonts w:ascii="Times New Roman" w:eastAsia="Times New Roman" w:hAnsi="Times New Roman" w:cs="Times New Roman"/>
          <w:b/>
          <w:bCs/>
        </w:rPr>
        <w:t>4</w:t>
      </w:r>
      <w:r w:rsidRPr="00FB577E">
        <w:rPr>
          <w:rFonts w:ascii="Times New Roman" w:eastAsia="Times New Roman" w:hAnsi="Times New Roman" w:cs="Times New Roman"/>
          <w:b/>
          <w:bCs/>
        </w:rPr>
        <w:t>. Accessory genes in B. subtilis HM01 and their PGP/rhizospheric relevance</w:t>
      </w:r>
    </w:p>
    <w:tbl>
      <w:tblPr>
        <w:tblW w:w="5000" w:type="pct"/>
        <w:tblLayout w:type="fixed"/>
        <w:tblLook w:val="04A0" w:firstRow="1" w:lastRow="0" w:firstColumn="1" w:lastColumn="0" w:noHBand="0" w:noVBand="1"/>
      </w:tblPr>
      <w:tblGrid>
        <w:gridCol w:w="1413"/>
        <w:gridCol w:w="1702"/>
        <w:gridCol w:w="1557"/>
        <w:gridCol w:w="4963"/>
        <w:gridCol w:w="4313"/>
      </w:tblGrid>
      <w:tr w:rsidR="00FB577E" w:rsidRPr="00FB577E" w14:paraId="7342026B" w14:textId="77777777" w:rsidTr="00FB577E">
        <w:trPr>
          <w:trHeight w:val="315"/>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92AF6" w14:textId="77777777" w:rsidR="00FB577E" w:rsidRPr="00FB577E" w:rsidRDefault="00FB577E" w:rsidP="00FB577E">
            <w:pPr>
              <w:spacing w:after="0" w:line="240" w:lineRule="auto"/>
              <w:jc w:val="center"/>
              <w:rPr>
                <w:rFonts w:ascii="Times New Roman" w:eastAsia="Times New Roman" w:hAnsi="Times New Roman" w:cs="Times New Roman"/>
                <w:b/>
                <w:bCs/>
                <w:color w:val="000000"/>
              </w:rPr>
            </w:pPr>
            <w:r w:rsidRPr="00FB577E">
              <w:rPr>
                <w:rFonts w:ascii="Times New Roman" w:eastAsia="Times New Roman" w:hAnsi="Times New Roman" w:cs="Times New Roman"/>
                <w:b/>
                <w:bCs/>
                <w:color w:val="000000"/>
              </w:rPr>
              <w:t>Plant Growth–Promoting (PGP) Genes</w:t>
            </w:r>
          </w:p>
        </w:tc>
      </w:tr>
      <w:tr w:rsidR="00FB577E" w:rsidRPr="00FB577E" w14:paraId="65E198C9" w14:textId="77777777" w:rsidTr="002F7E6B">
        <w:trPr>
          <w:trHeight w:val="315"/>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4663C805" w14:textId="77777777" w:rsidR="00FB577E" w:rsidRPr="00FB577E" w:rsidRDefault="00FB577E" w:rsidP="00FB577E">
            <w:pPr>
              <w:spacing w:after="0" w:line="240" w:lineRule="auto"/>
              <w:jc w:val="center"/>
              <w:rPr>
                <w:rFonts w:ascii="Times New Roman" w:eastAsia="Times New Roman" w:hAnsi="Times New Roman" w:cs="Times New Roman"/>
                <w:b/>
                <w:bCs/>
                <w:color w:val="000000"/>
              </w:rPr>
            </w:pPr>
            <w:r w:rsidRPr="00FB577E">
              <w:rPr>
                <w:rFonts w:ascii="Times New Roman" w:eastAsia="Times New Roman" w:hAnsi="Times New Roman" w:cs="Times New Roman"/>
                <w:b/>
                <w:bCs/>
                <w:color w:val="000000"/>
              </w:rPr>
              <w:t>Gene</w:t>
            </w:r>
          </w:p>
        </w:tc>
        <w:tc>
          <w:tcPr>
            <w:tcW w:w="610" w:type="pct"/>
            <w:tcBorders>
              <w:top w:val="nil"/>
              <w:left w:val="nil"/>
              <w:bottom w:val="single" w:sz="4" w:space="0" w:color="auto"/>
              <w:right w:val="single" w:sz="4" w:space="0" w:color="auto"/>
            </w:tcBorders>
            <w:shd w:val="clear" w:color="auto" w:fill="auto"/>
            <w:vAlign w:val="center"/>
            <w:hideMark/>
          </w:tcPr>
          <w:p w14:paraId="7CFD391C" w14:textId="77777777" w:rsidR="00FB577E" w:rsidRPr="00FB577E" w:rsidRDefault="00FB577E" w:rsidP="00FB577E">
            <w:pPr>
              <w:spacing w:after="0" w:line="240" w:lineRule="auto"/>
              <w:jc w:val="center"/>
              <w:rPr>
                <w:rFonts w:ascii="Times New Roman" w:eastAsia="Times New Roman" w:hAnsi="Times New Roman" w:cs="Times New Roman"/>
                <w:b/>
                <w:bCs/>
                <w:color w:val="000000"/>
              </w:rPr>
            </w:pPr>
            <w:r w:rsidRPr="00FB577E">
              <w:rPr>
                <w:rFonts w:ascii="Times New Roman" w:eastAsia="Times New Roman" w:hAnsi="Times New Roman" w:cs="Times New Roman"/>
                <w:b/>
                <w:bCs/>
                <w:color w:val="000000"/>
              </w:rPr>
              <w:t>Annotation</w:t>
            </w:r>
          </w:p>
        </w:tc>
        <w:tc>
          <w:tcPr>
            <w:tcW w:w="558" w:type="pct"/>
            <w:tcBorders>
              <w:top w:val="nil"/>
              <w:left w:val="nil"/>
              <w:bottom w:val="single" w:sz="4" w:space="0" w:color="auto"/>
              <w:right w:val="single" w:sz="4" w:space="0" w:color="auto"/>
            </w:tcBorders>
            <w:shd w:val="clear" w:color="auto" w:fill="auto"/>
            <w:vAlign w:val="center"/>
            <w:hideMark/>
          </w:tcPr>
          <w:p w14:paraId="1984EA73" w14:textId="77777777" w:rsidR="00FB577E" w:rsidRPr="00FB577E" w:rsidRDefault="00FB577E" w:rsidP="00FB577E">
            <w:pPr>
              <w:spacing w:after="0" w:line="240" w:lineRule="auto"/>
              <w:jc w:val="center"/>
              <w:rPr>
                <w:rFonts w:ascii="Times New Roman" w:eastAsia="Times New Roman" w:hAnsi="Times New Roman" w:cs="Times New Roman"/>
                <w:b/>
                <w:bCs/>
                <w:color w:val="000000"/>
              </w:rPr>
            </w:pPr>
            <w:r w:rsidRPr="00FB577E">
              <w:rPr>
                <w:rFonts w:ascii="Times New Roman" w:eastAsia="Times New Roman" w:hAnsi="Times New Roman" w:cs="Times New Roman"/>
                <w:b/>
                <w:bCs/>
                <w:color w:val="000000"/>
              </w:rPr>
              <w:t>Role</w:t>
            </w:r>
          </w:p>
        </w:tc>
        <w:tc>
          <w:tcPr>
            <w:tcW w:w="1779" w:type="pct"/>
            <w:tcBorders>
              <w:top w:val="nil"/>
              <w:left w:val="nil"/>
              <w:bottom w:val="single" w:sz="4" w:space="0" w:color="auto"/>
              <w:right w:val="single" w:sz="4" w:space="0" w:color="auto"/>
            </w:tcBorders>
            <w:shd w:val="clear" w:color="auto" w:fill="auto"/>
            <w:vAlign w:val="center"/>
            <w:hideMark/>
          </w:tcPr>
          <w:p w14:paraId="1B22FA3F" w14:textId="77777777" w:rsidR="00FB577E" w:rsidRPr="00FB577E" w:rsidRDefault="00FB577E" w:rsidP="00FB577E">
            <w:pPr>
              <w:spacing w:after="0" w:line="240" w:lineRule="auto"/>
              <w:jc w:val="center"/>
              <w:rPr>
                <w:rFonts w:ascii="Times New Roman" w:eastAsia="Times New Roman" w:hAnsi="Times New Roman" w:cs="Times New Roman"/>
                <w:b/>
                <w:bCs/>
                <w:color w:val="000000"/>
              </w:rPr>
            </w:pPr>
            <w:r w:rsidRPr="00FB577E">
              <w:rPr>
                <w:rFonts w:ascii="Times New Roman" w:eastAsia="Times New Roman" w:hAnsi="Times New Roman" w:cs="Times New Roman"/>
                <w:b/>
                <w:bCs/>
                <w:color w:val="000000"/>
              </w:rPr>
              <w:t>PGP relevance</w:t>
            </w:r>
          </w:p>
        </w:tc>
        <w:tc>
          <w:tcPr>
            <w:tcW w:w="1546" w:type="pct"/>
            <w:tcBorders>
              <w:top w:val="nil"/>
              <w:left w:val="nil"/>
              <w:bottom w:val="single" w:sz="4" w:space="0" w:color="auto"/>
              <w:right w:val="single" w:sz="4" w:space="0" w:color="auto"/>
            </w:tcBorders>
            <w:shd w:val="clear" w:color="auto" w:fill="auto"/>
            <w:noWrap/>
            <w:vAlign w:val="center"/>
            <w:hideMark/>
          </w:tcPr>
          <w:p w14:paraId="27E70CC5" w14:textId="77777777" w:rsidR="00FB577E" w:rsidRPr="00FB577E" w:rsidRDefault="00FB577E" w:rsidP="00FB577E">
            <w:pPr>
              <w:spacing w:after="0" w:line="240" w:lineRule="auto"/>
              <w:jc w:val="center"/>
              <w:rPr>
                <w:rFonts w:ascii="Times New Roman" w:eastAsia="Times New Roman" w:hAnsi="Times New Roman" w:cs="Times New Roman"/>
                <w:b/>
                <w:bCs/>
                <w:color w:val="000000"/>
              </w:rPr>
            </w:pPr>
            <w:r w:rsidRPr="00FB577E">
              <w:rPr>
                <w:rFonts w:ascii="Times New Roman" w:eastAsia="Times New Roman" w:hAnsi="Times New Roman" w:cs="Times New Roman"/>
                <w:b/>
                <w:bCs/>
                <w:color w:val="000000"/>
              </w:rPr>
              <w:t>References</w:t>
            </w:r>
          </w:p>
        </w:tc>
      </w:tr>
      <w:tr w:rsidR="00FB577E" w:rsidRPr="00FB577E" w14:paraId="24B80E0B" w14:textId="77777777" w:rsidTr="002F7E6B">
        <w:trPr>
          <w:trHeight w:val="1500"/>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1AAF5234" w14:textId="77777777" w:rsidR="00FB577E" w:rsidRPr="00FB577E" w:rsidRDefault="00FB577E" w:rsidP="00FB577E">
            <w:pPr>
              <w:spacing w:after="0" w:line="240" w:lineRule="auto"/>
              <w:rPr>
                <w:rFonts w:ascii="Times New Roman" w:eastAsia="Times New Roman" w:hAnsi="Times New Roman" w:cs="Times New Roman"/>
                <w:color w:val="000000"/>
              </w:rPr>
            </w:pPr>
            <w:proofErr w:type="spellStart"/>
            <w:r w:rsidRPr="00FB577E">
              <w:rPr>
                <w:rFonts w:ascii="Times New Roman" w:eastAsia="Times New Roman" w:hAnsi="Times New Roman" w:cs="Times New Roman"/>
                <w:color w:val="000000"/>
              </w:rPr>
              <w:t>strE</w:t>
            </w:r>
            <w:proofErr w:type="spellEnd"/>
          </w:p>
        </w:tc>
        <w:tc>
          <w:tcPr>
            <w:tcW w:w="610" w:type="pct"/>
            <w:tcBorders>
              <w:top w:val="nil"/>
              <w:left w:val="nil"/>
              <w:bottom w:val="single" w:sz="4" w:space="0" w:color="auto"/>
              <w:right w:val="single" w:sz="4" w:space="0" w:color="auto"/>
            </w:tcBorders>
            <w:shd w:val="clear" w:color="auto" w:fill="auto"/>
            <w:vAlign w:val="center"/>
            <w:hideMark/>
          </w:tcPr>
          <w:p w14:paraId="52F1600B" w14:textId="77777777" w:rsidR="00FB577E" w:rsidRPr="00FB577E" w:rsidRDefault="00FB577E" w:rsidP="00FB577E">
            <w:pPr>
              <w:spacing w:after="0" w:line="240" w:lineRule="auto"/>
              <w:rPr>
                <w:rFonts w:ascii="Times New Roman" w:eastAsia="Times New Roman" w:hAnsi="Times New Roman" w:cs="Times New Roman"/>
                <w:color w:val="000000"/>
              </w:rPr>
            </w:pPr>
            <w:proofErr w:type="spellStart"/>
            <w:r w:rsidRPr="00FB577E">
              <w:rPr>
                <w:rFonts w:ascii="Times New Roman" w:eastAsia="Times New Roman" w:hAnsi="Times New Roman" w:cs="Times New Roman"/>
                <w:color w:val="000000"/>
              </w:rPr>
              <w:t>dTDP</w:t>
            </w:r>
            <w:proofErr w:type="spellEnd"/>
            <w:r w:rsidRPr="00FB577E">
              <w:rPr>
                <w:rFonts w:ascii="Times New Roman" w:eastAsia="Times New Roman" w:hAnsi="Times New Roman" w:cs="Times New Roman"/>
                <w:color w:val="000000"/>
              </w:rPr>
              <w:t>-glucose 4,6-dehydratase</w:t>
            </w:r>
          </w:p>
        </w:tc>
        <w:tc>
          <w:tcPr>
            <w:tcW w:w="558" w:type="pct"/>
            <w:tcBorders>
              <w:top w:val="nil"/>
              <w:left w:val="nil"/>
              <w:bottom w:val="single" w:sz="4" w:space="0" w:color="auto"/>
              <w:right w:val="single" w:sz="4" w:space="0" w:color="auto"/>
            </w:tcBorders>
            <w:shd w:val="clear" w:color="auto" w:fill="auto"/>
            <w:vAlign w:val="center"/>
            <w:hideMark/>
          </w:tcPr>
          <w:p w14:paraId="10FE66F5"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Precursor for exopolysaccharides (EPS)</w:t>
            </w:r>
          </w:p>
        </w:tc>
        <w:tc>
          <w:tcPr>
            <w:tcW w:w="1779" w:type="pct"/>
            <w:tcBorders>
              <w:top w:val="nil"/>
              <w:left w:val="nil"/>
              <w:bottom w:val="single" w:sz="4" w:space="0" w:color="auto"/>
              <w:right w:val="single" w:sz="4" w:space="0" w:color="auto"/>
            </w:tcBorders>
            <w:shd w:val="clear" w:color="auto" w:fill="auto"/>
            <w:vAlign w:val="center"/>
            <w:hideMark/>
          </w:tcPr>
          <w:p w14:paraId="0AC07A22"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Produces activated sugar precursors required for EPS biosynthesis; EPS forms a protective and adhesive matrix that enhances bacterial attachment to roots, promotes microcolony formation, retains moisture, and stabilizes beneficial bacterial populations in the rhizosphere.</w:t>
            </w:r>
          </w:p>
        </w:tc>
        <w:tc>
          <w:tcPr>
            <w:tcW w:w="1546" w:type="pct"/>
            <w:tcBorders>
              <w:top w:val="nil"/>
              <w:left w:val="nil"/>
              <w:bottom w:val="single" w:sz="4" w:space="0" w:color="auto"/>
              <w:right w:val="single" w:sz="4" w:space="0" w:color="auto"/>
            </w:tcBorders>
            <w:shd w:val="clear" w:color="auto" w:fill="auto"/>
            <w:noWrap/>
            <w:vAlign w:val="center"/>
            <w:hideMark/>
          </w:tcPr>
          <w:p w14:paraId="151A1583" w14:textId="77777777" w:rsidR="00FB577E" w:rsidRPr="00FB577E" w:rsidRDefault="00FB577E" w:rsidP="00FB577E">
            <w:pPr>
              <w:spacing w:after="0" w:line="240" w:lineRule="auto"/>
              <w:rPr>
                <w:rFonts w:ascii="Times New Roman" w:eastAsia="Times New Roman" w:hAnsi="Times New Roman" w:cs="Times New Roman"/>
                <w:color w:val="000000"/>
              </w:rPr>
            </w:pPr>
            <w:hyperlink r:id="rId17" w:history="1">
              <w:r w:rsidRPr="00FB577E">
                <w:rPr>
                  <w:rFonts w:ascii="Times New Roman" w:eastAsia="Times New Roman" w:hAnsi="Times New Roman" w:cs="Times New Roman"/>
                  <w:color w:val="000000"/>
                </w:rPr>
                <w:t>https://doi.org/10.3389/fmicb.2025.1572117</w:t>
              </w:r>
            </w:hyperlink>
          </w:p>
        </w:tc>
      </w:tr>
      <w:tr w:rsidR="00FB577E" w:rsidRPr="00FB577E" w14:paraId="767D1CCB" w14:textId="77777777" w:rsidTr="002F7E6B">
        <w:trPr>
          <w:trHeight w:val="1500"/>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43FF9277" w14:textId="77777777" w:rsidR="00FB577E" w:rsidRPr="00FB577E" w:rsidRDefault="00FB577E" w:rsidP="00FB577E">
            <w:pPr>
              <w:spacing w:after="0" w:line="240" w:lineRule="auto"/>
              <w:rPr>
                <w:rFonts w:ascii="Times New Roman" w:eastAsia="Times New Roman" w:hAnsi="Times New Roman" w:cs="Times New Roman"/>
                <w:color w:val="000000"/>
              </w:rPr>
            </w:pPr>
            <w:proofErr w:type="spellStart"/>
            <w:r w:rsidRPr="00FB577E">
              <w:rPr>
                <w:rFonts w:ascii="Times New Roman" w:eastAsia="Times New Roman" w:hAnsi="Times New Roman" w:cs="Times New Roman"/>
                <w:color w:val="000000"/>
              </w:rPr>
              <w:t>wbpA</w:t>
            </w:r>
            <w:proofErr w:type="spellEnd"/>
          </w:p>
        </w:tc>
        <w:tc>
          <w:tcPr>
            <w:tcW w:w="610" w:type="pct"/>
            <w:tcBorders>
              <w:top w:val="nil"/>
              <w:left w:val="nil"/>
              <w:bottom w:val="single" w:sz="4" w:space="0" w:color="auto"/>
              <w:right w:val="single" w:sz="4" w:space="0" w:color="auto"/>
            </w:tcBorders>
            <w:shd w:val="clear" w:color="auto" w:fill="auto"/>
            <w:vAlign w:val="center"/>
            <w:hideMark/>
          </w:tcPr>
          <w:p w14:paraId="3EA2AA3C"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UDP-N-acetyl-D-glucosamine 6-dehydrogenase</w:t>
            </w:r>
          </w:p>
        </w:tc>
        <w:tc>
          <w:tcPr>
            <w:tcW w:w="558" w:type="pct"/>
            <w:tcBorders>
              <w:top w:val="nil"/>
              <w:left w:val="nil"/>
              <w:bottom w:val="single" w:sz="4" w:space="0" w:color="auto"/>
              <w:right w:val="single" w:sz="4" w:space="0" w:color="auto"/>
            </w:tcBorders>
            <w:shd w:val="clear" w:color="auto" w:fill="auto"/>
            <w:vAlign w:val="center"/>
            <w:hideMark/>
          </w:tcPr>
          <w:p w14:paraId="016992D2"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EPS &amp; cell-wall precursor synthesis</w:t>
            </w:r>
          </w:p>
        </w:tc>
        <w:tc>
          <w:tcPr>
            <w:tcW w:w="1779" w:type="pct"/>
            <w:tcBorders>
              <w:top w:val="nil"/>
              <w:left w:val="nil"/>
              <w:bottom w:val="single" w:sz="4" w:space="0" w:color="auto"/>
              <w:right w:val="single" w:sz="4" w:space="0" w:color="auto"/>
            </w:tcBorders>
            <w:shd w:val="clear" w:color="auto" w:fill="auto"/>
            <w:vAlign w:val="center"/>
            <w:hideMark/>
          </w:tcPr>
          <w:p w14:paraId="4A323FA8"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Generates key substrates for peptidoglycan and EPS production, strengthening biofilm architecture; supports robust surface adhesion to roots, protects bacteria from desiccation and root-secreted antimicrobials, and enhances persistence in the rhizosphere.</w:t>
            </w:r>
          </w:p>
        </w:tc>
        <w:tc>
          <w:tcPr>
            <w:tcW w:w="1546" w:type="pct"/>
            <w:tcBorders>
              <w:top w:val="nil"/>
              <w:left w:val="nil"/>
              <w:bottom w:val="single" w:sz="4" w:space="0" w:color="auto"/>
              <w:right w:val="single" w:sz="4" w:space="0" w:color="auto"/>
            </w:tcBorders>
            <w:shd w:val="clear" w:color="auto" w:fill="auto"/>
            <w:noWrap/>
            <w:vAlign w:val="center"/>
            <w:hideMark/>
          </w:tcPr>
          <w:p w14:paraId="04C0E0CF" w14:textId="77777777" w:rsidR="00FB577E" w:rsidRPr="00FB577E" w:rsidRDefault="00FB577E" w:rsidP="00FB577E">
            <w:pPr>
              <w:spacing w:after="0" w:line="240" w:lineRule="auto"/>
              <w:rPr>
                <w:rFonts w:ascii="Times New Roman" w:eastAsia="Times New Roman" w:hAnsi="Times New Roman" w:cs="Times New Roman"/>
                <w:color w:val="000000"/>
              </w:rPr>
            </w:pPr>
            <w:hyperlink r:id="rId18" w:history="1">
              <w:r w:rsidRPr="00FB577E">
                <w:rPr>
                  <w:rFonts w:ascii="Times New Roman" w:eastAsia="Times New Roman" w:hAnsi="Times New Roman" w:cs="Times New Roman"/>
                  <w:color w:val="000000"/>
                </w:rPr>
                <w:t>https://doi.org/10.1093/ismejo/wraf114</w:t>
              </w:r>
            </w:hyperlink>
          </w:p>
        </w:tc>
      </w:tr>
      <w:tr w:rsidR="00FB577E" w:rsidRPr="00FB577E" w14:paraId="080E2102" w14:textId="77777777" w:rsidTr="002F7E6B">
        <w:trPr>
          <w:trHeight w:val="1500"/>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38C68F68" w14:textId="77777777" w:rsidR="00FB577E" w:rsidRPr="00FB577E" w:rsidRDefault="00FB577E" w:rsidP="00FB577E">
            <w:pPr>
              <w:spacing w:after="0" w:line="240" w:lineRule="auto"/>
              <w:rPr>
                <w:rFonts w:ascii="Times New Roman" w:eastAsia="Times New Roman" w:hAnsi="Times New Roman" w:cs="Times New Roman"/>
                <w:i/>
                <w:iCs/>
                <w:color w:val="000000"/>
              </w:rPr>
            </w:pPr>
            <w:proofErr w:type="spellStart"/>
            <w:r w:rsidRPr="00FB577E">
              <w:rPr>
                <w:rFonts w:ascii="Times New Roman" w:eastAsia="Times New Roman" w:hAnsi="Times New Roman" w:cs="Times New Roman"/>
                <w:i/>
                <w:iCs/>
                <w:color w:val="000000"/>
              </w:rPr>
              <w:t>gmuG</w:t>
            </w:r>
            <w:proofErr w:type="spellEnd"/>
          </w:p>
        </w:tc>
        <w:tc>
          <w:tcPr>
            <w:tcW w:w="610" w:type="pct"/>
            <w:tcBorders>
              <w:top w:val="nil"/>
              <w:left w:val="nil"/>
              <w:bottom w:val="single" w:sz="4" w:space="0" w:color="auto"/>
              <w:right w:val="single" w:sz="4" w:space="0" w:color="auto"/>
            </w:tcBorders>
            <w:shd w:val="clear" w:color="auto" w:fill="auto"/>
            <w:vAlign w:val="center"/>
            <w:hideMark/>
          </w:tcPr>
          <w:p w14:paraId="347865C5"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Endo-1,4-β-</w:t>
            </w:r>
            <w:proofErr w:type="spellStart"/>
            <w:r w:rsidRPr="00FB577E">
              <w:rPr>
                <w:rFonts w:ascii="Times New Roman" w:eastAsia="Times New Roman" w:hAnsi="Times New Roman" w:cs="Times New Roman"/>
                <w:color w:val="000000"/>
              </w:rPr>
              <w:t>mannanase</w:t>
            </w:r>
            <w:proofErr w:type="spellEnd"/>
          </w:p>
        </w:tc>
        <w:tc>
          <w:tcPr>
            <w:tcW w:w="558" w:type="pct"/>
            <w:tcBorders>
              <w:top w:val="nil"/>
              <w:left w:val="nil"/>
              <w:bottom w:val="single" w:sz="4" w:space="0" w:color="auto"/>
              <w:right w:val="single" w:sz="4" w:space="0" w:color="auto"/>
            </w:tcBorders>
            <w:shd w:val="clear" w:color="auto" w:fill="auto"/>
            <w:vAlign w:val="center"/>
            <w:hideMark/>
          </w:tcPr>
          <w:p w14:paraId="09E4FA01"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Breaks down plant hemicellulose mannans</w:t>
            </w:r>
          </w:p>
        </w:tc>
        <w:tc>
          <w:tcPr>
            <w:tcW w:w="1779" w:type="pct"/>
            <w:tcBorders>
              <w:top w:val="nil"/>
              <w:left w:val="nil"/>
              <w:bottom w:val="single" w:sz="4" w:space="0" w:color="auto"/>
              <w:right w:val="single" w:sz="4" w:space="0" w:color="auto"/>
            </w:tcBorders>
            <w:shd w:val="clear" w:color="auto" w:fill="auto"/>
            <w:vAlign w:val="center"/>
            <w:hideMark/>
          </w:tcPr>
          <w:p w14:paraId="3057BE1F"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Degrades mannans in root mucilage and plant cell wall fragments, improving nutrient access and promoting bacterial colonization; breakdown products can stimulate root exudation and enhance plant–microbe interaction, indirectly promoting plant growth.</w:t>
            </w:r>
          </w:p>
        </w:tc>
        <w:tc>
          <w:tcPr>
            <w:tcW w:w="1546" w:type="pct"/>
            <w:tcBorders>
              <w:top w:val="nil"/>
              <w:left w:val="nil"/>
              <w:bottom w:val="single" w:sz="4" w:space="0" w:color="auto"/>
              <w:right w:val="single" w:sz="4" w:space="0" w:color="auto"/>
            </w:tcBorders>
            <w:shd w:val="clear" w:color="auto" w:fill="auto"/>
            <w:noWrap/>
            <w:vAlign w:val="center"/>
            <w:hideMark/>
          </w:tcPr>
          <w:p w14:paraId="31258939" w14:textId="77777777" w:rsidR="00FB577E" w:rsidRPr="00FB577E" w:rsidRDefault="00FB577E" w:rsidP="00FB577E">
            <w:pPr>
              <w:spacing w:after="0" w:line="240" w:lineRule="auto"/>
              <w:rPr>
                <w:rFonts w:ascii="Times New Roman" w:eastAsia="Times New Roman" w:hAnsi="Times New Roman" w:cs="Times New Roman"/>
                <w:color w:val="000000"/>
              </w:rPr>
            </w:pPr>
            <w:hyperlink r:id="rId19" w:history="1">
              <w:r w:rsidRPr="00FB577E">
                <w:rPr>
                  <w:rFonts w:ascii="Times New Roman" w:eastAsia="Times New Roman" w:hAnsi="Times New Roman" w:cs="Times New Roman"/>
                  <w:color w:val="000000"/>
                </w:rPr>
                <w:t>https://doi.org/10.1016/j.ijbiomac.2020.10.235</w:t>
              </w:r>
            </w:hyperlink>
          </w:p>
        </w:tc>
      </w:tr>
      <w:tr w:rsidR="00FB577E" w:rsidRPr="00FB577E" w14:paraId="4D75454F" w14:textId="77777777" w:rsidTr="002F7E6B">
        <w:trPr>
          <w:trHeight w:val="1500"/>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21150047"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group_5210</w:t>
            </w:r>
          </w:p>
        </w:tc>
        <w:tc>
          <w:tcPr>
            <w:tcW w:w="610" w:type="pct"/>
            <w:tcBorders>
              <w:top w:val="nil"/>
              <w:left w:val="nil"/>
              <w:bottom w:val="single" w:sz="4" w:space="0" w:color="auto"/>
              <w:right w:val="single" w:sz="4" w:space="0" w:color="auto"/>
            </w:tcBorders>
            <w:shd w:val="clear" w:color="auto" w:fill="auto"/>
            <w:vAlign w:val="center"/>
            <w:hideMark/>
          </w:tcPr>
          <w:p w14:paraId="3DB86043"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Periplasmic nitrate reductase</w:t>
            </w:r>
          </w:p>
        </w:tc>
        <w:tc>
          <w:tcPr>
            <w:tcW w:w="558" w:type="pct"/>
            <w:tcBorders>
              <w:top w:val="nil"/>
              <w:left w:val="nil"/>
              <w:bottom w:val="single" w:sz="4" w:space="0" w:color="auto"/>
              <w:right w:val="single" w:sz="4" w:space="0" w:color="auto"/>
            </w:tcBorders>
            <w:shd w:val="clear" w:color="auto" w:fill="auto"/>
            <w:vAlign w:val="center"/>
            <w:hideMark/>
          </w:tcPr>
          <w:p w14:paraId="6551B438"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Nitrate respiration</w:t>
            </w:r>
          </w:p>
        </w:tc>
        <w:tc>
          <w:tcPr>
            <w:tcW w:w="1779" w:type="pct"/>
            <w:tcBorders>
              <w:top w:val="nil"/>
              <w:left w:val="nil"/>
              <w:bottom w:val="single" w:sz="4" w:space="0" w:color="auto"/>
              <w:right w:val="single" w:sz="4" w:space="0" w:color="auto"/>
            </w:tcBorders>
            <w:shd w:val="clear" w:color="auto" w:fill="auto"/>
            <w:vAlign w:val="center"/>
            <w:hideMark/>
          </w:tcPr>
          <w:p w14:paraId="0A7BA5EF"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Enhances plant growth by converting nitrate into bioavailable reduced nitrogen forms under low-oxygen rhizosphere conditions; supports nitrogen turnover in the root zone, reduces competition with plants for nitrate, and promotes nutrient accessibility in the rhizosphere.</w:t>
            </w:r>
          </w:p>
        </w:tc>
        <w:tc>
          <w:tcPr>
            <w:tcW w:w="1546" w:type="pct"/>
            <w:tcBorders>
              <w:top w:val="nil"/>
              <w:left w:val="nil"/>
              <w:bottom w:val="single" w:sz="4" w:space="0" w:color="auto"/>
              <w:right w:val="single" w:sz="4" w:space="0" w:color="auto"/>
            </w:tcBorders>
            <w:shd w:val="clear" w:color="auto" w:fill="auto"/>
            <w:noWrap/>
            <w:vAlign w:val="center"/>
            <w:hideMark/>
          </w:tcPr>
          <w:p w14:paraId="44997048" w14:textId="77777777" w:rsidR="00FB577E" w:rsidRPr="00FB577E" w:rsidRDefault="00FB577E" w:rsidP="00FB577E">
            <w:pPr>
              <w:spacing w:after="0" w:line="240" w:lineRule="auto"/>
              <w:rPr>
                <w:rFonts w:ascii="Times New Roman" w:eastAsia="Times New Roman" w:hAnsi="Times New Roman" w:cs="Times New Roman"/>
                <w:color w:val="000000"/>
              </w:rPr>
            </w:pPr>
            <w:hyperlink r:id="rId20" w:tooltip="Persistent link using digital object identifier" w:history="1">
              <w:r w:rsidRPr="00FB577E">
                <w:rPr>
                  <w:rFonts w:ascii="Times New Roman" w:eastAsia="Times New Roman" w:hAnsi="Times New Roman" w:cs="Times New Roman"/>
                  <w:color w:val="000000"/>
                </w:rPr>
                <w:t>https://doi.org/10.1016/j.ijbiomac.2022.04.082</w:t>
              </w:r>
            </w:hyperlink>
          </w:p>
        </w:tc>
      </w:tr>
      <w:tr w:rsidR="00FB577E" w:rsidRPr="00FB577E" w14:paraId="2C1F4DE0" w14:textId="77777777" w:rsidTr="002F7E6B">
        <w:trPr>
          <w:trHeight w:val="1500"/>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26F0C8A9"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lastRenderedPageBreak/>
              <w:t>group_5228</w:t>
            </w:r>
          </w:p>
        </w:tc>
        <w:tc>
          <w:tcPr>
            <w:tcW w:w="610" w:type="pct"/>
            <w:tcBorders>
              <w:top w:val="nil"/>
              <w:left w:val="nil"/>
              <w:bottom w:val="single" w:sz="4" w:space="0" w:color="auto"/>
              <w:right w:val="single" w:sz="4" w:space="0" w:color="auto"/>
            </w:tcBorders>
            <w:shd w:val="clear" w:color="auto" w:fill="auto"/>
            <w:vAlign w:val="center"/>
            <w:hideMark/>
          </w:tcPr>
          <w:p w14:paraId="7E4EB084"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Chitosanase</w:t>
            </w:r>
          </w:p>
        </w:tc>
        <w:tc>
          <w:tcPr>
            <w:tcW w:w="558" w:type="pct"/>
            <w:tcBorders>
              <w:top w:val="nil"/>
              <w:left w:val="nil"/>
              <w:bottom w:val="single" w:sz="4" w:space="0" w:color="auto"/>
              <w:right w:val="single" w:sz="4" w:space="0" w:color="auto"/>
            </w:tcBorders>
            <w:shd w:val="clear" w:color="auto" w:fill="auto"/>
            <w:vAlign w:val="center"/>
            <w:hideMark/>
          </w:tcPr>
          <w:p w14:paraId="2BD6AFD7"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Chitin/chitosan hydrolysis</w:t>
            </w:r>
          </w:p>
        </w:tc>
        <w:tc>
          <w:tcPr>
            <w:tcW w:w="1779" w:type="pct"/>
            <w:tcBorders>
              <w:top w:val="nil"/>
              <w:left w:val="nil"/>
              <w:bottom w:val="single" w:sz="4" w:space="0" w:color="auto"/>
              <w:right w:val="single" w:sz="4" w:space="0" w:color="auto"/>
            </w:tcBorders>
            <w:shd w:val="clear" w:color="auto" w:fill="auto"/>
            <w:vAlign w:val="center"/>
            <w:hideMark/>
          </w:tcPr>
          <w:p w14:paraId="6624968E"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 xml:space="preserve">Breaks down chitin in fungal cell walls, inhibiting pathogenic fungi; releases </w:t>
            </w:r>
            <w:proofErr w:type="spellStart"/>
            <w:r w:rsidRPr="00FB577E">
              <w:rPr>
                <w:rFonts w:ascii="Times New Roman" w:eastAsia="Times New Roman" w:hAnsi="Times New Roman" w:cs="Times New Roman"/>
                <w:color w:val="000000"/>
              </w:rPr>
              <w:t>chitooligosaccharides</w:t>
            </w:r>
            <w:proofErr w:type="spellEnd"/>
            <w:r w:rsidRPr="00FB577E">
              <w:rPr>
                <w:rFonts w:ascii="Times New Roman" w:eastAsia="Times New Roman" w:hAnsi="Times New Roman" w:cs="Times New Roman"/>
                <w:color w:val="000000"/>
              </w:rPr>
              <w:t xml:space="preserve"> that can stimulate plant immune responses; contributes to biological control and reduces disease pressure, enhancing plant </w:t>
            </w:r>
            <w:proofErr w:type="spellStart"/>
            <w:r w:rsidRPr="00FB577E">
              <w:rPr>
                <w:rFonts w:ascii="Times New Roman" w:eastAsia="Times New Roman" w:hAnsi="Times New Roman" w:cs="Times New Roman"/>
                <w:color w:val="000000"/>
              </w:rPr>
              <w:t>vigor</w:t>
            </w:r>
            <w:proofErr w:type="spellEnd"/>
            <w:r w:rsidRPr="00FB577E">
              <w:rPr>
                <w:rFonts w:ascii="Times New Roman" w:eastAsia="Times New Roman" w:hAnsi="Times New Roman" w:cs="Times New Roman"/>
                <w:color w:val="000000"/>
              </w:rPr>
              <w:t>.</w:t>
            </w:r>
          </w:p>
        </w:tc>
        <w:tc>
          <w:tcPr>
            <w:tcW w:w="1546" w:type="pct"/>
            <w:tcBorders>
              <w:top w:val="nil"/>
              <w:left w:val="nil"/>
              <w:bottom w:val="single" w:sz="4" w:space="0" w:color="auto"/>
              <w:right w:val="single" w:sz="4" w:space="0" w:color="auto"/>
            </w:tcBorders>
            <w:shd w:val="clear" w:color="auto" w:fill="auto"/>
            <w:noWrap/>
            <w:vAlign w:val="center"/>
            <w:hideMark/>
          </w:tcPr>
          <w:p w14:paraId="24B0C26B" w14:textId="77777777" w:rsidR="00FB577E" w:rsidRPr="00FB577E" w:rsidRDefault="00FB577E" w:rsidP="00FB577E">
            <w:pPr>
              <w:spacing w:after="0" w:line="240" w:lineRule="auto"/>
              <w:rPr>
                <w:rFonts w:ascii="Times New Roman" w:eastAsia="Times New Roman" w:hAnsi="Times New Roman" w:cs="Times New Roman"/>
                <w:color w:val="000000"/>
              </w:rPr>
            </w:pPr>
            <w:hyperlink r:id="rId21" w:history="1">
              <w:r w:rsidRPr="00FB577E">
                <w:rPr>
                  <w:rFonts w:ascii="Times New Roman" w:eastAsia="Times New Roman" w:hAnsi="Times New Roman" w:cs="Times New Roman"/>
                  <w:color w:val="000000"/>
                </w:rPr>
                <w:t>https://doi.org/10.3390/molecules26071863</w:t>
              </w:r>
            </w:hyperlink>
          </w:p>
        </w:tc>
      </w:tr>
      <w:tr w:rsidR="00FB577E" w:rsidRPr="00FB577E" w14:paraId="113ACF6D" w14:textId="77777777" w:rsidTr="00FB577E">
        <w:trPr>
          <w:trHeight w:val="315"/>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B5D65" w14:textId="77777777" w:rsidR="00FB577E" w:rsidRPr="00FB577E" w:rsidRDefault="00FB577E" w:rsidP="00FB577E">
            <w:pPr>
              <w:spacing w:after="0" w:line="240" w:lineRule="auto"/>
              <w:jc w:val="center"/>
              <w:rPr>
                <w:rFonts w:ascii="Times New Roman" w:eastAsia="Times New Roman" w:hAnsi="Times New Roman" w:cs="Times New Roman"/>
                <w:b/>
                <w:bCs/>
                <w:color w:val="000000"/>
              </w:rPr>
            </w:pPr>
            <w:r w:rsidRPr="00FB577E">
              <w:rPr>
                <w:rFonts w:ascii="Times New Roman" w:eastAsia="Times New Roman" w:hAnsi="Times New Roman" w:cs="Times New Roman"/>
                <w:b/>
                <w:bCs/>
                <w:color w:val="000000"/>
              </w:rPr>
              <w:t>Rhizosphere Fitness/ Colonization Genes</w:t>
            </w:r>
          </w:p>
        </w:tc>
      </w:tr>
      <w:tr w:rsidR="00FB577E" w:rsidRPr="00FB577E" w14:paraId="116CC6DD" w14:textId="77777777" w:rsidTr="002F7E6B">
        <w:trPr>
          <w:trHeight w:val="315"/>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18343303" w14:textId="77777777" w:rsidR="00FB577E" w:rsidRPr="00FB577E" w:rsidRDefault="00FB577E" w:rsidP="00FB577E">
            <w:pPr>
              <w:spacing w:after="0" w:line="240" w:lineRule="auto"/>
              <w:jc w:val="center"/>
              <w:rPr>
                <w:rFonts w:ascii="Times New Roman" w:eastAsia="Times New Roman" w:hAnsi="Times New Roman" w:cs="Times New Roman"/>
                <w:b/>
                <w:bCs/>
                <w:color w:val="000000"/>
              </w:rPr>
            </w:pPr>
            <w:r w:rsidRPr="00FB577E">
              <w:rPr>
                <w:rFonts w:ascii="Times New Roman" w:eastAsia="Times New Roman" w:hAnsi="Times New Roman" w:cs="Times New Roman"/>
                <w:b/>
                <w:bCs/>
                <w:color w:val="000000"/>
              </w:rPr>
              <w:t>Gene</w:t>
            </w:r>
          </w:p>
        </w:tc>
        <w:tc>
          <w:tcPr>
            <w:tcW w:w="610" w:type="pct"/>
            <w:tcBorders>
              <w:top w:val="nil"/>
              <w:left w:val="nil"/>
              <w:bottom w:val="single" w:sz="4" w:space="0" w:color="auto"/>
              <w:right w:val="single" w:sz="4" w:space="0" w:color="auto"/>
            </w:tcBorders>
            <w:shd w:val="clear" w:color="auto" w:fill="auto"/>
            <w:vAlign w:val="center"/>
            <w:hideMark/>
          </w:tcPr>
          <w:p w14:paraId="2595A639" w14:textId="77777777" w:rsidR="00FB577E" w:rsidRPr="00FB577E" w:rsidRDefault="00FB577E" w:rsidP="00FB577E">
            <w:pPr>
              <w:spacing w:after="0" w:line="240" w:lineRule="auto"/>
              <w:jc w:val="center"/>
              <w:rPr>
                <w:rFonts w:ascii="Times New Roman" w:eastAsia="Times New Roman" w:hAnsi="Times New Roman" w:cs="Times New Roman"/>
                <w:b/>
                <w:bCs/>
                <w:color w:val="000000"/>
              </w:rPr>
            </w:pPr>
            <w:r w:rsidRPr="00FB577E">
              <w:rPr>
                <w:rFonts w:ascii="Times New Roman" w:eastAsia="Times New Roman" w:hAnsi="Times New Roman" w:cs="Times New Roman"/>
                <w:b/>
                <w:bCs/>
                <w:color w:val="000000"/>
              </w:rPr>
              <w:t>Annotation</w:t>
            </w:r>
          </w:p>
        </w:tc>
        <w:tc>
          <w:tcPr>
            <w:tcW w:w="558" w:type="pct"/>
            <w:tcBorders>
              <w:top w:val="nil"/>
              <w:left w:val="nil"/>
              <w:bottom w:val="single" w:sz="4" w:space="0" w:color="auto"/>
              <w:right w:val="single" w:sz="4" w:space="0" w:color="auto"/>
            </w:tcBorders>
            <w:shd w:val="clear" w:color="auto" w:fill="auto"/>
            <w:vAlign w:val="center"/>
            <w:hideMark/>
          </w:tcPr>
          <w:p w14:paraId="7916B205" w14:textId="77777777" w:rsidR="00FB577E" w:rsidRPr="00FB577E" w:rsidRDefault="00FB577E" w:rsidP="00FB577E">
            <w:pPr>
              <w:spacing w:after="0" w:line="240" w:lineRule="auto"/>
              <w:jc w:val="center"/>
              <w:rPr>
                <w:rFonts w:ascii="Times New Roman" w:eastAsia="Times New Roman" w:hAnsi="Times New Roman" w:cs="Times New Roman"/>
                <w:b/>
                <w:bCs/>
                <w:color w:val="000000"/>
              </w:rPr>
            </w:pPr>
            <w:r w:rsidRPr="00FB577E">
              <w:rPr>
                <w:rFonts w:ascii="Times New Roman" w:eastAsia="Times New Roman" w:hAnsi="Times New Roman" w:cs="Times New Roman"/>
                <w:b/>
                <w:bCs/>
                <w:color w:val="000000"/>
              </w:rPr>
              <w:t>Role</w:t>
            </w:r>
          </w:p>
        </w:tc>
        <w:tc>
          <w:tcPr>
            <w:tcW w:w="1779" w:type="pct"/>
            <w:tcBorders>
              <w:top w:val="nil"/>
              <w:left w:val="nil"/>
              <w:bottom w:val="single" w:sz="4" w:space="0" w:color="auto"/>
              <w:right w:val="single" w:sz="4" w:space="0" w:color="auto"/>
            </w:tcBorders>
            <w:shd w:val="clear" w:color="auto" w:fill="auto"/>
            <w:vAlign w:val="center"/>
            <w:hideMark/>
          </w:tcPr>
          <w:p w14:paraId="76B8576F" w14:textId="77777777" w:rsidR="00FB577E" w:rsidRPr="00FB577E" w:rsidRDefault="00FB577E" w:rsidP="00FB577E">
            <w:pPr>
              <w:spacing w:after="0" w:line="240" w:lineRule="auto"/>
              <w:jc w:val="center"/>
              <w:rPr>
                <w:rFonts w:ascii="Times New Roman" w:eastAsia="Times New Roman" w:hAnsi="Times New Roman" w:cs="Times New Roman"/>
                <w:b/>
                <w:bCs/>
                <w:color w:val="000000"/>
              </w:rPr>
            </w:pPr>
            <w:r w:rsidRPr="00FB577E">
              <w:rPr>
                <w:rFonts w:ascii="Times New Roman" w:eastAsia="Times New Roman" w:hAnsi="Times New Roman" w:cs="Times New Roman"/>
                <w:b/>
                <w:bCs/>
                <w:color w:val="000000"/>
              </w:rPr>
              <w:t>Rhizosphere relevance</w:t>
            </w:r>
          </w:p>
        </w:tc>
        <w:tc>
          <w:tcPr>
            <w:tcW w:w="1546" w:type="pct"/>
            <w:tcBorders>
              <w:top w:val="nil"/>
              <w:left w:val="nil"/>
              <w:bottom w:val="single" w:sz="4" w:space="0" w:color="auto"/>
              <w:right w:val="single" w:sz="4" w:space="0" w:color="auto"/>
            </w:tcBorders>
            <w:shd w:val="clear" w:color="auto" w:fill="auto"/>
            <w:noWrap/>
            <w:vAlign w:val="center"/>
            <w:hideMark/>
          </w:tcPr>
          <w:p w14:paraId="18FF33A4" w14:textId="77777777" w:rsidR="00FB577E" w:rsidRPr="00FB577E" w:rsidRDefault="00FB577E" w:rsidP="00FB577E">
            <w:pPr>
              <w:spacing w:after="0" w:line="240" w:lineRule="auto"/>
              <w:jc w:val="center"/>
              <w:rPr>
                <w:rFonts w:ascii="Times New Roman" w:eastAsia="Times New Roman" w:hAnsi="Times New Roman" w:cs="Times New Roman"/>
                <w:b/>
                <w:bCs/>
                <w:color w:val="000000"/>
              </w:rPr>
            </w:pPr>
            <w:r w:rsidRPr="00FB577E">
              <w:rPr>
                <w:rFonts w:ascii="Times New Roman" w:eastAsia="Times New Roman" w:hAnsi="Times New Roman" w:cs="Times New Roman"/>
                <w:b/>
                <w:bCs/>
                <w:color w:val="000000"/>
              </w:rPr>
              <w:t>References</w:t>
            </w:r>
          </w:p>
        </w:tc>
      </w:tr>
      <w:tr w:rsidR="00FB577E" w:rsidRPr="00FB577E" w14:paraId="561A04BD" w14:textId="77777777" w:rsidTr="002F7E6B">
        <w:trPr>
          <w:trHeight w:val="1200"/>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1515CD2D" w14:textId="77777777" w:rsidR="00FB577E" w:rsidRPr="002F7E6B" w:rsidRDefault="00FB577E" w:rsidP="00FB577E">
            <w:pPr>
              <w:spacing w:after="0" w:line="240" w:lineRule="auto"/>
              <w:rPr>
                <w:rFonts w:ascii="Times New Roman" w:eastAsia="Times New Roman" w:hAnsi="Times New Roman" w:cs="Times New Roman"/>
                <w:color w:val="000000"/>
              </w:rPr>
            </w:pPr>
            <w:proofErr w:type="spellStart"/>
            <w:r w:rsidRPr="002F7E6B">
              <w:rPr>
                <w:rFonts w:ascii="Times New Roman" w:eastAsia="Times New Roman" w:hAnsi="Times New Roman" w:cs="Times New Roman"/>
                <w:color w:val="000000"/>
              </w:rPr>
              <w:t>sotB</w:t>
            </w:r>
            <w:proofErr w:type="spellEnd"/>
          </w:p>
        </w:tc>
        <w:tc>
          <w:tcPr>
            <w:tcW w:w="610" w:type="pct"/>
            <w:tcBorders>
              <w:top w:val="nil"/>
              <w:left w:val="nil"/>
              <w:bottom w:val="single" w:sz="4" w:space="0" w:color="auto"/>
              <w:right w:val="single" w:sz="4" w:space="0" w:color="auto"/>
            </w:tcBorders>
            <w:shd w:val="clear" w:color="auto" w:fill="auto"/>
            <w:vAlign w:val="center"/>
            <w:hideMark/>
          </w:tcPr>
          <w:p w14:paraId="006CF65E"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Sugar efflux transporter</w:t>
            </w:r>
          </w:p>
        </w:tc>
        <w:tc>
          <w:tcPr>
            <w:tcW w:w="558" w:type="pct"/>
            <w:tcBorders>
              <w:top w:val="nil"/>
              <w:left w:val="nil"/>
              <w:bottom w:val="single" w:sz="4" w:space="0" w:color="auto"/>
              <w:right w:val="single" w:sz="4" w:space="0" w:color="auto"/>
            </w:tcBorders>
            <w:shd w:val="clear" w:color="auto" w:fill="auto"/>
            <w:vAlign w:val="center"/>
            <w:hideMark/>
          </w:tcPr>
          <w:p w14:paraId="6F341E68"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Prevents intracellular sugar overload</w:t>
            </w:r>
          </w:p>
        </w:tc>
        <w:tc>
          <w:tcPr>
            <w:tcW w:w="1779" w:type="pct"/>
            <w:tcBorders>
              <w:top w:val="nil"/>
              <w:left w:val="nil"/>
              <w:bottom w:val="single" w:sz="4" w:space="0" w:color="auto"/>
              <w:right w:val="single" w:sz="4" w:space="0" w:color="auto"/>
            </w:tcBorders>
            <w:shd w:val="clear" w:color="auto" w:fill="auto"/>
            <w:vAlign w:val="center"/>
            <w:hideMark/>
          </w:tcPr>
          <w:p w14:paraId="3D7F66B5"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Protects cells from osmotic stress caused by high sugar concentrations in root exudates; maintains cytoplasmic balance and supports survival under fluctuating carbon-rich rhizosphere conditions.</w:t>
            </w:r>
          </w:p>
        </w:tc>
        <w:tc>
          <w:tcPr>
            <w:tcW w:w="1546" w:type="pct"/>
            <w:tcBorders>
              <w:top w:val="nil"/>
              <w:left w:val="nil"/>
              <w:bottom w:val="single" w:sz="4" w:space="0" w:color="auto"/>
              <w:right w:val="single" w:sz="4" w:space="0" w:color="auto"/>
            </w:tcBorders>
            <w:shd w:val="clear" w:color="auto" w:fill="auto"/>
            <w:noWrap/>
            <w:vAlign w:val="center"/>
            <w:hideMark/>
          </w:tcPr>
          <w:p w14:paraId="5B93F48F" w14:textId="77777777" w:rsidR="00FB577E" w:rsidRPr="00FB577E" w:rsidRDefault="00FB577E" w:rsidP="00FB577E">
            <w:pPr>
              <w:spacing w:after="0" w:line="240" w:lineRule="auto"/>
              <w:rPr>
                <w:rFonts w:ascii="Times New Roman" w:eastAsia="Times New Roman" w:hAnsi="Times New Roman" w:cs="Times New Roman"/>
                <w:color w:val="000000"/>
              </w:rPr>
            </w:pPr>
            <w:hyperlink r:id="rId22" w:history="1">
              <w:r w:rsidRPr="00FB577E">
                <w:rPr>
                  <w:rFonts w:ascii="Times New Roman" w:eastAsia="Times New Roman" w:hAnsi="Times New Roman" w:cs="Times New Roman"/>
                  <w:color w:val="000000"/>
                </w:rPr>
                <w:t>https://doi.org/10.1038/s42003-025-08749-7</w:t>
              </w:r>
            </w:hyperlink>
          </w:p>
        </w:tc>
      </w:tr>
      <w:tr w:rsidR="00FB577E" w:rsidRPr="00FB577E" w14:paraId="35DF2268" w14:textId="77777777" w:rsidTr="002F7E6B">
        <w:trPr>
          <w:trHeight w:val="1200"/>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3F34AAFD" w14:textId="77777777" w:rsidR="00FB577E" w:rsidRPr="002F7E6B" w:rsidRDefault="00FB577E" w:rsidP="00FB577E">
            <w:pPr>
              <w:spacing w:after="0" w:line="240" w:lineRule="auto"/>
              <w:rPr>
                <w:rFonts w:ascii="Times New Roman" w:eastAsia="Times New Roman" w:hAnsi="Times New Roman" w:cs="Times New Roman"/>
                <w:color w:val="000000"/>
              </w:rPr>
            </w:pPr>
            <w:proofErr w:type="spellStart"/>
            <w:r w:rsidRPr="002F7E6B">
              <w:rPr>
                <w:rFonts w:ascii="Times New Roman" w:eastAsia="Times New Roman" w:hAnsi="Times New Roman" w:cs="Times New Roman"/>
                <w:color w:val="000000"/>
              </w:rPr>
              <w:t>tarQ</w:t>
            </w:r>
            <w:proofErr w:type="spellEnd"/>
          </w:p>
        </w:tc>
        <w:tc>
          <w:tcPr>
            <w:tcW w:w="610" w:type="pct"/>
            <w:tcBorders>
              <w:top w:val="nil"/>
              <w:left w:val="nil"/>
              <w:bottom w:val="single" w:sz="4" w:space="0" w:color="auto"/>
              <w:right w:val="single" w:sz="4" w:space="0" w:color="auto"/>
            </w:tcBorders>
            <w:shd w:val="clear" w:color="auto" w:fill="auto"/>
            <w:vAlign w:val="center"/>
            <w:hideMark/>
          </w:tcPr>
          <w:p w14:paraId="62908E10" w14:textId="77777777" w:rsidR="00FB577E" w:rsidRPr="00FB577E" w:rsidRDefault="00FB577E" w:rsidP="00FB577E">
            <w:pPr>
              <w:spacing w:after="0" w:line="240" w:lineRule="auto"/>
              <w:rPr>
                <w:rFonts w:ascii="Times New Roman" w:eastAsia="Times New Roman" w:hAnsi="Times New Roman" w:cs="Times New Roman"/>
                <w:color w:val="000000"/>
              </w:rPr>
            </w:pPr>
            <w:proofErr w:type="spellStart"/>
            <w:r w:rsidRPr="00FB577E">
              <w:rPr>
                <w:rFonts w:ascii="Times New Roman" w:eastAsia="Times New Roman" w:hAnsi="Times New Roman" w:cs="Times New Roman"/>
                <w:color w:val="000000"/>
              </w:rPr>
              <w:t>Ribitol</w:t>
            </w:r>
            <w:proofErr w:type="spellEnd"/>
            <w:r w:rsidRPr="00FB577E">
              <w:rPr>
                <w:rFonts w:ascii="Times New Roman" w:eastAsia="Times New Roman" w:hAnsi="Times New Roman" w:cs="Times New Roman"/>
                <w:color w:val="000000"/>
              </w:rPr>
              <w:t>-phosphate β-glucosyltransferase</w:t>
            </w:r>
          </w:p>
        </w:tc>
        <w:tc>
          <w:tcPr>
            <w:tcW w:w="558" w:type="pct"/>
            <w:tcBorders>
              <w:top w:val="nil"/>
              <w:left w:val="nil"/>
              <w:bottom w:val="single" w:sz="4" w:space="0" w:color="auto"/>
              <w:right w:val="single" w:sz="4" w:space="0" w:color="auto"/>
            </w:tcBorders>
            <w:shd w:val="clear" w:color="auto" w:fill="auto"/>
            <w:vAlign w:val="center"/>
            <w:hideMark/>
          </w:tcPr>
          <w:p w14:paraId="5EA6FA11"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Teichoic-acid modification</w:t>
            </w:r>
          </w:p>
        </w:tc>
        <w:tc>
          <w:tcPr>
            <w:tcW w:w="1779" w:type="pct"/>
            <w:tcBorders>
              <w:top w:val="nil"/>
              <w:left w:val="nil"/>
              <w:bottom w:val="single" w:sz="4" w:space="0" w:color="auto"/>
              <w:right w:val="single" w:sz="4" w:space="0" w:color="auto"/>
            </w:tcBorders>
            <w:shd w:val="clear" w:color="auto" w:fill="auto"/>
            <w:vAlign w:val="center"/>
            <w:hideMark/>
          </w:tcPr>
          <w:p w14:paraId="46D43A7D"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Enhances adhesion to root surfaces by optimizing WTA charge and structure; increases resistance to plant antimicrobial peptides and phenolics through improved cell-wall shielding.</w:t>
            </w:r>
          </w:p>
        </w:tc>
        <w:tc>
          <w:tcPr>
            <w:tcW w:w="1546" w:type="pct"/>
            <w:tcBorders>
              <w:top w:val="nil"/>
              <w:left w:val="nil"/>
              <w:bottom w:val="single" w:sz="4" w:space="0" w:color="auto"/>
              <w:right w:val="single" w:sz="4" w:space="0" w:color="auto"/>
            </w:tcBorders>
            <w:shd w:val="clear" w:color="auto" w:fill="auto"/>
            <w:noWrap/>
            <w:vAlign w:val="center"/>
            <w:hideMark/>
          </w:tcPr>
          <w:p w14:paraId="56D49EDB" w14:textId="77777777" w:rsidR="00FB577E" w:rsidRPr="00FB577E" w:rsidRDefault="00FB577E" w:rsidP="00FB577E">
            <w:pPr>
              <w:spacing w:after="0" w:line="240" w:lineRule="auto"/>
              <w:rPr>
                <w:rFonts w:ascii="Times New Roman" w:eastAsia="Times New Roman" w:hAnsi="Times New Roman" w:cs="Times New Roman"/>
                <w:color w:val="000000"/>
              </w:rPr>
            </w:pPr>
            <w:hyperlink r:id="rId23" w:history="1">
              <w:r w:rsidRPr="00FB577E">
                <w:rPr>
                  <w:rFonts w:ascii="Times New Roman" w:eastAsia="Times New Roman" w:hAnsi="Times New Roman" w:cs="Times New Roman"/>
                  <w:color w:val="000000"/>
                </w:rPr>
                <w:t>https://doi.org/10.3390/jof11110813</w:t>
              </w:r>
            </w:hyperlink>
          </w:p>
        </w:tc>
      </w:tr>
      <w:tr w:rsidR="00FB577E" w:rsidRPr="00FB577E" w14:paraId="2222FE45" w14:textId="77777777" w:rsidTr="002F7E6B">
        <w:trPr>
          <w:trHeight w:val="900"/>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4C37CA5E" w14:textId="77777777" w:rsidR="00FB577E" w:rsidRPr="002F7E6B" w:rsidRDefault="00FB577E" w:rsidP="00FB577E">
            <w:pPr>
              <w:spacing w:after="0" w:line="240" w:lineRule="auto"/>
              <w:rPr>
                <w:rFonts w:ascii="Times New Roman" w:eastAsia="Times New Roman" w:hAnsi="Times New Roman" w:cs="Times New Roman"/>
                <w:color w:val="000000"/>
              </w:rPr>
            </w:pPr>
            <w:proofErr w:type="spellStart"/>
            <w:r w:rsidRPr="002F7E6B">
              <w:rPr>
                <w:rFonts w:ascii="Times New Roman" w:eastAsia="Times New Roman" w:hAnsi="Times New Roman" w:cs="Times New Roman"/>
                <w:color w:val="000000"/>
              </w:rPr>
              <w:t>tarF</w:t>
            </w:r>
            <w:proofErr w:type="spellEnd"/>
          </w:p>
        </w:tc>
        <w:tc>
          <w:tcPr>
            <w:tcW w:w="610" w:type="pct"/>
            <w:tcBorders>
              <w:top w:val="nil"/>
              <w:left w:val="nil"/>
              <w:bottom w:val="single" w:sz="4" w:space="0" w:color="auto"/>
              <w:right w:val="single" w:sz="4" w:space="0" w:color="auto"/>
            </w:tcBorders>
            <w:shd w:val="clear" w:color="auto" w:fill="auto"/>
            <w:vAlign w:val="center"/>
            <w:hideMark/>
          </w:tcPr>
          <w:p w14:paraId="135B6925"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Glycerol-phosphate polymerase</w:t>
            </w:r>
          </w:p>
        </w:tc>
        <w:tc>
          <w:tcPr>
            <w:tcW w:w="558" w:type="pct"/>
            <w:tcBorders>
              <w:top w:val="nil"/>
              <w:left w:val="nil"/>
              <w:bottom w:val="single" w:sz="4" w:space="0" w:color="auto"/>
              <w:right w:val="single" w:sz="4" w:space="0" w:color="auto"/>
            </w:tcBorders>
            <w:shd w:val="clear" w:color="auto" w:fill="auto"/>
            <w:vAlign w:val="center"/>
            <w:hideMark/>
          </w:tcPr>
          <w:p w14:paraId="34DD609F"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WTA biosynthesis</w:t>
            </w:r>
          </w:p>
        </w:tc>
        <w:tc>
          <w:tcPr>
            <w:tcW w:w="1779" w:type="pct"/>
            <w:tcBorders>
              <w:top w:val="nil"/>
              <w:left w:val="nil"/>
              <w:bottom w:val="single" w:sz="4" w:space="0" w:color="auto"/>
              <w:right w:val="single" w:sz="4" w:space="0" w:color="auto"/>
            </w:tcBorders>
            <w:shd w:val="clear" w:color="auto" w:fill="auto"/>
            <w:vAlign w:val="center"/>
            <w:hideMark/>
          </w:tcPr>
          <w:p w14:paraId="2BD085BC"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Contributes to robust WTA backbone synthesis required for stable biofilm anchoring, root surface colonization, and protection from rhizosphere pH and osmotic shifts.</w:t>
            </w:r>
          </w:p>
        </w:tc>
        <w:tc>
          <w:tcPr>
            <w:tcW w:w="1546" w:type="pct"/>
            <w:tcBorders>
              <w:top w:val="nil"/>
              <w:left w:val="nil"/>
              <w:bottom w:val="single" w:sz="4" w:space="0" w:color="auto"/>
              <w:right w:val="single" w:sz="4" w:space="0" w:color="auto"/>
            </w:tcBorders>
            <w:shd w:val="clear" w:color="auto" w:fill="auto"/>
            <w:noWrap/>
            <w:vAlign w:val="center"/>
            <w:hideMark/>
          </w:tcPr>
          <w:p w14:paraId="79A74C31" w14:textId="77777777" w:rsidR="00FB577E" w:rsidRPr="00FB577E" w:rsidRDefault="00FB577E" w:rsidP="00FB577E">
            <w:pPr>
              <w:spacing w:after="0" w:line="240" w:lineRule="auto"/>
              <w:rPr>
                <w:rFonts w:ascii="Times New Roman" w:eastAsia="Times New Roman" w:hAnsi="Times New Roman" w:cs="Times New Roman"/>
                <w:color w:val="000000"/>
              </w:rPr>
            </w:pPr>
            <w:hyperlink r:id="rId24" w:history="1">
              <w:r w:rsidRPr="00FB577E">
                <w:rPr>
                  <w:rFonts w:ascii="Times New Roman" w:eastAsia="Times New Roman" w:hAnsi="Times New Roman" w:cs="Times New Roman"/>
                  <w:color w:val="000000"/>
                </w:rPr>
                <w:t>https://doi.org/10.12688/f1000research.51874.1</w:t>
              </w:r>
            </w:hyperlink>
          </w:p>
        </w:tc>
      </w:tr>
      <w:tr w:rsidR="00FB577E" w:rsidRPr="00FB577E" w14:paraId="561D8181" w14:textId="77777777" w:rsidTr="002F7E6B">
        <w:trPr>
          <w:trHeight w:val="900"/>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33816A52" w14:textId="77777777" w:rsidR="00FB577E" w:rsidRPr="002F7E6B" w:rsidRDefault="00FB577E" w:rsidP="00FB577E">
            <w:pPr>
              <w:spacing w:after="0" w:line="240" w:lineRule="auto"/>
              <w:rPr>
                <w:rFonts w:ascii="Times New Roman" w:eastAsia="Times New Roman" w:hAnsi="Times New Roman" w:cs="Times New Roman"/>
                <w:color w:val="000000"/>
              </w:rPr>
            </w:pPr>
            <w:proofErr w:type="spellStart"/>
            <w:r w:rsidRPr="002F7E6B">
              <w:rPr>
                <w:rFonts w:ascii="Times New Roman" w:eastAsia="Times New Roman" w:hAnsi="Times New Roman" w:cs="Times New Roman"/>
                <w:color w:val="000000"/>
              </w:rPr>
              <w:t>bcrC</w:t>
            </w:r>
            <w:proofErr w:type="spellEnd"/>
          </w:p>
        </w:tc>
        <w:tc>
          <w:tcPr>
            <w:tcW w:w="610" w:type="pct"/>
            <w:tcBorders>
              <w:top w:val="nil"/>
              <w:left w:val="nil"/>
              <w:bottom w:val="single" w:sz="4" w:space="0" w:color="auto"/>
              <w:right w:val="single" w:sz="4" w:space="0" w:color="auto"/>
            </w:tcBorders>
            <w:shd w:val="clear" w:color="auto" w:fill="auto"/>
            <w:vAlign w:val="center"/>
            <w:hideMark/>
          </w:tcPr>
          <w:p w14:paraId="06D889AF"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Undecaprenyl-diphosphatase</w:t>
            </w:r>
          </w:p>
        </w:tc>
        <w:tc>
          <w:tcPr>
            <w:tcW w:w="558" w:type="pct"/>
            <w:tcBorders>
              <w:top w:val="nil"/>
              <w:left w:val="nil"/>
              <w:bottom w:val="single" w:sz="4" w:space="0" w:color="auto"/>
              <w:right w:val="single" w:sz="4" w:space="0" w:color="auto"/>
            </w:tcBorders>
            <w:shd w:val="clear" w:color="auto" w:fill="auto"/>
            <w:vAlign w:val="center"/>
            <w:hideMark/>
          </w:tcPr>
          <w:p w14:paraId="3C26B366"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Resistance to antimicrobial peptides</w:t>
            </w:r>
          </w:p>
        </w:tc>
        <w:tc>
          <w:tcPr>
            <w:tcW w:w="1779" w:type="pct"/>
            <w:tcBorders>
              <w:top w:val="nil"/>
              <w:left w:val="nil"/>
              <w:bottom w:val="single" w:sz="4" w:space="0" w:color="auto"/>
              <w:right w:val="single" w:sz="4" w:space="0" w:color="auto"/>
            </w:tcBorders>
            <w:shd w:val="clear" w:color="auto" w:fill="auto"/>
            <w:vAlign w:val="center"/>
            <w:hideMark/>
          </w:tcPr>
          <w:p w14:paraId="33BD2C11"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 xml:space="preserve">Provides </w:t>
            </w:r>
            <w:proofErr w:type="spellStart"/>
            <w:r w:rsidRPr="00FB577E">
              <w:rPr>
                <w:rFonts w:ascii="Times New Roman" w:eastAsia="Times New Roman" w:hAnsi="Times New Roman" w:cs="Times New Roman"/>
                <w:color w:val="000000"/>
              </w:rPr>
              <w:t>defense</w:t>
            </w:r>
            <w:proofErr w:type="spellEnd"/>
            <w:r w:rsidRPr="00FB577E">
              <w:rPr>
                <w:rFonts w:ascii="Times New Roman" w:eastAsia="Times New Roman" w:hAnsi="Times New Roman" w:cs="Times New Roman"/>
                <w:color w:val="000000"/>
              </w:rPr>
              <w:t xml:space="preserve"> against plant-derived antimicrobial peptides and saponins by maintaining lipid carrier pools necessary for cell-wall repair and </w:t>
            </w:r>
            <w:proofErr w:type="spellStart"/>
            <w:r w:rsidRPr="00FB577E">
              <w:rPr>
                <w:rFonts w:ascii="Times New Roman" w:eastAsia="Times New Roman" w:hAnsi="Times New Roman" w:cs="Times New Roman"/>
                <w:color w:val="000000"/>
              </w:rPr>
              <w:t>remodeling</w:t>
            </w:r>
            <w:proofErr w:type="spellEnd"/>
            <w:r w:rsidRPr="00FB577E">
              <w:rPr>
                <w:rFonts w:ascii="Times New Roman" w:eastAsia="Times New Roman" w:hAnsi="Times New Roman" w:cs="Times New Roman"/>
                <w:color w:val="000000"/>
              </w:rPr>
              <w:t>.</w:t>
            </w:r>
          </w:p>
        </w:tc>
        <w:tc>
          <w:tcPr>
            <w:tcW w:w="1546" w:type="pct"/>
            <w:tcBorders>
              <w:top w:val="nil"/>
              <w:left w:val="nil"/>
              <w:bottom w:val="single" w:sz="4" w:space="0" w:color="auto"/>
              <w:right w:val="single" w:sz="4" w:space="0" w:color="auto"/>
            </w:tcBorders>
            <w:shd w:val="clear" w:color="auto" w:fill="auto"/>
            <w:noWrap/>
            <w:vAlign w:val="center"/>
            <w:hideMark/>
          </w:tcPr>
          <w:p w14:paraId="7B50641C" w14:textId="77777777" w:rsidR="00FB577E" w:rsidRPr="00FB577E" w:rsidRDefault="00FB577E" w:rsidP="00FB577E">
            <w:pPr>
              <w:spacing w:after="0" w:line="240" w:lineRule="auto"/>
              <w:rPr>
                <w:rFonts w:ascii="Times New Roman" w:eastAsia="Times New Roman" w:hAnsi="Times New Roman" w:cs="Times New Roman"/>
                <w:color w:val="000000"/>
              </w:rPr>
            </w:pPr>
            <w:hyperlink r:id="rId25" w:history="1">
              <w:r w:rsidRPr="00FB577E">
                <w:rPr>
                  <w:rFonts w:ascii="Times New Roman" w:eastAsia="Times New Roman" w:hAnsi="Times New Roman" w:cs="Times New Roman"/>
                  <w:color w:val="000000"/>
                </w:rPr>
                <w:t>https://doi.org/10.3390/biology12121519</w:t>
              </w:r>
            </w:hyperlink>
          </w:p>
        </w:tc>
      </w:tr>
      <w:tr w:rsidR="00FB577E" w:rsidRPr="00FB577E" w14:paraId="324AE365" w14:textId="77777777" w:rsidTr="002F7E6B">
        <w:trPr>
          <w:trHeight w:val="900"/>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44FE0B1A" w14:textId="77777777" w:rsidR="00FB577E" w:rsidRPr="002F7E6B" w:rsidRDefault="00FB577E" w:rsidP="00FB577E">
            <w:pPr>
              <w:spacing w:after="0" w:line="240" w:lineRule="auto"/>
              <w:rPr>
                <w:rFonts w:ascii="Times New Roman" w:eastAsia="Times New Roman" w:hAnsi="Times New Roman" w:cs="Times New Roman"/>
                <w:color w:val="000000"/>
              </w:rPr>
            </w:pPr>
            <w:proofErr w:type="spellStart"/>
            <w:r w:rsidRPr="002F7E6B">
              <w:rPr>
                <w:rFonts w:ascii="Times New Roman" w:eastAsia="Times New Roman" w:hAnsi="Times New Roman" w:cs="Times New Roman"/>
                <w:color w:val="000000"/>
              </w:rPr>
              <w:t>tagU</w:t>
            </w:r>
            <w:proofErr w:type="spellEnd"/>
          </w:p>
        </w:tc>
        <w:tc>
          <w:tcPr>
            <w:tcW w:w="610" w:type="pct"/>
            <w:tcBorders>
              <w:top w:val="nil"/>
              <w:left w:val="nil"/>
              <w:bottom w:val="single" w:sz="4" w:space="0" w:color="auto"/>
              <w:right w:val="single" w:sz="4" w:space="0" w:color="auto"/>
            </w:tcBorders>
            <w:shd w:val="clear" w:color="auto" w:fill="auto"/>
            <w:vAlign w:val="center"/>
            <w:hideMark/>
          </w:tcPr>
          <w:p w14:paraId="60FCCB18"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Teichoic acid transferase</w:t>
            </w:r>
          </w:p>
        </w:tc>
        <w:tc>
          <w:tcPr>
            <w:tcW w:w="558" w:type="pct"/>
            <w:tcBorders>
              <w:top w:val="nil"/>
              <w:left w:val="nil"/>
              <w:bottom w:val="single" w:sz="4" w:space="0" w:color="auto"/>
              <w:right w:val="single" w:sz="4" w:space="0" w:color="auto"/>
            </w:tcBorders>
            <w:shd w:val="clear" w:color="auto" w:fill="auto"/>
            <w:vAlign w:val="center"/>
            <w:hideMark/>
          </w:tcPr>
          <w:p w14:paraId="5D085213"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WTA anchoring to peptidoglycan</w:t>
            </w:r>
          </w:p>
        </w:tc>
        <w:tc>
          <w:tcPr>
            <w:tcW w:w="1779" w:type="pct"/>
            <w:tcBorders>
              <w:top w:val="nil"/>
              <w:left w:val="nil"/>
              <w:bottom w:val="single" w:sz="4" w:space="0" w:color="auto"/>
              <w:right w:val="single" w:sz="4" w:space="0" w:color="auto"/>
            </w:tcBorders>
            <w:shd w:val="clear" w:color="auto" w:fill="auto"/>
            <w:vAlign w:val="center"/>
            <w:hideMark/>
          </w:tcPr>
          <w:p w14:paraId="2341947F"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Strengthens physical adhesion to plant roots by anchoring WTAs firmly to peptidoglycan, supporting initial attachment and persistent colonization.</w:t>
            </w:r>
          </w:p>
        </w:tc>
        <w:tc>
          <w:tcPr>
            <w:tcW w:w="1546" w:type="pct"/>
            <w:tcBorders>
              <w:top w:val="nil"/>
              <w:left w:val="nil"/>
              <w:bottom w:val="single" w:sz="4" w:space="0" w:color="auto"/>
              <w:right w:val="single" w:sz="4" w:space="0" w:color="auto"/>
            </w:tcBorders>
            <w:shd w:val="clear" w:color="auto" w:fill="auto"/>
            <w:noWrap/>
            <w:vAlign w:val="center"/>
            <w:hideMark/>
          </w:tcPr>
          <w:p w14:paraId="25EA8DB3" w14:textId="77777777" w:rsidR="00FB577E" w:rsidRPr="00FB577E" w:rsidRDefault="00FB577E" w:rsidP="00FB577E">
            <w:pPr>
              <w:spacing w:after="0" w:line="240" w:lineRule="auto"/>
              <w:rPr>
                <w:rFonts w:ascii="Times New Roman" w:eastAsia="Times New Roman" w:hAnsi="Times New Roman" w:cs="Times New Roman"/>
                <w:color w:val="000000"/>
              </w:rPr>
            </w:pPr>
            <w:hyperlink r:id="rId26" w:history="1">
              <w:r w:rsidRPr="00FB577E">
                <w:rPr>
                  <w:rFonts w:ascii="Times New Roman" w:eastAsia="Times New Roman" w:hAnsi="Times New Roman" w:cs="Times New Roman"/>
                  <w:color w:val="000000"/>
                </w:rPr>
                <w:t>https://doi.org/10.1111/1751-7915.14118</w:t>
              </w:r>
            </w:hyperlink>
          </w:p>
        </w:tc>
      </w:tr>
      <w:tr w:rsidR="00FB577E" w:rsidRPr="00FB577E" w14:paraId="669115E7" w14:textId="77777777" w:rsidTr="002F7E6B">
        <w:trPr>
          <w:trHeight w:val="900"/>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7E026B96" w14:textId="77777777" w:rsidR="00FB577E" w:rsidRPr="002F7E6B" w:rsidRDefault="00FB577E" w:rsidP="00FB577E">
            <w:pPr>
              <w:spacing w:after="0" w:line="240" w:lineRule="auto"/>
              <w:rPr>
                <w:rFonts w:ascii="Times New Roman" w:eastAsia="Times New Roman" w:hAnsi="Times New Roman" w:cs="Times New Roman"/>
                <w:color w:val="000000"/>
              </w:rPr>
            </w:pPr>
            <w:proofErr w:type="spellStart"/>
            <w:r w:rsidRPr="002F7E6B">
              <w:rPr>
                <w:rFonts w:ascii="Times New Roman" w:eastAsia="Times New Roman" w:hAnsi="Times New Roman" w:cs="Times New Roman"/>
                <w:color w:val="000000"/>
              </w:rPr>
              <w:t>emrB</w:t>
            </w:r>
            <w:proofErr w:type="spellEnd"/>
          </w:p>
        </w:tc>
        <w:tc>
          <w:tcPr>
            <w:tcW w:w="610" w:type="pct"/>
            <w:tcBorders>
              <w:top w:val="nil"/>
              <w:left w:val="nil"/>
              <w:bottom w:val="single" w:sz="4" w:space="0" w:color="auto"/>
              <w:right w:val="single" w:sz="4" w:space="0" w:color="auto"/>
            </w:tcBorders>
            <w:shd w:val="clear" w:color="auto" w:fill="auto"/>
            <w:vAlign w:val="center"/>
            <w:hideMark/>
          </w:tcPr>
          <w:p w14:paraId="3DE647C9"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Multidrug exporter</w:t>
            </w:r>
          </w:p>
        </w:tc>
        <w:tc>
          <w:tcPr>
            <w:tcW w:w="558" w:type="pct"/>
            <w:tcBorders>
              <w:top w:val="nil"/>
              <w:left w:val="nil"/>
              <w:bottom w:val="single" w:sz="4" w:space="0" w:color="auto"/>
              <w:right w:val="single" w:sz="4" w:space="0" w:color="auto"/>
            </w:tcBorders>
            <w:shd w:val="clear" w:color="auto" w:fill="auto"/>
            <w:vAlign w:val="center"/>
            <w:hideMark/>
          </w:tcPr>
          <w:p w14:paraId="465CD23F"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Detoxification</w:t>
            </w:r>
          </w:p>
        </w:tc>
        <w:tc>
          <w:tcPr>
            <w:tcW w:w="1779" w:type="pct"/>
            <w:tcBorders>
              <w:top w:val="nil"/>
              <w:left w:val="nil"/>
              <w:bottom w:val="single" w:sz="4" w:space="0" w:color="auto"/>
              <w:right w:val="single" w:sz="4" w:space="0" w:color="auto"/>
            </w:tcBorders>
            <w:shd w:val="clear" w:color="auto" w:fill="auto"/>
            <w:vAlign w:val="center"/>
            <w:hideMark/>
          </w:tcPr>
          <w:p w14:paraId="71FA87C3"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 xml:space="preserve">Pumps out toxic plant secondary metabolites, flavonoids, and antimicrobials present in root </w:t>
            </w:r>
            <w:r w:rsidRPr="00FB577E">
              <w:rPr>
                <w:rFonts w:ascii="Times New Roman" w:eastAsia="Times New Roman" w:hAnsi="Times New Roman" w:cs="Times New Roman"/>
                <w:color w:val="000000"/>
              </w:rPr>
              <w:lastRenderedPageBreak/>
              <w:t>exudates, enhancing survival in hostile rhizosphere niches.</w:t>
            </w:r>
          </w:p>
        </w:tc>
        <w:tc>
          <w:tcPr>
            <w:tcW w:w="1546" w:type="pct"/>
            <w:tcBorders>
              <w:top w:val="nil"/>
              <w:left w:val="nil"/>
              <w:bottom w:val="single" w:sz="4" w:space="0" w:color="auto"/>
              <w:right w:val="single" w:sz="4" w:space="0" w:color="auto"/>
            </w:tcBorders>
            <w:shd w:val="clear" w:color="auto" w:fill="auto"/>
            <w:noWrap/>
            <w:vAlign w:val="center"/>
            <w:hideMark/>
          </w:tcPr>
          <w:p w14:paraId="33372B9E" w14:textId="77777777" w:rsidR="00FB577E" w:rsidRPr="00FB577E" w:rsidRDefault="00FB577E" w:rsidP="00FB577E">
            <w:pPr>
              <w:spacing w:after="0" w:line="240" w:lineRule="auto"/>
              <w:rPr>
                <w:rFonts w:ascii="Times New Roman" w:eastAsia="Times New Roman" w:hAnsi="Times New Roman" w:cs="Times New Roman"/>
                <w:color w:val="000000"/>
              </w:rPr>
            </w:pPr>
            <w:hyperlink r:id="rId27" w:history="1">
              <w:r w:rsidRPr="00FB577E">
                <w:rPr>
                  <w:rFonts w:ascii="Times New Roman" w:eastAsia="Times New Roman" w:hAnsi="Times New Roman" w:cs="Times New Roman"/>
                  <w:color w:val="000000"/>
                </w:rPr>
                <w:t>https://doi.org/10.2478/am-2022-009</w:t>
              </w:r>
            </w:hyperlink>
          </w:p>
        </w:tc>
      </w:tr>
      <w:tr w:rsidR="00FB577E" w:rsidRPr="00FB577E" w14:paraId="4916B288" w14:textId="77777777" w:rsidTr="002F7E6B">
        <w:trPr>
          <w:trHeight w:val="900"/>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67022006" w14:textId="77777777" w:rsidR="00FB577E" w:rsidRPr="002F7E6B" w:rsidRDefault="00FB577E" w:rsidP="00FB577E">
            <w:pPr>
              <w:spacing w:after="0" w:line="240" w:lineRule="auto"/>
              <w:rPr>
                <w:rFonts w:ascii="Times New Roman" w:eastAsia="Times New Roman" w:hAnsi="Times New Roman" w:cs="Times New Roman"/>
                <w:color w:val="000000"/>
              </w:rPr>
            </w:pPr>
            <w:proofErr w:type="spellStart"/>
            <w:r w:rsidRPr="002F7E6B">
              <w:rPr>
                <w:rFonts w:ascii="Times New Roman" w:eastAsia="Times New Roman" w:hAnsi="Times New Roman" w:cs="Times New Roman"/>
                <w:color w:val="000000"/>
              </w:rPr>
              <w:t>mdaB</w:t>
            </w:r>
            <w:proofErr w:type="spellEnd"/>
          </w:p>
        </w:tc>
        <w:tc>
          <w:tcPr>
            <w:tcW w:w="610" w:type="pct"/>
            <w:tcBorders>
              <w:top w:val="nil"/>
              <w:left w:val="nil"/>
              <w:bottom w:val="single" w:sz="4" w:space="0" w:color="auto"/>
              <w:right w:val="single" w:sz="4" w:space="0" w:color="auto"/>
            </w:tcBorders>
            <w:shd w:val="clear" w:color="auto" w:fill="auto"/>
            <w:vAlign w:val="center"/>
            <w:hideMark/>
          </w:tcPr>
          <w:p w14:paraId="57936F9A"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Quinone oxidoreductase</w:t>
            </w:r>
          </w:p>
        </w:tc>
        <w:tc>
          <w:tcPr>
            <w:tcW w:w="558" w:type="pct"/>
            <w:tcBorders>
              <w:top w:val="nil"/>
              <w:left w:val="nil"/>
              <w:bottom w:val="single" w:sz="4" w:space="0" w:color="auto"/>
              <w:right w:val="single" w:sz="4" w:space="0" w:color="auto"/>
            </w:tcBorders>
            <w:shd w:val="clear" w:color="auto" w:fill="auto"/>
            <w:vAlign w:val="center"/>
            <w:hideMark/>
          </w:tcPr>
          <w:p w14:paraId="4E2D5697"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 xml:space="preserve">Oxidative stress </w:t>
            </w:r>
            <w:proofErr w:type="spellStart"/>
            <w:r w:rsidRPr="00FB577E">
              <w:rPr>
                <w:rFonts w:ascii="Times New Roman" w:eastAsia="Times New Roman" w:hAnsi="Times New Roman" w:cs="Times New Roman"/>
                <w:color w:val="000000"/>
              </w:rPr>
              <w:t>defense</w:t>
            </w:r>
            <w:proofErr w:type="spellEnd"/>
          </w:p>
        </w:tc>
        <w:tc>
          <w:tcPr>
            <w:tcW w:w="1779" w:type="pct"/>
            <w:tcBorders>
              <w:top w:val="nil"/>
              <w:left w:val="nil"/>
              <w:bottom w:val="single" w:sz="4" w:space="0" w:color="auto"/>
              <w:right w:val="single" w:sz="4" w:space="0" w:color="auto"/>
            </w:tcBorders>
            <w:shd w:val="clear" w:color="auto" w:fill="auto"/>
            <w:vAlign w:val="center"/>
            <w:hideMark/>
          </w:tcPr>
          <w:p w14:paraId="3C5FAB0F"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 xml:space="preserve">Neutralizes quinones and reactive oxygen species generated by plant </w:t>
            </w:r>
            <w:proofErr w:type="spellStart"/>
            <w:r w:rsidRPr="00FB577E">
              <w:rPr>
                <w:rFonts w:ascii="Times New Roman" w:eastAsia="Times New Roman" w:hAnsi="Times New Roman" w:cs="Times New Roman"/>
                <w:color w:val="000000"/>
              </w:rPr>
              <w:t>defense</w:t>
            </w:r>
            <w:proofErr w:type="spellEnd"/>
            <w:r w:rsidRPr="00FB577E">
              <w:rPr>
                <w:rFonts w:ascii="Times New Roman" w:eastAsia="Times New Roman" w:hAnsi="Times New Roman" w:cs="Times New Roman"/>
                <w:color w:val="000000"/>
              </w:rPr>
              <w:t xml:space="preserve"> responses; protects cells from oxidative bursts around the root zone.</w:t>
            </w:r>
          </w:p>
        </w:tc>
        <w:tc>
          <w:tcPr>
            <w:tcW w:w="1546" w:type="pct"/>
            <w:tcBorders>
              <w:top w:val="nil"/>
              <w:left w:val="nil"/>
              <w:bottom w:val="single" w:sz="4" w:space="0" w:color="auto"/>
              <w:right w:val="single" w:sz="4" w:space="0" w:color="auto"/>
            </w:tcBorders>
            <w:shd w:val="clear" w:color="auto" w:fill="auto"/>
            <w:noWrap/>
            <w:vAlign w:val="center"/>
            <w:hideMark/>
          </w:tcPr>
          <w:p w14:paraId="3D322DE0" w14:textId="77777777" w:rsidR="00FB577E" w:rsidRPr="00FB577E" w:rsidRDefault="00FB577E" w:rsidP="00FB577E">
            <w:pPr>
              <w:spacing w:after="0" w:line="240" w:lineRule="auto"/>
              <w:rPr>
                <w:rFonts w:ascii="Times New Roman" w:eastAsia="Times New Roman" w:hAnsi="Times New Roman" w:cs="Times New Roman"/>
                <w:color w:val="000000"/>
              </w:rPr>
            </w:pPr>
            <w:hyperlink r:id="rId28" w:history="1">
              <w:r w:rsidRPr="00FB577E">
                <w:rPr>
                  <w:rFonts w:ascii="Times New Roman" w:eastAsia="Times New Roman" w:hAnsi="Times New Roman" w:cs="Times New Roman"/>
                  <w:color w:val="000000"/>
                </w:rPr>
                <w:t>https://doi.org/10.1128/JB.00421-21</w:t>
              </w:r>
            </w:hyperlink>
          </w:p>
        </w:tc>
      </w:tr>
      <w:tr w:rsidR="00FB577E" w:rsidRPr="00FB577E" w14:paraId="1BEABD2B" w14:textId="77777777" w:rsidTr="002F7E6B">
        <w:trPr>
          <w:trHeight w:val="900"/>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06CBE22D" w14:textId="77777777" w:rsidR="00FB577E" w:rsidRPr="002F7E6B" w:rsidRDefault="00FB577E" w:rsidP="00FB577E">
            <w:pPr>
              <w:spacing w:after="0" w:line="240" w:lineRule="auto"/>
              <w:rPr>
                <w:rFonts w:ascii="Times New Roman" w:eastAsia="Times New Roman" w:hAnsi="Times New Roman" w:cs="Times New Roman"/>
                <w:color w:val="000000"/>
              </w:rPr>
            </w:pPr>
            <w:proofErr w:type="spellStart"/>
            <w:r w:rsidRPr="002F7E6B">
              <w:rPr>
                <w:rFonts w:ascii="Times New Roman" w:eastAsia="Times New Roman" w:hAnsi="Times New Roman" w:cs="Times New Roman"/>
                <w:color w:val="000000"/>
              </w:rPr>
              <w:t>fabG</w:t>
            </w:r>
            <w:proofErr w:type="spellEnd"/>
          </w:p>
        </w:tc>
        <w:tc>
          <w:tcPr>
            <w:tcW w:w="610" w:type="pct"/>
            <w:tcBorders>
              <w:top w:val="nil"/>
              <w:left w:val="nil"/>
              <w:bottom w:val="single" w:sz="4" w:space="0" w:color="auto"/>
              <w:right w:val="single" w:sz="4" w:space="0" w:color="auto"/>
            </w:tcBorders>
            <w:shd w:val="clear" w:color="auto" w:fill="auto"/>
            <w:vAlign w:val="center"/>
            <w:hideMark/>
          </w:tcPr>
          <w:p w14:paraId="56B098DC"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Fatty-acid reductase</w:t>
            </w:r>
          </w:p>
        </w:tc>
        <w:tc>
          <w:tcPr>
            <w:tcW w:w="558" w:type="pct"/>
            <w:tcBorders>
              <w:top w:val="nil"/>
              <w:left w:val="nil"/>
              <w:bottom w:val="single" w:sz="4" w:space="0" w:color="auto"/>
              <w:right w:val="single" w:sz="4" w:space="0" w:color="auto"/>
            </w:tcBorders>
            <w:shd w:val="clear" w:color="auto" w:fill="auto"/>
            <w:vAlign w:val="center"/>
            <w:hideMark/>
          </w:tcPr>
          <w:p w14:paraId="4FE518D2"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Membrane adaptation</w:t>
            </w:r>
          </w:p>
        </w:tc>
        <w:tc>
          <w:tcPr>
            <w:tcW w:w="1779" w:type="pct"/>
            <w:tcBorders>
              <w:top w:val="nil"/>
              <w:left w:val="nil"/>
              <w:bottom w:val="single" w:sz="4" w:space="0" w:color="auto"/>
              <w:right w:val="single" w:sz="4" w:space="0" w:color="auto"/>
            </w:tcBorders>
            <w:shd w:val="clear" w:color="auto" w:fill="auto"/>
            <w:vAlign w:val="center"/>
            <w:hideMark/>
          </w:tcPr>
          <w:p w14:paraId="22F61585"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Maintains membrane fluidity and integrity under root-induced stresses (phenolics, pH shifts, osmotic gradients), enabling sustained colonization.</w:t>
            </w:r>
          </w:p>
        </w:tc>
        <w:tc>
          <w:tcPr>
            <w:tcW w:w="1546" w:type="pct"/>
            <w:tcBorders>
              <w:top w:val="nil"/>
              <w:left w:val="nil"/>
              <w:bottom w:val="single" w:sz="4" w:space="0" w:color="auto"/>
              <w:right w:val="single" w:sz="4" w:space="0" w:color="auto"/>
            </w:tcBorders>
            <w:shd w:val="clear" w:color="auto" w:fill="auto"/>
            <w:noWrap/>
            <w:vAlign w:val="center"/>
            <w:hideMark/>
          </w:tcPr>
          <w:p w14:paraId="55A45200" w14:textId="77777777" w:rsidR="00FB577E" w:rsidRPr="00FB577E" w:rsidRDefault="00FB577E" w:rsidP="00FB577E">
            <w:pPr>
              <w:spacing w:after="0" w:line="240" w:lineRule="auto"/>
              <w:rPr>
                <w:rFonts w:ascii="Times New Roman" w:eastAsia="Times New Roman" w:hAnsi="Times New Roman" w:cs="Times New Roman"/>
                <w:color w:val="000000"/>
              </w:rPr>
            </w:pPr>
            <w:hyperlink r:id="rId29" w:history="1">
              <w:r w:rsidRPr="00FB577E">
                <w:rPr>
                  <w:rFonts w:ascii="Times New Roman" w:eastAsia="Times New Roman" w:hAnsi="Times New Roman" w:cs="Times New Roman"/>
                  <w:color w:val="000000"/>
                </w:rPr>
                <w:t>https://doi.org/10.1128/mmbr.00069-23</w:t>
              </w:r>
            </w:hyperlink>
          </w:p>
        </w:tc>
      </w:tr>
      <w:tr w:rsidR="00FB577E" w:rsidRPr="00FB577E" w14:paraId="7EF46C72" w14:textId="77777777" w:rsidTr="002F7E6B">
        <w:trPr>
          <w:trHeight w:val="1200"/>
        </w:trPr>
        <w:tc>
          <w:tcPr>
            <w:tcW w:w="507" w:type="pct"/>
            <w:tcBorders>
              <w:top w:val="nil"/>
              <w:left w:val="single" w:sz="4" w:space="0" w:color="auto"/>
              <w:bottom w:val="single" w:sz="4" w:space="0" w:color="auto"/>
              <w:right w:val="single" w:sz="4" w:space="0" w:color="auto"/>
            </w:tcBorders>
            <w:shd w:val="clear" w:color="auto" w:fill="auto"/>
            <w:vAlign w:val="center"/>
            <w:hideMark/>
          </w:tcPr>
          <w:p w14:paraId="1767D511" w14:textId="77777777" w:rsidR="00FB577E" w:rsidRPr="002F7E6B" w:rsidRDefault="00FB577E" w:rsidP="00FB577E">
            <w:pPr>
              <w:spacing w:after="0" w:line="240" w:lineRule="auto"/>
              <w:rPr>
                <w:rFonts w:ascii="Times New Roman" w:eastAsia="Times New Roman" w:hAnsi="Times New Roman" w:cs="Times New Roman"/>
                <w:color w:val="000000"/>
              </w:rPr>
            </w:pPr>
            <w:proofErr w:type="spellStart"/>
            <w:r w:rsidRPr="002F7E6B">
              <w:rPr>
                <w:rFonts w:ascii="Times New Roman" w:eastAsia="Times New Roman" w:hAnsi="Times New Roman" w:cs="Times New Roman"/>
                <w:color w:val="000000"/>
              </w:rPr>
              <w:t>comP</w:t>
            </w:r>
            <w:proofErr w:type="spellEnd"/>
          </w:p>
        </w:tc>
        <w:tc>
          <w:tcPr>
            <w:tcW w:w="610" w:type="pct"/>
            <w:tcBorders>
              <w:top w:val="nil"/>
              <w:left w:val="nil"/>
              <w:bottom w:val="single" w:sz="4" w:space="0" w:color="auto"/>
              <w:right w:val="single" w:sz="4" w:space="0" w:color="auto"/>
            </w:tcBorders>
            <w:shd w:val="clear" w:color="auto" w:fill="auto"/>
            <w:vAlign w:val="center"/>
            <w:hideMark/>
          </w:tcPr>
          <w:p w14:paraId="0565BABB"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Sensor histidine kinase</w:t>
            </w:r>
          </w:p>
        </w:tc>
        <w:tc>
          <w:tcPr>
            <w:tcW w:w="558" w:type="pct"/>
            <w:tcBorders>
              <w:top w:val="nil"/>
              <w:left w:val="nil"/>
              <w:bottom w:val="single" w:sz="4" w:space="0" w:color="auto"/>
              <w:right w:val="single" w:sz="4" w:space="0" w:color="auto"/>
            </w:tcBorders>
            <w:shd w:val="clear" w:color="auto" w:fill="auto"/>
            <w:vAlign w:val="center"/>
            <w:hideMark/>
          </w:tcPr>
          <w:p w14:paraId="2AB94B56"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Biofilm &amp; competence regulation</w:t>
            </w:r>
          </w:p>
        </w:tc>
        <w:tc>
          <w:tcPr>
            <w:tcW w:w="1779" w:type="pct"/>
            <w:tcBorders>
              <w:top w:val="nil"/>
              <w:left w:val="nil"/>
              <w:bottom w:val="single" w:sz="4" w:space="0" w:color="auto"/>
              <w:right w:val="single" w:sz="4" w:space="0" w:color="auto"/>
            </w:tcBorders>
            <w:shd w:val="clear" w:color="auto" w:fill="auto"/>
            <w:vAlign w:val="center"/>
            <w:hideMark/>
          </w:tcPr>
          <w:p w14:paraId="218BECF3" w14:textId="77777777" w:rsidR="00FB577E" w:rsidRPr="00FB577E" w:rsidRDefault="00FB577E" w:rsidP="00FB577E">
            <w:pPr>
              <w:spacing w:after="0" w:line="240" w:lineRule="auto"/>
              <w:rPr>
                <w:rFonts w:ascii="Times New Roman" w:eastAsia="Times New Roman" w:hAnsi="Times New Roman" w:cs="Times New Roman"/>
                <w:color w:val="000000"/>
              </w:rPr>
            </w:pPr>
            <w:r w:rsidRPr="00FB577E">
              <w:rPr>
                <w:rFonts w:ascii="Times New Roman" w:eastAsia="Times New Roman" w:hAnsi="Times New Roman" w:cs="Times New Roman"/>
                <w:color w:val="000000"/>
              </w:rPr>
              <w:t>Detects root exudate signals (flavonoids, organic acids) and activates biofilm formation, competence, and stress-response pathways essential for rhizosphere establishment.</w:t>
            </w:r>
          </w:p>
        </w:tc>
        <w:tc>
          <w:tcPr>
            <w:tcW w:w="1546" w:type="pct"/>
            <w:tcBorders>
              <w:top w:val="nil"/>
              <w:left w:val="nil"/>
              <w:bottom w:val="single" w:sz="4" w:space="0" w:color="auto"/>
              <w:right w:val="single" w:sz="4" w:space="0" w:color="auto"/>
            </w:tcBorders>
            <w:shd w:val="clear" w:color="auto" w:fill="auto"/>
            <w:noWrap/>
            <w:vAlign w:val="center"/>
            <w:hideMark/>
          </w:tcPr>
          <w:p w14:paraId="100DDD6E" w14:textId="77777777" w:rsidR="00FB577E" w:rsidRPr="00FB577E" w:rsidRDefault="00FB577E" w:rsidP="00FB577E">
            <w:pPr>
              <w:spacing w:after="0" w:line="240" w:lineRule="auto"/>
              <w:rPr>
                <w:rFonts w:ascii="Times New Roman" w:eastAsia="Times New Roman" w:hAnsi="Times New Roman" w:cs="Times New Roman"/>
                <w:color w:val="000000"/>
              </w:rPr>
            </w:pPr>
            <w:hyperlink r:id="rId30" w:history="1">
              <w:r w:rsidRPr="00FB577E">
                <w:rPr>
                  <w:rFonts w:ascii="Times New Roman" w:eastAsia="Times New Roman" w:hAnsi="Times New Roman" w:cs="Times New Roman"/>
                  <w:color w:val="000000"/>
                </w:rPr>
                <w:t>https://doi.org/10.1042/BSR20220352</w:t>
              </w:r>
            </w:hyperlink>
          </w:p>
        </w:tc>
      </w:tr>
    </w:tbl>
    <w:p w14:paraId="7BD7D6AC" w14:textId="77777777" w:rsidR="002F7E6B" w:rsidRDefault="002F7E6B" w:rsidP="00FB577E">
      <w:pPr>
        <w:jc w:val="both"/>
        <w:rPr>
          <w:rFonts w:ascii="Times New Roman" w:eastAsia="Times New Roman" w:hAnsi="Times New Roman" w:cs="Times New Roman"/>
          <w:b/>
          <w:bCs/>
        </w:rPr>
      </w:pPr>
    </w:p>
    <w:p w14:paraId="76DFDF3C" w14:textId="77777777" w:rsidR="002F7E6B" w:rsidRDefault="002F7E6B" w:rsidP="00FB577E">
      <w:pPr>
        <w:jc w:val="both"/>
        <w:rPr>
          <w:rFonts w:ascii="Times New Roman" w:eastAsia="Times New Roman" w:hAnsi="Times New Roman" w:cs="Times New Roman"/>
          <w:b/>
          <w:bCs/>
        </w:rPr>
      </w:pPr>
    </w:p>
    <w:p w14:paraId="315B6F06" w14:textId="77777777" w:rsidR="002F7E6B" w:rsidRDefault="002F7E6B" w:rsidP="00FB577E">
      <w:pPr>
        <w:jc w:val="both"/>
        <w:rPr>
          <w:rFonts w:ascii="Times New Roman" w:eastAsia="Times New Roman" w:hAnsi="Times New Roman" w:cs="Times New Roman"/>
          <w:b/>
          <w:bCs/>
        </w:rPr>
      </w:pPr>
    </w:p>
    <w:p w14:paraId="0CDC11E5" w14:textId="77777777" w:rsidR="002F7E6B" w:rsidRDefault="002F7E6B" w:rsidP="00FB577E">
      <w:pPr>
        <w:jc w:val="both"/>
        <w:rPr>
          <w:rFonts w:ascii="Times New Roman" w:eastAsia="Times New Roman" w:hAnsi="Times New Roman" w:cs="Times New Roman"/>
          <w:b/>
          <w:bCs/>
        </w:rPr>
      </w:pPr>
    </w:p>
    <w:p w14:paraId="39177D0A" w14:textId="77777777" w:rsidR="002F7E6B" w:rsidRDefault="002F7E6B" w:rsidP="00FB577E">
      <w:pPr>
        <w:jc w:val="both"/>
        <w:rPr>
          <w:rFonts w:ascii="Times New Roman" w:eastAsia="Times New Roman" w:hAnsi="Times New Roman" w:cs="Times New Roman"/>
          <w:b/>
          <w:bCs/>
        </w:rPr>
      </w:pPr>
    </w:p>
    <w:p w14:paraId="7E0070BB" w14:textId="77777777" w:rsidR="002F7E6B" w:rsidRDefault="002F7E6B" w:rsidP="00FB577E">
      <w:pPr>
        <w:jc w:val="both"/>
        <w:rPr>
          <w:rFonts w:ascii="Times New Roman" w:eastAsia="Times New Roman" w:hAnsi="Times New Roman" w:cs="Times New Roman"/>
          <w:b/>
          <w:bCs/>
        </w:rPr>
      </w:pPr>
    </w:p>
    <w:p w14:paraId="5E670B2C" w14:textId="77777777" w:rsidR="002F7E6B" w:rsidRDefault="002F7E6B" w:rsidP="00FB577E">
      <w:pPr>
        <w:jc w:val="both"/>
        <w:rPr>
          <w:rFonts w:ascii="Times New Roman" w:eastAsia="Times New Roman" w:hAnsi="Times New Roman" w:cs="Times New Roman"/>
          <w:b/>
          <w:bCs/>
        </w:rPr>
      </w:pPr>
    </w:p>
    <w:p w14:paraId="3B25DF08" w14:textId="77777777" w:rsidR="002F7E6B" w:rsidRDefault="002F7E6B" w:rsidP="00FB577E">
      <w:pPr>
        <w:jc w:val="both"/>
        <w:rPr>
          <w:rFonts w:ascii="Times New Roman" w:eastAsia="Times New Roman" w:hAnsi="Times New Roman" w:cs="Times New Roman"/>
          <w:b/>
          <w:bCs/>
        </w:rPr>
      </w:pPr>
    </w:p>
    <w:p w14:paraId="4BEC69C0" w14:textId="77777777" w:rsidR="002F7E6B" w:rsidRDefault="002F7E6B" w:rsidP="00FB577E">
      <w:pPr>
        <w:jc w:val="both"/>
        <w:rPr>
          <w:rFonts w:ascii="Times New Roman" w:eastAsia="Times New Roman" w:hAnsi="Times New Roman" w:cs="Times New Roman"/>
          <w:b/>
          <w:bCs/>
        </w:rPr>
      </w:pPr>
    </w:p>
    <w:p w14:paraId="77CFDF66" w14:textId="36EA0C73" w:rsidR="00FB577E" w:rsidRDefault="00FB577E" w:rsidP="00FB577E">
      <w:pPr>
        <w:jc w:val="both"/>
        <w:rPr>
          <w:rFonts w:ascii="Times New Roman" w:eastAsia="Times New Roman" w:hAnsi="Times New Roman" w:cs="Times New Roman"/>
          <w:b/>
          <w:bCs/>
        </w:rPr>
      </w:pPr>
      <w:r w:rsidRPr="00FB577E">
        <w:rPr>
          <w:rFonts w:ascii="Times New Roman" w:eastAsia="Times New Roman" w:hAnsi="Times New Roman" w:cs="Times New Roman"/>
          <w:b/>
          <w:bCs/>
        </w:rPr>
        <w:t>Table S</w:t>
      </w:r>
      <w:r>
        <w:rPr>
          <w:rFonts w:ascii="Times New Roman" w:eastAsia="Times New Roman" w:hAnsi="Times New Roman" w:cs="Times New Roman"/>
          <w:b/>
          <w:bCs/>
        </w:rPr>
        <w:t>5</w:t>
      </w:r>
      <w:r w:rsidRPr="00FB577E">
        <w:rPr>
          <w:rFonts w:ascii="Times New Roman" w:eastAsia="Times New Roman" w:hAnsi="Times New Roman" w:cs="Times New Roman"/>
          <w:b/>
          <w:bCs/>
        </w:rPr>
        <w:t>. Accessory genes in B. subtilis HM04 and their PGP/rhizospheric relevance</w:t>
      </w:r>
    </w:p>
    <w:tbl>
      <w:tblPr>
        <w:tblW w:w="5000" w:type="pct"/>
        <w:tblLook w:val="04A0" w:firstRow="1" w:lastRow="0" w:firstColumn="1" w:lastColumn="0" w:noHBand="0" w:noVBand="1"/>
      </w:tblPr>
      <w:tblGrid>
        <w:gridCol w:w="1333"/>
        <w:gridCol w:w="1760"/>
        <w:gridCol w:w="1549"/>
        <w:gridCol w:w="4443"/>
        <w:gridCol w:w="4863"/>
      </w:tblGrid>
      <w:tr w:rsidR="00CD5A8B" w:rsidRPr="00CD5A8B" w14:paraId="04581315" w14:textId="77777777" w:rsidTr="002F7E6B">
        <w:trPr>
          <w:trHeight w:val="315"/>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D8E865" w14:textId="77777777" w:rsidR="00CD5A8B" w:rsidRPr="00CD5A8B" w:rsidRDefault="00CD5A8B" w:rsidP="00CD5A8B">
            <w:pPr>
              <w:spacing w:after="0" w:line="240" w:lineRule="auto"/>
              <w:rPr>
                <w:rFonts w:ascii="Calibri" w:eastAsia="Times New Roman" w:hAnsi="Calibri" w:cs="Calibri"/>
                <w:b/>
                <w:bCs/>
                <w:color w:val="000000"/>
              </w:rPr>
            </w:pPr>
            <w:r w:rsidRPr="00CD5A8B">
              <w:rPr>
                <w:rFonts w:ascii="Calibri" w:eastAsia="Times New Roman" w:hAnsi="Calibri" w:cs="Calibri"/>
                <w:b/>
                <w:bCs/>
                <w:color w:val="000000"/>
              </w:rPr>
              <w:lastRenderedPageBreak/>
              <w:t>Plant Growth–Promoting (PGP) Genes</w:t>
            </w:r>
          </w:p>
        </w:tc>
      </w:tr>
      <w:tr w:rsidR="00F168AA" w:rsidRPr="00CD5A8B" w14:paraId="7948D395" w14:textId="77777777" w:rsidTr="002F7E6B">
        <w:trPr>
          <w:trHeight w:val="315"/>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41E0BC6F" w14:textId="77777777" w:rsidR="00CD5A8B" w:rsidRPr="00CD5A8B" w:rsidRDefault="00CD5A8B" w:rsidP="00CD5A8B">
            <w:pPr>
              <w:spacing w:after="0" w:line="240" w:lineRule="auto"/>
              <w:rPr>
                <w:rFonts w:ascii="Calibri" w:eastAsia="Times New Roman" w:hAnsi="Calibri" w:cs="Calibri"/>
                <w:b/>
                <w:bCs/>
                <w:color w:val="000000"/>
              </w:rPr>
            </w:pPr>
            <w:r w:rsidRPr="00CD5A8B">
              <w:rPr>
                <w:rFonts w:ascii="Calibri" w:eastAsia="Times New Roman" w:hAnsi="Calibri" w:cs="Calibri"/>
                <w:b/>
                <w:bCs/>
                <w:color w:val="000000"/>
              </w:rPr>
              <w:t>Gene</w:t>
            </w:r>
          </w:p>
        </w:tc>
        <w:tc>
          <w:tcPr>
            <w:tcW w:w="631" w:type="pct"/>
            <w:tcBorders>
              <w:top w:val="nil"/>
              <w:left w:val="nil"/>
              <w:bottom w:val="single" w:sz="4" w:space="0" w:color="auto"/>
              <w:right w:val="single" w:sz="4" w:space="0" w:color="auto"/>
            </w:tcBorders>
            <w:shd w:val="clear" w:color="auto" w:fill="auto"/>
            <w:vAlign w:val="center"/>
            <w:hideMark/>
          </w:tcPr>
          <w:p w14:paraId="65A9C3D1" w14:textId="77777777" w:rsidR="00CD5A8B" w:rsidRPr="00CD5A8B" w:rsidRDefault="00CD5A8B" w:rsidP="00CD5A8B">
            <w:pPr>
              <w:spacing w:after="0" w:line="240" w:lineRule="auto"/>
              <w:rPr>
                <w:rFonts w:ascii="Calibri" w:eastAsia="Times New Roman" w:hAnsi="Calibri" w:cs="Calibri"/>
                <w:b/>
                <w:bCs/>
                <w:color w:val="000000"/>
              </w:rPr>
            </w:pPr>
            <w:r w:rsidRPr="00CD5A8B">
              <w:rPr>
                <w:rFonts w:ascii="Calibri" w:eastAsia="Times New Roman" w:hAnsi="Calibri" w:cs="Calibri"/>
                <w:b/>
                <w:bCs/>
                <w:color w:val="000000"/>
              </w:rPr>
              <w:t>Annotation</w:t>
            </w:r>
          </w:p>
        </w:tc>
        <w:tc>
          <w:tcPr>
            <w:tcW w:w="555" w:type="pct"/>
            <w:tcBorders>
              <w:top w:val="nil"/>
              <w:left w:val="nil"/>
              <w:bottom w:val="single" w:sz="4" w:space="0" w:color="auto"/>
              <w:right w:val="single" w:sz="4" w:space="0" w:color="auto"/>
            </w:tcBorders>
            <w:shd w:val="clear" w:color="auto" w:fill="auto"/>
            <w:vAlign w:val="center"/>
            <w:hideMark/>
          </w:tcPr>
          <w:p w14:paraId="3CCA0C6E" w14:textId="77777777" w:rsidR="00CD5A8B" w:rsidRPr="00CD5A8B" w:rsidRDefault="00CD5A8B" w:rsidP="00CD5A8B">
            <w:pPr>
              <w:spacing w:after="0" w:line="240" w:lineRule="auto"/>
              <w:rPr>
                <w:rFonts w:ascii="Calibri" w:eastAsia="Times New Roman" w:hAnsi="Calibri" w:cs="Calibri"/>
                <w:b/>
                <w:bCs/>
                <w:color w:val="000000"/>
              </w:rPr>
            </w:pPr>
            <w:r w:rsidRPr="00CD5A8B">
              <w:rPr>
                <w:rFonts w:ascii="Calibri" w:eastAsia="Times New Roman" w:hAnsi="Calibri" w:cs="Calibri"/>
                <w:b/>
                <w:bCs/>
                <w:color w:val="000000"/>
              </w:rPr>
              <w:t>Role</w:t>
            </w:r>
          </w:p>
        </w:tc>
        <w:tc>
          <w:tcPr>
            <w:tcW w:w="2123" w:type="pct"/>
            <w:tcBorders>
              <w:top w:val="nil"/>
              <w:left w:val="nil"/>
              <w:bottom w:val="single" w:sz="4" w:space="0" w:color="auto"/>
              <w:right w:val="single" w:sz="4" w:space="0" w:color="auto"/>
            </w:tcBorders>
            <w:shd w:val="clear" w:color="auto" w:fill="auto"/>
            <w:vAlign w:val="center"/>
            <w:hideMark/>
          </w:tcPr>
          <w:p w14:paraId="2E4BBA31" w14:textId="77777777" w:rsidR="00CD5A8B" w:rsidRPr="00CD5A8B" w:rsidRDefault="00CD5A8B" w:rsidP="00CD5A8B">
            <w:pPr>
              <w:spacing w:after="0" w:line="240" w:lineRule="auto"/>
              <w:rPr>
                <w:rFonts w:ascii="Calibri" w:eastAsia="Times New Roman" w:hAnsi="Calibri" w:cs="Calibri"/>
                <w:b/>
                <w:bCs/>
                <w:color w:val="000000"/>
              </w:rPr>
            </w:pPr>
            <w:r w:rsidRPr="00CD5A8B">
              <w:rPr>
                <w:rFonts w:ascii="Calibri" w:eastAsia="Times New Roman" w:hAnsi="Calibri" w:cs="Calibri"/>
                <w:b/>
                <w:bCs/>
                <w:color w:val="000000"/>
              </w:rPr>
              <w:t>PGP Relevance</w:t>
            </w:r>
          </w:p>
        </w:tc>
        <w:tc>
          <w:tcPr>
            <w:tcW w:w="1190" w:type="pct"/>
            <w:tcBorders>
              <w:top w:val="nil"/>
              <w:left w:val="nil"/>
              <w:bottom w:val="single" w:sz="4" w:space="0" w:color="auto"/>
              <w:right w:val="single" w:sz="4" w:space="0" w:color="auto"/>
            </w:tcBorders>
            <w:shd w:val="clear" w:color="auto" w:fill="auto"/>
            <w:vAlign w:val="center"/>
            <w:hideMark/>
          </w:tcPr>
          <w:p w14:paraId="2A32C8A9" w14:textId="77777777" w:rsidR="00CD5A8B" w:rsidRPr="00CD5A8B" w:rsidRDefault="00CD5A8B" w:rsidP="00F168AA">
            <w:pPr>
              <w:spacing w:after="0" w:line="240" w:lineRule="auto"/>
              <w:ind w:left="1854" w:right="1972" w:hanging="1854"/>
              <w:rPr>
                <w:rFonts w:ascii="Calibri" w:eastAsia="Times New Roman" w:hAnsi="Calibri" w:cs="Calibri"/>
                <w:b/>
                <w:bCs/>
                <w:color w:val="000000"/>
              </w:rPr>
            </w:pPr>
            <w:r w:rsidRPr="00CD5A8B">
              <w:rPr>
                <w:rFonts w:ascii="Calibri" w:eastAsia="Times New Roman" w:hAnsi="Calibri" w:cs="Calibri"/>
                <w:b/>
                <w:bCs/>
                <w:color w:val="000000"/>
              </w:rPr>
              <w:t>References</w:t>
            </w:r>
          </w:p>
        </w:tc>
      </w:tr>
      <w:tr w:rsidR="00F168AA" w:rsidRPr="00CD5A8B" w14:paraId="38E067E9" w14:textId="77777777" w:rsidTr="002F7E6B">
        <w:trPr>
          <w:trHeight w:val="18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79E9F350"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Periplasmic nitrate reductase</w:t>
            </w:r>
          </w:p>
        </w:tc>
        <w:tc>
          <w:tcPr>
            <w:tcW w:w="631" w:type="pct"/>
            <w:tcBorders>
              <w:top w:val="nil"/>
              <w:left w:val="nil"/>
              <w:bottom w:val="single" w:sz="4" w:space="0" w:color="auto"/>
              <w:right w:val="single" w:sz="4" w:space="0" w:color="auto"/>
            </w:tcBorders>
            <w:shd w:val="clear" w:color="auto" w:fill="auto"/>
            <w:vAlign w:val="center"/>
            <w:hideMark/>
          </w:tcPr>
          <w:p w14:paraId="1F282B64"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Nitrate respiration enzyme</w:t>
            </w:r>
          </w:p>
        </w:tc>
        <w:tc>
          <w:tcPr>
            <w:tcW w:w="555" w:type="pct"/>
            <w:tcBorders>
              <w:top w:val="nil"/>
              <w:left w:val="nil"/>
              <w:bottom w:val="single" w:sz="4" w:space="0" w:color="auto"/>
              <w:right w:val="single" w:sz="4" w:space="0" w:color="auto"/>
            </w:tcBorders>
            <w:shd w:val="clear" w:color="auto" w:fill="auto"/>
            <w:vAlign w:val="center"/>
            <w:hideMark/>
          </w:tcPr>
          <w:p w14:paraId="63156162"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Nitrogen cycling</w:t>
            </w:r>
          </w:p>
        </w:tc>
        <w:tc>
          <w:tcPr>
            <w:tcW w:w="2123" w:type="pct"/>
            <w:tcBorders>
              <w:top w:val="nil"/>
              <w:left w:val="nil"/>
              <w:bottom w:val="single" w:sz="4" w:space="0" w:color="auto"/>
              <w:right w:val="single" w:sz="4" w:space="0" w:color="auto"/>
            </w:tcBorders>
            <w:shd w:val="clear" w:color="auto" w:fill="auto"/>
            <w:vAlign w:val="center"/>
            <w:hideMark/>
          </w:tcPr>
          <w:p w14:paraId="4645E66F"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Enhances plant growth by converting nitrate into bioavailable reduced nitrogen forms under low-oxygen rhizosphere conditions; supports nitrogen turnover in the root zone, reduces competition with plants for nitrate, and promotes nutrient accessibility in the rhizosphere.</w:t>
            </w:r>
          </w:p>
        </w:tc>
        <w:tc>
          <w:tcPr>
            <w:tcW w:w="1190" w:type="pct"/>
            <w:tcBorders>
              <w:top w:val="nil"/>
              <w:left w:val="nil"/>
              <w:bottom w:val="single" w:sz="4" w:space="0" w:color="auto"/>
              <w:right w:val="single" w:sz="4" w:space="0" w:color="auto"/>
            </w:tcBorders>
            <w:shd w:val="clear" w:color="auto" w:fill="auto"/>
            <w:vAlign w:val="center"/>
            <w:hideMark/>
          </w:tcPr>
          <w:p w14:paraId="02A61781" w14:textId="77777777" w:rsidR="00CD5A8B" w:rsidRPr="00CD5A8B" w:rsidRDefault="00CD5A8B" w:rsidP="00CD5A8B">
            <w:pPr>
              <w:spacing w:after="0" w:line="240" w:lineRule="auto"/>
              <w:rPr>
                <w:rFonts w:ascii="Calibri" w:eastAsia="Times New Roman" w:hAnsi="Calibri" w:cs="Calibri"/>
                <w:color w:val="000000"/>
                <w:sz w:val="22"/>
                <w:szCs w:val="22"/>
              </w:rPr>
            </w:pPr>
            <w:hyperlink r:id="rId31" w:history="1">
              <w:r w:rsidRPr="00CD5A8B">
                <w:rPr>
                  <w:rFonts w:ascii="Calibri" w:eastAsia="Times New Roman" w:hAnsi="Calibri" w:cs="Calibri"/>
                  <w:color w:val="000000"/>
                  <w:sz w:val="22"/>
                  <w:szCs w:val="22"/>
                </w:rPr>
                <w:t xml:space="preserve">https://doi.org/10.1186/s12866-023-02941-7 </w:t>
              </w:r>
            </w:hyperlink>
          </w:p>
        </w:tc>
      </w:tr>
      <w:tr w:rsidR="00F168AA" w:rsidRPr="00CD5A8B" w14:paraId="417A86E9" w14:textId="77777777" w:rsidTr="002F7E6B">
        <w:trPr>
          <w:trHeight w:val="15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13FF2A65"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Chitosanase</w:t>
            </w:r>
          </w:p>
        </w:tc>
        <w:tc>
          <w:tcPr>
            <w:tcW w:w="631" w:type="pct"/>
            <w:tcBorders>
              <w:top w:val="nil"/>
              <w:left w:val="nil"/>
              <w:bottom w:val="single" w:sz="4" w:space="0" w:color="auto"/>
              <w:right w:val="single" w:sz="4" w:space="0" w:color="auto"/>
            </w:tcBorders>
            <w:shd w:val="clear" w:color="auto" w:fill="auto"/>
            <w:vAlign w:val="center"/>
            <w:hideMark/>
          </w:tcPr>
          <w:p w14:paraId="3F0A1984"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Chitin/chitosan degradation enzyme</w:t>
            </w:r>
          </w:p>
        </w:tc>
        <w:tc>
          <w:tcPr>
            <w:tcW w:w="555" w:type="pct"/>
            <w:tcBorders>
              <w:top w:val="nil"/>
              <w:left w:val="nil"/>
              <w:bottom w:val="single" w:sz="4" w:space="0" w:color="auto"/>
              <w:right w:val="single" w:sz="4" w:space="0" w:color="auto"/>
            </w:tcBorders>
            <w:shd w:val="clear" w:color="auto" w:fill="auto"/>
            <w:vAlign w:val="center"/>
            <w:hideMark/>
          </w:tcPr>
          <w:p w14:paraId="0181B8F8"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Antifungal activity</w:t>
            </w:r>
          </w:p>
        </w:tc>
        <w:tc>
          <w:tcPr>
            <w:tcW w:w="2123" w:type="pct"/>
            <w:tcBorders>
              <w:top w:val="nil"/>
              <w:left w:val="nil"/>
              <w:bottom w:val="single" w:sz="4" w:space="0" w:color="auto"/>
              <w:right w:val="single" w:sz="4" w:space="0" w:color="auto"/>
            </w:tcBorders>
            <w:shd w:val="clear" w:color="auto" w:fill="auto"/>
            <w:vAlign w:val="center"/>
            <w:hideMark/>
          </w:tcPr>
          <w:p w14:paraId="68A1B7AA"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 xml:space="preserve">Breaks down chitin in fungal cell walls, inhibiting pathogenic fungi; releases </w:t>
            </w:r>
            <w:proofErr w:type="spellStart"/>
            <w:r w:rsidRPr="00CD5A8B">
              <w:rPr>
                <w:rFonts w:ascii="Calibri" w:eastAsia="Times New Roman" w:hAnsi="Calibri" w:cs="Calibri"/>
                <w:color w:val="000000"/>
                <w:sz w:val="22"/>
                <w:szCs w:val="22"/>
              </w:rPr>
              <w:t>chitooligosaccharides</w:t>
            </w:r>
            <w:proofErr w:type="spellEnd"/>
            <w:r w:rsidRPr="00CD5A8B">
              <w:rPr>
                <w:rFonts w:ascii="Calibri" w:eastAsia="Times New Roman" w:hAnsi="Calibri" w:cs="Calibri"/>
                <w:color w:val="000000"/>
                <w:sz w:val="22"/>
                <w:szCs w:val="22"/>
              </w:rPr>
              <w:t xml:space="preserve"> that can stimulate plant immune responses; contributes to biological control and reduces disease pressure, enhancing plant </w:t>
            </w:r>
            <w:proofErr w:type="spellStart"/>
            <w:r w:rsidRPr="00CD5A8B">
              <w:rPr>
                <w:rFonts w:ascii="Calibri" w:eastAsia="Times New Roman" w:hAnsi="Calibri" w:cs="Calibri"/>
                <w:color w:val="000000"/>
                <w:sz w:val="22"/>
                <w:szCs w:val="22"/>
              </w:rPr>
              <w:t>vigor</w:t>
            </w:r>
            <w:proofErr w:type="spellEnd"/>
            <w:r w:rsidRPr="00CD5A8B">
              <w:rPr>
                <w:rFonts w:ascii="Calibri" w:eastAsia="Times New Roman" w:hAnsi="Calibri" w:cs="Calibri"/>
                <w:color w:val="000000"/>
                <w:sz w:val="22"/>
                <w:szCs w:val="22"/>
              </w:rPr>
              <w:t>.</w:t>
            </w:r>
          </w:p>
        </w:tc>
        <w:tc>
          <w:tcPr>
            <w:tcW w:w="1190" w:type="pct"/>
            <w:tcBorders>
              <w:top w:val="nil"/>
              <w:left w:val="nil"/>
              <w:bottom w:val="single" w:sz="4" w:space="0" w:color="auto"/>
              <w:right w:val="single" w:sz="4" w:space="0" w:color="auto"/>
            </w:tcBorders>
            <w:shd w:val="clear" w:color="auto" w:fill="auto"/>
            <w:vAlign w:val="center"/>
            <w:hideMark/>
          </w:tcPr>
          <w:p w14:paraId="1F0FF018" w14:textId="3DDE8EDA" w:rsidR="00CD5A8B" w:rsidRPr="00CD5A8B" w:rsidRDefault="002F7E6B" w:rsidP="00CD5A8B">
            <w:pPr>
              <w:spacing w:after="0" w:line="240" w:lineRule="auto"/>
              <w:rPr>
                <w:rFonts w:ascii="Calibri" w:eastAsia="Times New Roman" w:hAnsi="Calibri" w:cs="Calibri"/>
                <w:color w:val="000000"/>
                <w:sz w:val="22"/>
                <w:szCs w:val="22"/>
              </w:rPr>
            </w:pPr>
            <w:hyperlink r:id="rId32" w:history="1">
              <w:r w:rsidRPr="00607DD8">
                <w:rPr>
                  <w:rStyle w:val="Hyperlink"/>
                  <w:rFonts w:ascii="Calibri" w:eastAsia="Times New Roman" w:hAnsi="Calibri" w:cs="Calibri"/>
                  <w:sz w:val="22"/>
                  <w:szCs w:val="22"/>
                </w:rPr>
                <w:t>https://doi.org/10.14720/abs.66.1.13510</w:t>
              </w:r>
            </w:hyperlink>
          </w:p>
        </w:tc>
      </w:tr>
      <w:tr w:rsidR="00F168AA" w:rsidRPr="00CD5A8B" w14:paraId="34431F37" w14:textId="77777777" w:rsidTr="002F7E6B">
        <w:trPr>
          <w:trHeight w:val="15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14966958"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Mannanase</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6954207F"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Endo-1,4-β-</w:t>
            </w:r>
            <w:proofErr w:type="spellStart"/>
            <w:r w:rsidRPr="00CD5A8B">
              <w:rPr>
                <w:rFonts w:ascii="Calibri" w:eastAsia="Times New Roman" w:hAnsi="Calibri" w:cs="Calibri"/>
                <w:color w:val="000000"/>
                <w:sz w:val="22"/>
                <w:szCs w:val="22"/>
              </w:rPr>
              <w:t>mannanase</w:t>
            </w:r>
            <w:proofErr w:type="spellEnd"/>
          </w:p>
        </w:tc>
        <w:tc>
          <w:tcPr>
            <w:tcW w:w="555" w:type="pct"/>
            <w:tcBorders>
              <w:top w:val="nil"/>
              <w:left w:val="nil"/>
              <w:bottom w:val="single" w:sz="4" w:space="0" w:color="auto"/>
              <w:right w:val="single" w:sz="4" w:space="0" w:color="auto"/>
            </w:tcBorders>
            <w:shd w:val="clear" w:color="auto" w:fill="auto"/>
            <w:vAlign w:val="center"/>
            <w:hideMark/>
          </w:tcPr>
          <w:p w14:paraId="5B6F8592"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Plant polysaccharide degradation</w:t>
            </w:r>
          </w:p>
        </w:tc>
        <w:tc>
          <w:tcPr>
            <w:tcW w:w="2123" w:type="pct"/>
            <w:tcBorders>
              <w:top w:val="nil"/>
              <w:left w:val="nil"/>
              <w:bottom w:val="single" w:sz="4" w:space="0" w:color="auto"/>
              <w:right w:val="single" w:sz="4" w:space="0" w:color="auto"/>
            </w:tcBorders>
            <w:shd w:val="clear" w:color="auto" w:fill="auto"/>
            <w:vAlign w:val="center"/>
            <w:hideMark/>
          </w:tcPr>
          <w:p w14:paraId="60641F48"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Degrades mannans in root mucilage and plant cell wall fragments, improving nutrient access and promoting bacterial colonization; breakdown products can stimulate root exudation and enhance plant–microbe interaction, indirectly promoting plant growth.</w:t>
            </w:r>
          </w:p>
        </w:tc>
        <w:tc>
          <w:tcPr>
            <w:tcW w:w="1190" w:type="pct"/>
            <w:tcBorders>
              <w:top w:val="nil"/>
              <w:left w:val="nil"/>
              <w:bottom w:val="single" w:sz="4" w:space="0" w:color="auto"/>
              <w:right w:val="single" w:sz="4" w:space="0" w:color="auto"/>
            </w:tcBorders>
            <w:shd w:val="clear" w:color="auto" w:fill="auto"/>
            <w:vAlign w:val="center"/>
            <w:hideMark/>
          </w:tcPr>
          <w:p w14:paraId="7C1106E9" w14:textId="77777777" w:rsidR="00CD5A8B" w:rsidRPr="00CD5A8B" w:rsidRDefault="00CD5A8B" w:rsidP="00CD5A8B">
            <w:pPr>
              <w:spacing w:after="0" w:line="240" w:lineRule="auto"/>
              <w:rPr>
                <w:rFonts w:ascii="Calibri" w:eastAsia="Times New Roman" w:hAnsi="Calibri" w:cs="Calibri"/>
                <w:color w:val="000000"/>
              </w:rPr>
            </w:pPr>
            <w:r w:rsidRPr="00CD5A8B">
              <w:rPr>
                <w:rFonts w:ascii="Calibri" w:eastAsia="Times New Roman" w:hAnsi="Calibri" w:cs="Calibri"/>
                <w:color w:val="000000"/>
              </w:rPr>
              <w:t>https://doi.org/10.1016/j.ijbiomac.2020.10.235</w:t>
            </w:r>
          </w:p>
        </w:tc>
      </w:tr>
      <w:tr w:rsidR="00CD5A8B" w:rsidRPr="00CD5A8B" w14:paraId="4C236CF5" w14:textId="77777777" w:rsidTr="002F7E6B">
        <w:trPr>
          <w:trHeight w:val="315"/>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16384" w14:textId="77777777" w:rsidR="00CD5A8B" w:rsidRPr="00CD5A8B" w:rsidRDefault="00CD5A8B" w:rsidP="00CD5A8B">
            <w:pPr>
              <w:spacing w:after="0" w:line="240" w:lineRule="auto"/>
              <w:rPr>
                <w:rFonts w:ascii="Calibri" w:eastAsia="Times New Roman" w:hAnsi="Calibri" w:cs="Calibri"/>
                <w:b/>
                <w:bCs/>
                <w:color w:val="000000"/>
              </w:rPr>
            </w:pPr>
            <w:r w:rsidRPr="00CD5A8B">
              <w:rPr>
                <w:rFonts w:ascii="Calibri" w:eastAsia="Times New Roman" w:hAnsi="Calibri" w:cs="Calibri"/>
                <w:b/>
                <w:bCs/>
                <w:color w:val="000000"/>
              </w:rPr>
              <w:t>Rhizosphere Fitness/ Colonization Genes</w:t>
            </w:r>
          </w:p>
        </w:tc>
      </w:tr>
      <w:tr w:rsidR="00F168AA" w:rsidRPr="00CD5A8B" w14:paraId="6A7DC9C9" w14:textId="77777777" w:rsidTr="002F7E6B">
        <w:trPr>
          <w:trHeight w:val="315"/>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0617E114" w14:textId="77777777" w:rsidR="00CD5A8B" w:rsidRPr="00CD5A8B" w:rsidRDefault="00CD5A8B" w:rsidP="00CD5A8B">
            <w:pPr>
              <w:spacing w:after="0" w:line="240" w:lineRule="auto"/>
              <w:rPr>
                <w:rFonts w:ascii="Calibri" w:eastAsia="Times New Roman" w:hAnsi="Calibri" w:cs="Calibri"/>
                <w:b/>
                <w:bCs/>
                <w:color w:val="000000"/>
              </w:rPr>
            </w:pPr>
            <w:r w:rsidRPr="00CD5A8B">
              <w:rPr>
                <w:rFonts w:ascii="Calibri" w:eastAsia="Times New Roman" w:hAnsi="Calibri" w:cs="Calibri"/>
                <w:b/>
                <w:bCs/>
                <w:color w:val="000000"/>
              </w:rPr>
              <w:t>Gene</w:t>
            </w:r>
          </w:p>
        </w:tc>
        <w:tc>
          <w:tcPr>
            <w:tcW w:w="631" w:type="pct"/>
            <w:tcBorders>
              <w:top w:val="nil"/>
              <w:left w:val="nil"/>
              <w:bottom w:val="single" w:sz="4" w:space="0" w:color="auto"/>
              <w:right w:val="single" w:sz="4" w:space="0" w:color="auto"/>
            </w:tcBorders>
            <w:shd w:val="clear" w:color="auto" w:fill="auto"/>
            <w:vAlign w:val="center"/>
            <w:hideMark/>
          </w:tcPr>
          <w:p w14:paraId="5D226939" w14:textId="77777777" w:rsidR="00CD5A8B" w:rsidRPr="00CD5A8B" w:rsidRDefault="00CD5A8B" w:rsidP="00CD5A8B">
            <w:pPr>
              <w:spacing w:after="0" w:line="240" w:lineRule="auto"/>
              <w:rPr>
                <w:rFonts w:ascii="Calibri" w:eastAsia="Times New Roman" w:hAnsi="Calibri" w:cs="Calibri"/>
                <w:b/>
                <w:bCs/>
                <w:color w:val="000000"/>
              </w:rPr>
            </w:pPr>
            <w:r w:rsidRPr="00CD5A8B">
              <w:rPr>
                <w:rFonts w:ascii="Calibri" w:eastAsia="Times New Roman" w:hAnsi="Calibri" w:cs="Calibri"/>
                <w:b/>
                <w:bCs/>
                <w:color w:val="000000"/>
              </w:rPr>
              <w:t>Annotation</w:t>
            </w:r>
          </w:p>
        </w:tc>
        <w:tc>
          <w:tcPr>
            <w:tcW w:w="555" w:type="pct"/>
            <w:tcBorders>
              <w:top w:val="nil"/>
              <w:left w:val="nil"/>
              <w:bottom w:val="single" w:sz="4" w:space="0" w:color="auto"/>
              <w:right w:val="single" w:sz="4" w:space="0" w:color="auto"/>
            </w:tcBorders>
            <w:shd w:val="clear" w:color="auto" w:fill="auto"/>
            <w:vAlign w:val="center"/>
            <w:hideMark/>
          </w:tcPr>
          <w:p w14:paraId="0C2B88F3" w14:textId="77777777" w:rsidR="00CD5A8B" w:rsidRPr="00CD5A8B" w:rsidRDefault="00CD5A8B" w:rsidP="00CD5A8B">
            <w:pPr>
              <w:spacing w:after="0" w:line="240" w:lineRule="auto"/>
              <w:rPr>
                <w:rFonts w:ascii="Calibri" w:eastAsia="Times New Roman" w:hAnsi="Calibri" w:cs="Calibri"/>
                <w:b/>
                <w:bCs/>
                <w:color w:val="000000"/>
              </w:rPr>
            </w:pPr>
            <w:r w:rsidRPr="00CD5A8B">
              <w:rPr>
                <w:rFonts w:ascii="Calibri" w:eastAsia="Times New Roman" w:hAnsi="Calibri" w:cs="Calibri"/>
                <w:b/>
                <w:bCs/>
                <w:color w:val="000000"/>
              </w:rPr>
              <w:t>Role</w:t>
            </w:r>
          </w:p>
        </w:tc>
        <w:tc>
          <w:tcPr>
            <w:tcW w:w="2123" w:type="pct"/>
            <w:tcBorders>
              <w:top w:val="nil"/>
              <w:left w:val="nil"/>
              <w:bottom w:val="single" w:sz="4" w:space="0" w:color="auto"/>
              <w:right w:val="single" w:sz="4" w:space="0" w:color="auto"/>
            </w:tcBorders>
            <w:shd w:val="clear" w:color="auto" w:fill="auto"/>
            <w:vAlign w:val="center"/>
            <w:hideMark/>
          </w:tcPr>
          <w:p w14:paraId="7D319290" w14:textId="77777777" w:rsidR="00CD5A8B" w:rsidRPr="00CD5A8B" w:rsidRDefault="00CD5A8B" w:rsidP="00CD5A8B">
            <w:pPr>
              <w:spacing w:after="0" w:line="240" w:lineRule="auto"/>
              <w:rPr>
                <w:rFonts w:ascii="Calibri" w:eastAsia="Times New Roman" w:hAnsi="Calibri" w:cs="Calibri"/>
                <w:b/>
                <w:bCs/>
                <w:color w:val="000000"/>
              </w:rPr>
            </w:pPr>
            <w:r w:rsidRPr="00CD5A8B">
              <w:rPr>
                <w:rFonts w:ascii="Calibri" w:eastAsia="Times New Roman" w:hAnsi="Calibri" w:cs="Calibri"/>
                <w:b/>
                <w:bCs/>
                <w:color w:val="000000"/>
              </w:rPr>
              <w:t>Rhizosphere Relevance</w:t>
            </w:r>
          </w:p>
        </w:tc>
        <w:tc>
          <w:tcPr>
            <w:tcW w:w="1190" w:type="pct"/>
            <w:tcBorders>
              <w:top w:val="nil"/>
              <w:left w:val="nil"/>
              <w:bottom w:val="single" w:sz="4" w:space="0" w:color="auto"/>
              <w:right w:val="single" w:sz="4" w:space="0" w:color="auto"/>
            </w:tcBorders>
            <w:shd w:val="clear" w:color="auto" w:fill="auto"/>
            <w:vAlign w:val="center"/>
            <w:hideMark/>
          </w:tcPr>
          <w:p w14:paraId="71D098AB" w14:textId="77777777" w:rsidR="00CD5A8B" w:rsidRPr="00CD5A8B" w:rsidRDefault="00CD5A8B" w:rsidP="00CD5A8B">
            <w:pPr>
              <w:spacing w:after="0" w:line="240" w:lineRule="auto"/>
              <w:rPr>
                <w:rFonts w:ascii="Calibri" w:eastAsia="Times New Roman" w:hAnsi="Calibri" w:cs="Calibri"/>
                <w:b/>
                <w:bCs/>
                <w:color w:val="000000"/>
              </w:rPr>
            </w:pPr>
            <w:r w:rsidRPr="00CD5A8B">
              <w:rPr>
                <w:rFonts w:ascii="Calibri" w:eastAsia="Times New Roman" w:hAnsi="Calibri" w:cs="Calibri"/>
                <w:b/>
                <w:bCs/>
                <w:color w:val="000000"/>
              </w:rPr>
              <w:t>References</w:t>
            </w:r>
          </w:p>
        </w:tc>
      </w:tr>
      <w:tr w:rsidR="00F168AA" w:rsidRPr="00CD5A8B" w14:paraId="5BAC3D4B" w14:textId="77777777" w:rsidTr="002F7E6B">
        <w:trPr>
          <w:trHeight w:val="705"/>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76B312FC"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tagA</w:t>
            </w:r>
            <w:proofErr w:type="spellEnd"/>
            <w:r w:rsidRPr="002F7E6B">
              <w:rPr>
                <w:rFonts w:ascii="Calibri" w:eastAsia="Times New Roman" w:hAnsi="Calibri" w:cs="Calibri"/>
                <w:color w:val="000000"/>
                <w:sz w:val="22"/>
                <w:szCs w:val="22"/>
              </w:rPr>
              <w:t xml:space="preserve">/B/D/G, </w:t>
            </w:r>
            <w:proofErr w:type="spellStart"/>
            <w:r w:rsidRPr="002F7E6B">
              <w:rPr>
                <w:rFonts w:ascii="Calibri" w:eastAsia="Times New Roman" w:hAnsi="Calibri" w:cs="Calibri"/>
                <w:color w:val="000000"/>
                <w:sz w:val="22"/>
                <w:szCs w:val="22"/>
              </w:rPr>
              <w:t>tarI</w:t>
            </w:r>
            <w:proofErr w:type="spellEnd"/>
            <w:r w:rsidRPr="002F7E6B">
              <w:rPr>
                <w:rFonts w:ascii="Calibri" w:eastAsia="Times New Roman" w:hAnsi="Calibri" w:cs="Calibri"/>
                <w:color w:val="000000"/>
                <w:sz w:val="22"/>
                <w:szCs w:val="22"/>
              </w:rPr>
              <w:t>/J/K/L/M</w:t>
            </w:r>
          </w:p>
        </w:tc>
        <w:tc>
          <w:tcPr>
            <w:tcW w:w="631" w:type="pct"/>
            <w:tcBorders>
              <w:top w:val="nil"/>
              <w:left w:val="nil"/>
              <w:bottom w:val="single" w:sz="4" w:space="0" w:color="auto"/>
              <w:right w:val="single" w:sz="4" w:space="0" w:color="auto"/>
            </w:tcBorders>
            <w:shd w:val="clear" w:color="auto" w:fill="auto"/>
            <w:vAlign w:val="center"/>
            <w:hideMark/>
          </w:tcPr>
          <w:p w14:paraId="4EEC4E20"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Teichoic acid biosynthesis proteins</w:t>
            </w:r>
          </w:p>
        </w:tc>
        <w:tc>
          <w:tcPr>
            <w:tcW w:w="555" w:type="pct"/>
            <w:tcBorders>
              <w:top w:val="nil"/>
              <w:left w:val="nil"/>
              <w:bottom w:val="single" w:sz="4" w:space="0" w:color="auto"/>
              <w:right w:val="single" w:sz="4" w:space="0" w:color="auto"/>
            </w:tcBorders>
            <w:shd w:val="clear" w:color="auto" w:fill="auto"/>
            <w:vAlign w:val="center"/>
            <w:hideMark/>
          </w:tcPr>
          <w:p w14:paraId="5A7DEFC6"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Cell wall assembly, adhesion</w:t>
            </w:r>
          </w:p>
        </w:tc>
        <w:tc>
          <w:tcPr>
            <w:tcW w:w="2123" w:type="pct"/>
            <w:tcBorders>
              <w:top w:val="nil"/>
              <w:left w:val="nil"/>
              <w:bottom w:val="single" w:sz="4" w:space="0" w:color="auto"/>
              <w:right w:val="single" w:sz="4" w:space="0" w:color="auto"/>
            </w:tcBorders>
            <w:shd w:val="clear" w:color="auto" w:fill="auto"/>
            <w:vAlign w:val="center"/>
            <w:hideMark/>
          </w:tcPr>
          <w:p w14:paraId="2C646A14"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Enhance adhesion to mucilage-rich maize roots; optimize surface charge for sticking to sugars and polysaccharides.</w:t>
            </w:r>
          </w:p>
        </w:tc>
        <w:tc>
          <w:tcPr>
            <w:tcW w:w="1190" w:type="pct"/>
            <w:tcBorders>
              <w:top w:val="nil"/>
              <w:left w:val="nil"/>
              <w:bottom w:val="single" w:sz="4" w:space="0" w:color="auto"/>
              <w:right w:val="single" w:sz="4" w:space="0" w:color="auto"/>
            </w:tcBorders>
            <w:shd w:val="clear" w:color="auto" w:fill="auto"/>
            <w:vAlign w:val="center"/>
            <w:hideMark/>
          </w:tcPr>
          <w:p w14:paraId="2346515E" w14:textId="77777777" w:rsidR="00CD5A8B" w:rsidRPr="00CD5A8B" w:rsidRDefault="00CD5A8B" w:rsidP="00CD5A8B">
            <w:pPr>
              <w:spacing w:after="0" w:line="240" w:lineRule="auto"/>
              <w:rPr>
                <w:rFonts w:ascii="Calibri" w:eastAsia="Times New Roman" w:hAnsi="Calibri" w:cs="Calibri"/>
                <w:color w:val="000000"/>
                <w:sz w:val="22"/>
                <w:szCs w:val="22"/>
              </w:rPr>
            </w:pPr>
            <w:hyperlink r:id="rId33" w:history="1">
              <w:r w:rsidRPr="00CD5A8B">
                <w:rPr>
                  <w:rFonts w:ascii="Calibri" w:eastAsia="Times New Roman" w:hAnsi="Calibri" w:cs="Calibri"/>
                  <w:color w:val="000000"/>
                  <w:sz w:val="22"/>
                  <w:szCs w:val="22"/>
                </w:rPr>
                <w:t>https://doi.org/10.1093/femsre/fuaa064</w:t>
              </w:r>
            </w:hyperlink>
          </w:p>
        </w:tc>
      </w:tr>
      <w:tr w:rsidR="00F168AA" w:rsidRPr="00CD5A8B" w14:paraId="3DF5CC06" w14:textId="77777777" w:rsidTr="002F7E6B">
        <w:trPr>
          <w:trHeight w:val="6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79B83E49"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lytA</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2C3A60C5"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Cell-wall hydrolase</w:t>
            </w:r>
          </w:p>
        </w:tc>
        <w:tc>
          <w:tcPr>
            <w:tcW w:w="555" w:type="pct"/>
            <w:tcBorders>
              <w:top w:val="nil"/>
              <w:left w:val="nil"/>
              <w:bottom w:val="single" w:sz="4" w:space="0" w:color="auto"/>
              <w:right w:val="single" w:sz="4" w:space="0" w:color="auto"/>
            </w:tcBorders>
            <w:shd w:val="clear" w:color="auto" w:fill="auto"/>
            <w:vAlign w:val="center"/>
            <w:hideMark/>
          </w:tcPr>
          <w:p w14:paraId="569F2EEC"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 xml:space="preserve">Cell-wall </w:t>
            </w:r>
            <w:proofErr w:type="spellStart"/>
            <w:r w:rsidRPr="00CD5A8B">
              <w:rPr>
                <w:rFonts w:ascii="Calibri" w:eastAsia="Times New Roman" w:hAnsi="Calibri" w:cs="Calibri"/>
                <w:color w:val="000000"/>
                <w:sz w:val="22"/>
                <w:szCs w:val="22"/>
              </w:rPr>
              <w:t>remodeling</w:t>
            </w:r>
            <w:proofErr w:type="spellEnd"/>
          </w:p>
        </w:tc>
        <w:tc>
          <w:tcPr>
            <w:tcW w:w="2123" w:type="pct"/>
            <w:tcBorders>
              <w:top w:val="nil"/>
              <w:left w:val="nil"/>
              <w:bottom w:val="single" w:sz="4" w:space="0" w:color="auto"/>
              <w:right w:val="single" w:sz="4" w:space="0" w:color="auto"/>
            </w:tcBorders>
            <w:shd w:val="clear" w:color="auto" w:fill="auto"/>
            <w:vAlign w:val="center"/>
            <w:hideMark/>
          </w:tcPr>
          <w:p w14:paraId="33D7E6E8"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 xml:space="preserve">Enables biofilm initiation on carbohydrate-rich maize surfaces by controlled </w:t>
            </w:r>
            <w:proofErr w:type="spellStart"/>
            <w:r w:rsidRPr="00CD5A8B">
              <w:rPr>
                <w:rFonts w:ascii="Calibri" w:eastAsia="Times New Roman" w:hAnsi="Calibri" w:cs="Calibri"/>
                <w:color w:val="000000"/>
                <w:sz w:val="22"/>
                <w:szCs w:val="22"/>
              </w:rPr>
              <w:t>remodeling</w:t>
            </w:r>
            <w:proofErr w:type="spellEnd"/>
            <w:r w:rsidRPr="00CD5A8B">
              <w:rPr>
                <w:rFonts w:ascii="Calibri" w:eastAsia="Times New Roman" w:hAnsi="Calibri" w:cs="Calibri"/>
                <w:color w:val="000000"/>
                <w:sz w:val="22"/>
                <w:szCs w:val="22"/>
              </w:rPr>
              <w:t xml:space="preserve"> of peptidoglycan.</w:t>
            </w:r>
          </w:p>
        </w:tc>
        <w:tc>
          <w:tcPr>
            <w:tcW w:w="1190" w:type="pct"/>
            <w:tcBorders>
              <w:top w:val="nil"/>
              <w:left w:val="nil"/>
              <w:bottom w:val="single" w:sz="4" w:space="0" w:color="auto"/>
              <w:right w:val="single" w:sz="4" w:space="0" w:color="auto"/>
            </w:tcBorders>
            <w:shd w:val="clear" w:color="auto" w:fill="auto"/>
            <w:vAlign w:val="center"/>
            <w:hideMark/>
          </w:tcPr>
          <w:p w14:paraId="7CC21D95" w14:textId="77777777" w:rsidR="00CD5A8B" w:rsidRPr="00CD5A8B" w:rsidRDefault="00CD5A8B" w:rsidP="00CD5A8B">
            <w:pPr>
              <w:spacing w:after="0" w:line="240" w:lineRule="auto"/>
              <w:rPr>
                <w:rFonts w:ascii="Arial" w:eastAsia="Times New Roman" w:hAnsi="Arial" w:cs="Arial"/>
                <w:color w:val="000000"/>
                <w:sz w:val="20"/>
                <w:szCs w:val="20"/>
              </w:rPr>
            </w:pPr>
            <w:r w:rsidRPr="00CD5A8B">
              <w:rPr>
                <w:rFonts w:ascii="Arial" w:eastAsia="Times New Roman" w:hAnsi="Arial" w:cs="Arial"/>
                <w:color w:val="000000"/>
                <w:sz w:val="20"/>
                <w:szCs w:val="20"/>
              </w:rPr>
              <w:t>https://doi.org/10.3390/jof9050547</w:t>
            </w:r>
          </w:p>
        </w:tc>
      </w:tr>
      <w:tr w:rsidR="00F168AA" w:rsidRPr="00CD5A8B" w14:paraId="261A51F2" w14:textId="77777777" w:rsidTr="002F7E6B">
        <w:trPr>
          <w:trHeight w:val="6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19A0D56D"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walR</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4A2888DE"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Two-component regulator</w:t>
            </w:r>
          </w:p>
        </w:tc>
        <w:tc>
          <w:tcPr>
            <w:tcW w:w="555" w:type="pct"/>
            <w:tcBorders>
              <w:top w:val="nil"/>
              <w:left w:val="nil"/>
              <w:bottom w:val="single" w:sz="4" w:space="0" w:color="auto"/>
              <w:right w:val="single" w:sz="4" w:space="0" w:color="auto"/>
            </w:tcBorders>
            <w:shd w:val="clear" w:color="auto" w:fill="auto"/>
            <w:vAlign w:val="center"/>
            <w:hideMark/>
          </w:tcPr>
          <w:p w14:paraId="1017976D"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Cell-wall regulation</w:t>
            </w:r>
          </w:p>
        </w:tc>
        <w:tc>
          <w:tcPr>
            <w:tcW w:w="2123" w:type="pct"/>
            <w:tcBorders>
              <w:top w:val="nil"/>
              <w:left w:val="nil"/>
              <w:bottom w:val="single" w:sz="4" w:space="0" w:color="auto"/>
              <w:right w:val="single" w:sz="4" w:space="0" w:color="auto"/>
            </w:tcBorders>
            <w:shd w:val="clear" w:color="auto" w:fill="auto"/>
            <w:vAlign w:val="center"/>
            <w:hideMark/>
          </w:tcPr>
          <w:p w14:paraId="7418DDDA"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Activates adhesion and biofilm genes in response to maize organic acids and mucilage contact.</w:t>
            </w:r>
          </w:p>
        </w:tc>
        <w:tc>
          <w:tcPr>
            <w:tcW w:w="1190" w:type="pct"/>
            <w:tcBorders>
              <w:top w:val="nil"/>
              <w:left w:val="nil"/>
              <w:bottom w:val="single" w:sz="4" w:space="0" w:color="auto"/>
              <w:right w:val="single" w:sz="4" w:space="0" w:color="auto"/>
            </w:tcBorders>
            <w:shd w:val="clear" w:color="auto" w:fill="auto"/>
            <w:vAlign w:val="center"/>
            <w:hideMark/>
          </w:tcPr>
          <w:p w14:paraId="7903E94E" w14:textId="77777777" w:rsidR="00CD5A8B" w:rsidRPr="00CD5A8B" w:rsidRDefault="00CD5A8B" w:rsidP="00CD5A8B">
            <w:pPr>
              <w:spacing w:after="0" w:line="240" w:lineRule="auto"/>
              <w:rPr>
                <w:rFonts w:ascii="Calibri" w:eastAsia="Times New Roman" w:hAnsi="Calibri" w:cs="Calibri"/>
                <w:color w:val="000000"/>
                <w:sz w:val="22"/>
                <w:szCs w:val="22"/>
              </w:rPr>
            </w:pPr>
            <w:hyperlink r:id="rId34" w:history="1">
              <w:r w:rsidRPr="00CD5A8B">
                <w:rPr>
                  <w:rFonts w:ascii="Calibri" w:eastAsia="Times New Roman" w:hAnsi="Calibri" w:cs="Calibri"/>
                  <w:color w:val="000000"/>
                  <w:sz w:val="22"/>
                  <w:szCs w:val="22"/>
                </w:rPr>
                <w:t>https://doi.org/10.3390/jcm12030767</w:t>
              </w:r>
            </w:hyperlink>
          </w:p>
        </w:tc>
      </w:tr>
      <w:tr w:rsidR="00F168AA" w:rsidRPr="00CD5A8B" w14:paraId="6719BE4A" w14:textId="77777777" w:rsidTr="002F7E6B">
        <w:trPr>
          <w:trHeight w:val="9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5AC66716"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lastRenderedPageBreak/>
              <w:t>bcrC</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086D9D59"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Bacitracin resistance protein</w:t>
            </w:r>
          </w:p>
        </w:tc>
        <w:tc>
          <w:tcPr>
            <w:tcW w:w="555" w:type="pct"/>
            <w:tcBorders>
              <w:top w:val="nil"/>
              <w:left w:val="nil"/>
              <w:bottom w:val="single" w:sz="4" w:space="0" w:color="auto"/>
              <w:right w:val="single" w:sz="4" w:space="0" w:color="auto"/>
            </w:tcBorders>
            <w:shd w:val="clear" w:color="auto" w:fill="auto"/>
            <w:vAlign w:val="center"/>
            <w:hideMark/>
          </w:tcPr>
          <w:p w14:paraId="703A1773"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Recycles lipid carriers</w:t>
            </w:r>
          </w:p>
        </w:tc>
        <w:tc>
          <w:tcPr>
            <w:tcW w:w="2123" w:type="pct"/>
            <w:tcBorders>
              <w:top w:val="nil"/>
              <w:left w:val="nil"/>
              <w:bottom w:val="single" w:sz="4" w:space="0" w:color="auto"/>
              <w:right w:val="single" w:sz="4" w:space="0" w:color="auto"/>
            </w:tcBorders>
            <w:shd w:val="clear" w:color="auto" w:fill="auto"/>
            <w:vAlign w:val="center"/>
            <w:hideMark/>
          </w:tcPr>
          <w:p w14:paraId="7FA298D9"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Supports cell-wall repair during mild antimicrobial stress from benzoxazinoid-derived compounds.</w:t>
            </w:r>
          </w:p>
        </w:tc>
        <w:tc>
          <w:tcPr>
            <w:tcW w:w="1190" w:type="pct"/>
            <w:tcBorders>
              <w:top w:val="nil"/>
              <w:left w:val="nil"/>
              <w:bottom w:val="single" w:sz="4" w:space="0" w:color="auto"/>
              <w:right w:val="single" w:sz="4" w:space="0" w:color="auto"/>
            </w:tcBorders>
            <w:shd w:val="clear" w:color="auto" w:fill="auto"/>
            <w:vAlign w:val="center"/>
            <w:hideMark/>
          </w:tcPr>
          <w:p w14:paraId="1BCEC9A0" w14:textId="77777777" w:rsidR="00CD5A8B" w:rsidRPr="00CD5A8B" w:rsidRDefault="00CD5A8B" w:rsidP="00CD5A8B">
            <w:pPr>
              <w:spacing w:after="0" w:line="240" w:lineRule="auto"/>
              <w:rPr>
                <w:rFonts w:ascii="Calibri" w:eastAsia="Times New Roman" w:hAnsi="Calibri" w:cs="Calibri"/>
                <w:color w:val="000000"/>
                <w:sz w:val="22"/>
                <w:szCs w:val="22"/>
              </w:rPr>
            </w:pPr>
            <w:hyperlink r:id="rId35" w:history="1">
              <w:r w:rsidRPr="00CD5A8B">
                <w:rPr>
                  <w:rFonts w:ascii="Calibri" w:eastAsia="Times New Roman" w:hAnsi="Calibri" w:cs="Calibri"/>
                  <w:color w:val="000000"/>
                  <w:sz w:val="22"/>
                  <w:szCs w:val="22"/>
                </w:rPr>
                <w:t xml:space="preserve">https://doi.org/10.1038/s41598-025-08736-2 </w:t>
              </w:r>
            </w:hyperlink>
          </w:p>
        </w:tc>
      </w:tr>
      <w:tr w:rsidR="00F168AA" w:rsidRPr="00CD5A8B" w14:paraId="2119B162" w14:textId="77777777" w:rsidTr="002F7E6B">
        <w:trPr>
          <w:trHeight w:val="6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61A5FB71"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bmrA</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37AC00BB"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Multidrug efflux transporter</w:t>
            </w:r>
          </w:p>
        </w:tc>
        <w:tc>
          <w:tcPr>
            <w:tcW w:w="555" w:type="pct"/>
            <w:tcBorders>
              <w:top w:val="nil"/>
              <w:left w:val="nil"/>
              <w:bottom w:val="single" w:sz="4" w:space="0" w:color="auto"/>
              <w:right w:val="single" w:sz="4" w:space="0" w:color="auto"/>
            </w:tcBorders>
            <w:shd w:val="clear" w:color="auto" w:fill="auto"/>
            <w:vAlign w:val="center"/>
            <w:hideMark/>
          </w:tcPr>
          <w:p w14:paraId="5CA4E83D"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Detoxification</w:t>
            </w:r>
          </w:p>
        </w:tc>
        <w:tc>
          <w:tcPr>
            <w:tcW w:w="2123" w:type="pct"/>
            <w:tcBorders>
              <w:top w:val="nil"/>
              <w:left w:val="nil"/>
              <w:bottom w:val="single" w:sz="4" w:space="0" w:color="auto"/>
              <w:right w:val="single" w:sz="4" w:space="0" w:color="auto"/>
            </w:tcBorders>
            <w:shd w:val="clear" w:color="auto" w:fill="auto"/>
            <w:vAlign w:val="center"/>
            <w:hideMark/>
          </w:tcPr>
          <w:p w14:paraId="3D6E51FD"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Pumps out benzoxazinoids, weak lipophilic antimicrobials, and phenolics secreted by maize roots.</w:t>
            </w:r>
          </w:p>
        </w:tc>
        <w:tc>
          <w:tcPr>
            <w:tcW w:w="1190" w:type="pct"/>
            <w:tcBorders>
              <w:top w:val="nil"/>
              <w:left w:val="nil"/>
              <w:bottom w:val="single" w:sz="4" w:space="0" w:color="auto"/>
              <w:right w:val="single" w:sz="4" w:space="0" w:color="auto"/>
            </w:tcBorders>
            <w:shd w:val="clear" w:color="auto" w:fill="auto"/>
            <w:vAlign w:val="center"/>
            <w:hideMark/>
          </w:tcPr>
          <w:p w14:paraId="4C4C2AFB" w14:textId="77777777" w:rsidR="00CD5A8B" w:rsidRPr="00CD5A8B" w:rsidRDefault="00CD5A8B" w:rsidP="00CD5A8B">
            <w:pPr>
              <w:spacing w:after="0" w:line="240" w:lineRule="auto"/>
              <w:rPr>
                <w:rFonts w:ascii="Calibri" w:eastAsia="Times New Roman" w:hAnsi="Calibri" w:cs="Calibri"/>
                <w:color w:val="000000"/>
                <w:sz w:val="22"/>
                <w:szCs w:val="22"/>
              </w:rPr>
            </w:pPr>
            <w:hyperlink r:id="rId36" w:history="1">
              <w:r w:rsidRPr="00CD5A8B">
                <w:rPr>
                  <w:rFonts w:ascii="Calibri" w:eastAsia="Times New Roman" w:hAnsi="Calibri" w:cs="Calibri"/>
                  <w:color w:val="000000"/>
                  <w:sz w:val="22"/>
                  <w:szCs w:val="22"/>
                </w:rPr>
                <w:t>https://doi.org/10.3390/ijms24065239</w:t>
              </w:r>
            </w:hyperlink>
          </w:p>
        </w:tc>
      </w:tr>
      <w:tr w:rsidR="00F168AA" w:rsidRPr="00CD5A8B" w14:paraId="2ED0BA48" w14:textId="77777777" w:rsidTr="002F7E6B">
        <w:trPr>
          <w:trHeight w:val="6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71B6BA0A"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des_1</w:t>
            </w:r>
          </w:p>
        </w:tc>
        <w:tc>
          <w:tcPr>
            <w:tcW w:w="631" w:type="pct"/>
            <w:tcBorders>
              <w:top w:val="nil"/>
              <w:left w:val="nil"/>
              <w:bottom w:val="single" w:sz="4" w:space="0" w:color="auto"/>
              <w:right w:val="single" w:sz="4" w:space="0" w:color="auto"/>
            </w:tcBorders>
            <w:shd w:val="clear" w:color="auto" w:fill="auto"/>
            <w:vAlign w:val="center"/>
            <w:hideMark/>
          </w:tcPr>
          <w:p w14:paraId="0A0C0FBE"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Fatty acid desaturase</w:t>
            </w:r>
          </w:p>
        </w:tc>
        <w:tc>
          <w:tcPr>
            <w:tcW w:w="555" w:type="pct"/>
            <w:tcBorders>
              <w:top w:val="nil"/>
              <w:left w:val="nil"/>
              <w:bottom w:val="single" w:sz="4" w:space="0" w:color="auto"/>
              <w:right w:val="single" w:sz="4" w:space="0" w:color="auto"/>
            </w:tcBorders>
            <w:shd w:val="clear" w:color="auto" w:fill="auto"/>
            <w:vAlign w:val="center"/>
            <w:hideMark/>
          </w:tcPr>
          <w:p w14:paraId="0BC4941D"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Membrane fluidity modulation</w:t>
            </w:r>
          </w:p>
        </w:tc>
        <w:tc>
          <w:tcPr>
            <w:tcW w:w="2123" w:type="pct"/>
            <w:tcBorders>
              <w:top w:val="nil"/>
              <w:left w:val="nil"/>
              <w:bottom w:val="single" w:sz="4" w:space="0" w:color="auto"/>
              <w:right w:val="single" w:sz="4" w:space="0" w:color="auto"/>
            </w:tcBorders>
            <w:shd w:val="clear" w:color="auto" w:fill="auto"/>
            <w:vAlign w:val="center"/>
            <w:hideMark/>
          </w:tcPr>
          <w:p w14:paraId="0F72D6D5"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Maintains membrane integrity under osmotic shifts created by sugar-rich exudates.</w:t>
            </w:r>
          </w:p>
        </w:tc>
        <w:tc>
          <w:tcPr>
            <w:tcW w:w="1190" w:type="pct"/>
            <w:tcBorders>
              <w:top w:val="nil"/>
              <w:left w:val="nil"/>
              <w:bottom w:val="single" w:sz="4" w:space="0" w:color="auto"/>
              <w:right w:val="single" w:sz="4" w:space="0" w:color="auto"/>
            </w:tcBorders>
            <w:shd w:val="clear" w:color="auto" w:fill="auto"/>
            <w:vAlign w:val="center"/>
            <w:hideMark/>
          </w:tcPr>
          <w:p w14:paraId="43A868FE" w14:textId="77777777" w:rsidR="00CD5A8B" w:rsidRPr="00CD5A8B" w:rsidRDefault="00CD5A8B" w:rsidP="00CD5A8B">
            <w:pPr>
              <w:spacing w:after="0" w:line="240" w:lineRule="auto"/>
              <w:rPr>
                <w:rFonts w:ascii="Calibri" w:eastAsia="Times New Roman" w:hAnsi="Calibri" w:cs="Calibri"/>
                <w:color w:val="000000"/>
                <w:sz w:val="22"/>
                <w:szCs w:val="22"/>
              </w:rPr>
            </w:pPr>
            <w:hyperlink r:id="rId37" w:history="1">
              <w:r w:rsidRPr="00CD5A8B">
                <w:rPr>
                  <w:rFonts w:ascii="Calibri" w:eastAsia="Times New Roman" w:hAnsi="Calibri" w:cs="Calibri"/>
                  <w:color w:val="000000"/>
                  <w:sz w:val="22"/>
                  <w:szCs w:val="22"/>
                </w:rPr>
                <w:t>https://doi.org/10.3390/ijms24032765</w:t>
              </w:r>
            </w:hyperlink>
          </w:p>
        </w:tc>
      </w:tr>
      <w:tr w:rsidR="00F168AA" w:rsidRPr="00CD5A8B" w14:paraId="5BD2CDE9" w14:textId="77777777" w:rsidTr="002F7E6B">
        <w:trPr>
          <w:trHeight w:val="6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1887261D"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sasA</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13CDE4BB"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Sensor kinase</w:t>
            </w:r>
          </w:p>
        </w:tc>
        <w:tc>
          <w:tcPr>
            <w:tcW w:w="555" w:type="pct"/>
            <w:tcBorders>
              <w:top w:val="nil"/>
              <w:left w:val="nil"/>
              <w:bottom w:val="single" w:sz="4" w:space="0" w:color="auto"/>
              <w:right w:val="single" w:sz="4" w:space="0" w:color="auto"/>
            </w:tcBorders>
            <w:shd w:val="clear" w:color="auto" w:fill="auto"/>
            <w:vAlign w:val="center"/>
            <w:hideMark/>
          </w:tcPr>
          <w:p w14:paraId="5CCC8444"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Stress sensing</w:t>
            </w:r>
          </w:p>
        </w:tc>
        <w:tc>
          <w:tcPr>
            <w:tcW w:w="2123" w:type="pct"/>
            <w:tcBorders>
              <w:top w:val="nil"/>
              <w:left w:val="nil"/>
              <w:bottom w:val="single" w:sz="4" w:space="0" w:color="auto"/>
              <w:right w:val="single" w:sz="4" w:space="0" w:color="auto"/>
            </w:tcBorders>
            <w:shd w:val="clear" w:color="auto" w:fill="auto"/>
            <w:vAlign w:val="center"/>
            <w:hideMark/>
          </w:tcPr>
          <w:p w14:paraId="2CFB1698"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Detects osmotic, pH, and acid–sugar gradients in maize exudates and activates adaptive responses.</w:t>
            </w:r>
          </w:p>
        </w:tc>
        <w:tc>
          <w:tcPr>
            <w:tcW w:w="1190" w:type="pct"/>
            <w:tcBorders>
              <w:top w:val="nil"/>
              <w:left w:val="nil"/>
              <w:bottom w:val="single" w:sz="4" w:space="0" w:color="auto"/>
              <w:right w:val="single" w:sz="4" w:space="0" w:color="auto"/>
            </w:tcBorders>
            <w:shd w:val="clear" w:color="auto" w:fill="auto"/>
            <w:vAlign w:val="center"/>
            <w:hideMark/>
          </w:tcPr>
          <w:p w14:paraId="379EA2A8" w14:textId="77777777" w:rsidR="00CD5A8B" w:rsidRPr="00CD5A8B" w:rsidRDefault="00CD5A8B" w:rsidP="00CD5A8B">
            <w:pPr>
              <w:spacing w:after="0" w:line="240" w:lineRule="auto"/>
              <w:rPr>
                <w:rFonts w:ascii="Calibri" w:eastAsia="Times New Roman" w:hAnsi="Calibri" w:cs="Calibri"/>
                <w:color w:val="000000"/>
                <w:sz w:val="22"/>
                <w:szCs w:val="22"/>
              </w:rPr>
            </w:pPr>
            <w:hyperlink r:id="rId38" w:history="1">
              <w:r w:rsidRPr="00CD5A8B">
                <w:rPr>
                  <w:rFonts w:ascii="Calibri" w:eastAsia="Times New Roman" w:hAnsi="Calibri" w:cs="Calibri"/>
                  <w:color w:val="000000"/>
                  <w:sz w:val="22"/>
                  <w:szCs w:val="22"/>
                </w:rPr>
                <w:t>https://doi.org/10.3390/ijms25115785</w:t>
              </w:r>
            </w:hyperlink>
          </w:p>
        </w:tc>
      </w:tr>
      <w:tr w:rsidR="00F168AA" w:rsidRPr="00CD5A8B" w14:paraId="5E7946F2" w14:textId="77777777" w:rsidTr="002F7E6B">
        <w:trPr>
          <w:trHeight w:val="6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41325D67"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cmpR</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443618A0"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Transcriptional activator</w:t>
            </w:r>
          </w:p>
        </w:tc>
        <w:tc>
          <w:tcPr>
            <w:tcW w:w="555" w:type="pct"/>
            <w:tcBorders>
              <w:top w:val="nil"/>
              <w:left w:val="nil"/>
              <w:bottom w:val="single" w:sz="4" w:space="0" w:color="auto"/>
              <w:right w:val="single" w:sz="4" w:space="0" w:color="auto"/>
            </w:tcBorders>
            <w:shd w:val="clear" w:color="auto" w:fill="auto"/>
            <w:vAlign w:val="center"/>
            <w:hideMark/>
          </w:tcPr>
          <w:p w14:paraId="6A5B94A7"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Carbon and amino acid metabolism</w:t>
            </w:r>
          </w:p>
        </w:tc>
        <w:tc>
          <w:tcPr>
            <w:tcW w:w="2123" w:type="pct"/>
            <w:tcBorders>
              <w:top w:val="nil"/>
              <w:left w:val="nil"/>
              <w:bottom w:val="single" w:sz="4" w:space="0" w:color="auto"/>
              <w:right w:val="single" w:sz="4" w:space="0" w:color="auto"/>
            </w:tcBorders>
            <w:shd w:val="clear" w:color="auto" w:fill="auto"/>
            <w:vAlign w:val="center"/>
            <w:hideMark/>
          </w:tcPr>
          <w:p w14:paraId="5662C566"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Enables utilization of maize amino acids, organic acids (malate, citrate</w:t>
            </w:r>
            <w:proofErr w:type="gramStart"/>
            <w:r w:rsidRPr="00CD5A8B">
              <w:rPr>
                <w:rFonts w:ascii="Calibri" w:eastAsia="Times New Roman" w:hAnsi="Calibri" w:cs="Calibri"/>
                <w:color w:val="000000"/>
                <w:sz w:val="22"/>
                <w:szCs w:val="22"/>
              </w:rPr>
              <w:t>) ,sugar</w:t>
            </w:r>
            <w:proofErr w:type="gramEnd"/>
            <w:r w:rsidRPr="00CD5A8B">
              <w:rPr>
                <w:rFonts w:ascii="Calibri" w:eastAsia="Times New Roman" w:hAnsi="Calibri" w:cs="Calibri"/>
                <w:color w:val="000000"/>
                <w:sz w:val="22"/>
                <w:szCs w:val="22"/>
              </w:rPr>
              <w:t>-derived carbon sources.</w:t>
            </w:r>
          </w:p>
        </w:tc>
        <w:tc>
          <w:tcPr>
            <w:tcW w:w="1190" w:type="pct"/>
            <w:tcBorders>
              <w:top w:val="nil"/>
              <w:left w:val="nil"/>
              <w:bottom w:val="single" w:sz="4" w:space="0" w:color="auto"/>
              <w:right w:val="single" w:sz="4" w:space="0" w:color="auto"/>
            </w:tcBorders>
            <w:shd w:val="clear" w:color="auto" w:fill="auto"/>
            <w:vAlign w:val="center"/>
            <w:hideMark/>
          </w:tcPr>
          <w:p w14:paraId="263BC820" w14:textId="77777777" w:rsidR="00CD5A8B" w:rsidRPr="00CD5A8B" w:rsidRDefault="00CD5A8B" w:rsidP="00CD5A8B">
            <w:pPr>
              <w:spacing w:after="0" w:line="240" w:lineRule="auto"/>
              <w:rPr>
                <w:rFonts w:ascii="Calibri" w:eastAsia="Times New Roman" w:hAnsi="Calibri" w:cs="Calibri"/>
                <w:color w:val="000000"/>
                <w:sz w:val="22"/>
                <w:szCs w:val="22"/>
              </w:rPr>
            </w:pPr>
            <w:hyperlink r:id="rId39" w:history="1">
              <w:r w:rsidRPr="00CD5A8B">
                <w:rPr>
                  <w:rFonts w:ascii="Calibri" w:eastAsia="Times New Roman" w:hAnsi="Calibri" w:cs="Calibri"/>
                  <w:color w:val="000000"/>
                  <w:sz w:val="22"/>
                  <w:szCs w:val="22"/>
                </w:rPr>
                <w:t>https://doi.org/10.1111/ppl.14140</w:t>
              </w:r>
            </w:hyperlink>
          </w:p>
        </w:tc>
      </w:tr>
      <w:tr w:rsidR="00F168AA" w:rsidRPr="00CD5A8B" w14:paraId="39FA9BD6" w14:textId="77777777" w:rsidTr="002F7E6B">
        <w:trPr>
          <w:trHeight w:val="6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6DA38B27"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yueB</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361E3DD2"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ESX secretion-associated protein</w:t>
            </w:r>
          </w:p>
        </w:tc>
        <w:tc>
          <w:tcPr>
            <w:tcW w:w="555" w:type="pct"/>
            <w:tcBorders>
              <w:top w:val="nil"/>
              <w:left w:val="nil"/>
              <w:bottom w:val="single" w:sz="4" w:space="0" w:color="auto"/>
              <w:right w:val="single" w:sz="4" w:space="0" w:color="auto"/>
            </w:tcBorders>
            <w:shd w:val="clear" w:color="auto" w:fill="auto"/>
            <w:vAlign w:val="center"/>
            <w:hideMark/>
          </w:tcPr>
          <w:p w14:paraId="4136756F"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Protein secretion</w:t>
            </w:r>
          </w:p>
        </w:tc>
        <w:tc>
          <w:tcPr>
            <w:tcW w:w="2123" w:type="pct"/>
            <w:tcBorders>
              <w:top w:val="nil"/>
              <w:left w:val="nil"/>
              <w:bottom w:val="single" w:sz="4" w:space="0" w:color="auto"/>
              <w:right w:val="single" w:sz="4" w:space="0" w:color="auto"/>
            </w:tcBorders>
            <w:shd w:val="clear" w:color="auto" w:fill="auto"/>
            <w:vAlign w:val="center"/>
            <w:hideMark/>
          </w:tcPr>
          <w:p w14:paraId="6143FC7D"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Enhances competitive fitness and colonization on maize epidermal surfaces.</w:t>
            </w:r>
          </w:p>
        </w:tc>
        <w:tc>
          <w:tcPr>
            <w:tcW w:w="1190" w:type="pct"/>
            <w:tcBorders>
              <w:top w:val="nil"/>
              <w:left w:val="nil"/>
              <w:bottom w:val="single" w:sz="4" w:space="0" w:color="auto"/>
              <w:right w:val="single" w:sz="4" w:space="0" w:color="auto"/>
            </w:tcBorders>
            <w:shd w:val="clear" w:color="auto" w:fill="auto"/>
            <w:vAlign w:val="center"/>
            <w:hideMark/>
          </w:tcPr>
          <w:p w14:paraId="083A2719" w14:textId="77777777" w:rsidR="00CD5A8B" w:rsidRPr="00CD5A8B" w:rsidRDefault="00CD5A8B" w:rsidP="00CD5A8B">
            <w:pPr>
              <w:spacing w:after="0" w:line="240" w:lineRule="auto"/>
              <w:rPr>
                <w:rFonts w:ascii="Arial" w:eastAsia="Times New Roman" w:hAnsi="Arial" w:cs="Arial"/>
                <w:color w:val="000000"/>
                <w:sz w:val="20"/>
                <w:szCs w:val="20"/>
              </w:rPr>
            </w:pPr>
            <w:r w:rsidRPr="00CD5A8B">
              <w:rPr>
                <w:rFonts w:ascii="Arial" w:eastAsia="Times New Roman" w:hAnsi="Arial" w:cs="Arial"/>
                <w:color w:val="000000"/>
                <w:sz w:val="20"/>
                <w:szCs w:val="20"/>
              </w:rPr>
              <w:t>https://doi.org/10.3390/ijms26062592</w:t>
            </w:r>
          </w:p>
        </w:tc>
      </w:tr>
      <w:tr w:rsidR="00F168AA" w:rsidRPr="00CD5A8B" w14:paraId="35BE57A9" w14:textId="77777777" w:rsidTr="002F7E6B">
        <w:trPr>
          <w:trHeight w:val="9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5E392B98"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strE</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524A51AA"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dTDP</w:t>
            </w:r>
            <w:proofErr w:type="spellEnd"/>
            <w:r w:rsidRPr="002F7E6B">
              <w:rPr>
                <w:rFonts w:ascii="Calibri" w:eastAsia="Times New Roman" w:hAnsi="Calibri" w:cs="Calibri"/>
                <w:color w:val="000000"/>
                <w:sz w:val="22"/>
                <w:szCs w:val="22"/>
              </w:rPr>
              <w:t>-glucose dehydratase</w:t>
            </w:r>
          </w:p>
        </w:tc>
        <w:tc>
          <w:tcPr>
            <w:tcW w:w="555" w:type="pct"/>
            <w:tcBorders>
              <w:top w:val="nil"/>
              <w:left w:val="nil"/>
              <w:bottom w:val="single" w:sz="4" w:space="0" w:color="auto"/>
              <w:right w:val="single" w:sz="4" w:space="0" w:color="auto"/>
            </w:tcBorders>
            <w:shd w:val="clear" w:color="auto" w:fill="auto"/>
            <w:vAlign w:val="center"/>
            <w:hideMark/>
          </w:tcPr>
          <w:p w14:paraId="082BD2BC"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EPS precursor synthesis</w:t>
            </w:r>
          </w:p>
        </w:tc>
        <w:tc>
          <w:tcPr>
            <w:tcW w:w="2123" w:type="pct"/>
            <w:tcBorders>
              <w:top w:val="nil"/>
              <w:left w:val="nil"/>
              <w:bottom w:val="single" w:sz="4" w:space="0" w:color="auto"/>
              <w:right w:val="single" w:sz="4" w:space="0" w:color="auto"/>
            </w:tcBorders>
            <w:shd w:val="clear" w:color="auto" w:fill="auto"/>
            <w:vAlign w:val="center"/>
            <w:hideMark/>
          </w:tcPr>
          <w:p w14:paraId="14401FF6"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Supports EPS matrix formation needed for stable colonization of mucilage-coated maize roots.</w:t>
            </w:r>
          </w:p>
        </w:tc>
        <w:tc>
          <w:tcPr>
            <w:tcW w:w="1190" w:type="pct"/>
            <w:tcBorders>
              <w:top w:val="nil"/>
              <w:left w:val="nil"/>
              <w:bottom w:val="single" w:sz="4" w:space="0" w:color="auto"/>
              <w:right w:val="single" w:sz="4" w:space="0" w:color="auto"/>
            </w:tcBorders>
            <w:shd w:val="clear" w:color="auto" w:fill="auto"/>
            <w:vAlign w:val="center"/>
            <w:hideMark/>
          </w:tcPr>
          <w:p w14:paraId="7B16D38A" w14:textId="77777777" w:rsidR="00CD5A8B" w:rsidRPr="00CD5A8B" w:rsidRDefault="00CD5A8B" w:rsidP="00CD5A8B">
            <w:pPr>
              <w:spacing w:after="0" w:line="240" w:lineRule="auto"/>
              <w:rPr>
                <w:rFonts w:ascii="Calibri" w:eastAsia="Times New Roman" w:hAnsi="Calibri" w:cs="Calibri"/>
                <w:color w:val="000000"/>
                <w:sz w:val="22"/>
                <w:szCs w:val="22"/>
              </w:rPr>
            </w:pPr>
            <w:hyperlink r:id="rId40" w:history="1">
              <w:r w:rsidRPr="00CD5A8B">
                <w:rPr>
                  <w:rFonts w:ascii="Calibri" w:eastAsia="Times New Roman" w:hAnsi="Calibri" w:cs="Calibri"/>
                  <w:color w:val="000000"/>
                  <w:sz w:val="22"/>
                  <w:szCs w:val="22"/>
                </w:rPr>
                <w:t>https://doi.org/10.3389/fmicb.2022.956332</w:t>
              </w:r>
            </w:hyperlink>
          </w:p>
        </w:tc>
      </w:tr>
      <w:tr w:rsidR="00F168AA" w:rsidRPr="00CD5A8B" w14:paraId="66BD083E" w14:textId="77777777" w:rsidTr="002F7E6B">
        <w:trPr>
          <w:trHeight w:val="9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6235B20E"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wbpA</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40FC9DC0"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EPS precursor enzyme</w:t>
            </w:r>
          </w:p>
        </w:tc>
        <w:tc>
          <w:tcPr>
            <w:tcW w:w="555" w:type="pct"/>
            <w:tcBorders>
              <w:top w:val="nil"/>
              <w:left w:val="nil"/>
              <w:bottom w:val="single" w:sz="4" w:space="0" w:color="auto"/>
              <w:right w:val="single" w:sz="4" w:space="0" w:color="auto"/>
            </w:tcBorders>
            <w:shd w:val="clear" w:color="auto" w:fill="auto"/>
            <w:vAlign w:val="center"/>
            <w:hideMark/>
          </w:tcPr>
          <w:p w14:paraId="363CA059"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EPS biosynthesis</w:t>
            </w:r>
          </w:p>
        </w:tc>
        <w:tc>
          <w:tcPr>
            <w:tcW w:w="2123" w:type="pct"/>
            <w:tcBorders>
              <w:top w:val="nil"/>
              <w:left w:val="nil"/>
              <w:bottom w:val="single" w:sz="4" w:space="0" w:color="auto"/>
              <w:right w:val="single" w:sz="4" w:space="0" w:color="auto"/>
            </w:tcBorders>
            <w:shd w:val="clear" w:color="auto" w:fill="auto"/>
            <w:vAlign w:val="center"/>
            <w:hideMark/>
          </w:tcPr>
          <w:p w14:paraId="4EE048C1"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Enhances biofilm cohesion and root-surface stability in sugar-rich exudate environments.</w:t>
            </w:r>
          </w:p>
        </w:tc>
        <w:tc>
          <w:tcPr>
            <w:tcW w:w="1190" w:type="pct"/>
            <w:tcBorders>
              <w:top w:val="nil"/>
              <w:left w:val="nil"/>
              <w:bottom w:val="single" w:sz="4" w:space="0" w:color="auto"/>
              <w:right w:val="single" w:sz="4" w:space="0" w:color="auto"/>
            </w:tcBorders>
            <w:shd w:val="clear" w:color="auto" w:fill="auto"/>
            <w:vAlign w:val="center"/>
            <w:hideMark/>
          </w:tcPr>
          <w:p w14:paraId="0D53E677" w14:textId="77777777" w:rsidR="00CD5A8B" w:rsidRPr="00CD5A8B" w:rsidRDefault="00CD5A8B" w:rsidP="00CD5A8B">
            <w:pPr>
              <w:spacing w:after="0" w:line="240" w:lineRule="auto"/>
              <w:rPr>
                <w:rFonts w:ascii="Calibri" w:eastAsia="Times New Roman" w:hAnsi="Calibri" w:cs="Calibri"/>
                <w:color w:val="000000"/>
                <w:sz w:val="22"/>
                <w:szCs w:val="22"/>
              </w:rPr>
            </w:pPr>
            <w:hyperlink r:id="rId41" w:history="1">
              <w:r w:rsidRPr="00CD5A8B">
                <w:rPr>
                  <w:rFonts w:ascii="Calibri" w:eastAsia="Times New Roman" w:hAnsi="Calibri" w:cs="Calibri"/>
                  <w:color w:val="000000"/>
                  <w:sz w:val="22"/>
                  <w:szCs w:val="22"/>
                </w:rPr>
                <w:t xml:space="preserve">https://doi.org/10.1186/s12934-025-02846-2 </w:t>
              </w:r>
            </w:hyperlink>
          </w:p>
        </w:tc>
      </w:tr>
      <w:tr w:rsidR="00F168AA" w:rsidRPr="00CD5A8B" w14:paraId="0267DC02" w14:textId="77777777" w:rsidTr="002F7E6B">
        <w:trPr>
          <w:trHeight w:val="6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7CF22862"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fabF</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71042D16"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Fatty acid synthase component</w:t>
            </w:r>
          </w:p>
        </w:tc>
        <w:tc>
          <w:tcPr>
            <w:tcW w:w="555" w:type="pct"/>
            <w:tcBorders>
              <w:top w:val="nil"/>
              <w:left w:val="nil"/>
              <w:bottom w:val="single" w:sz="4" w:space="0" w:color="auto"/>
              <w:right w:val="single" w:sz="4" w:space="0" w:color="auto"/>
            </w:tcBorders>
            <w:shd w:val="clear" w:color="auto" w:fill="auto"/>
            <w:vAlign w:val="center"/>
            <w:hideMark/>
          </w:tcPr>
          <w:p w14:paraId="48429E00"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Membrane lipid synthesis</w:t>
            </w:r>
          </w:p>
        </w:tc>
        <w:tc>
          <w:tcPr>
            <w:tcW w:w="2123" w:type="pct"/>
            <w:tcBorders>
              <w:top w:val="nil"/>
              <w:left w:val="nil"/>
              <w:bottom w:val="single" w:sz="4" w:space="0" w:color="auto"/>
              <w:right w:val="single" w:sz="4" w:space="0" w:color="auto"/>
            </w:tcBorders>
            <w:shd w:val="clear" w:color="auto" w:fill="auto"/>
            <w:vAlign w:val="center"/>
            <w:hideMark/>
          </w:tcPr>
          <w:p w14:paraId="3EB44D54"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Supports membrane adaptation under osmotic stress and exposure to maize-derived fatty acids.</w:t>
            </w:r>
          </w:p>
        </w:tc>
        <w:tc>
          <w:tcPr>
            <w:tcW w:w="1190" w:type="pct"/>
            <w:tcBorders>
              <w:top w:val="nil"/>
              <w:left w:val="nil"/>
              <w:bottom w:val="single" w:sz="4" w:space="0" w:color="auto"/>
              <w:right w:val="single" w:sz="4" w:space="0" w:color="auto"/>
            </w:tcBorders>
            <w:shd w:val="clear" w:color="auto" w:fill="auto"/>
            <w:vAlign w:val="center"/>
            <w:hideMark/>
          </w:tcPr>
          <w:p w14:paraId="26075580" w14:textId="77777777" w:rsidR="00CD5A8B" w:rsidRPr="00CD5A8B" w:rsidRDefault="00CD5A8B" w:rsidP="00CD5A8B">
            <w:pPr>
              <w:spacing w:after="0" w:line="240" w:lineRule="auto"/>
              <w:rPr>
                <w:rFonts w:ascii="Calibri" w:eastAsia="Times New Roman" w:hAnsi="Calibri" w:cs="Calibri"/>
                <w:color w:val="000000"/>
                <w:sz w:val="22"/>
                <w:szCs w:val="22"/>
              </w:rPr>
            </w:pPr>
            <w:hyperlink r:id="rId42" w:history="1">
              <w:r w:rsidRPr="00CD5A8B">
                <w:rPr>
                  <w:rFonts w:ascii="Calibri" w:eastAsia="Times New Roman" w:hAnsi="Calibri" w:cs="Calibri"/>
                  <w:color w:val="000000"/>
                  <w:sz w:val="22"/>
                  <w:szCs w:val="22"/>
                </w:rPr>
                <w:t>https://doi.org/10.3390/plants13091227</w:t>
              </w:r>
            </w:hyperlink>
          </w:p>
        </w:tc>
      </w:tr>
      <w:tr w:rsidR="00F168AA" w:rsidRPr="00CD5A8B" w14:paraId="43D9147F" w14:textId="77777777" w:rsidTr="002F7E6B">
        <w:trPr>
          <w:trHeight w:val="9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656FD74C"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nhoA</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0EA35CA6"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Arylamine acetyltransferase</w:t>
            </w:r>
          </w:p>
        </w:tc>
        <w:tc>
          <w:tcPr>
            <w:tcW w:w="555" w:type="pct"/>
            <w:tcBorders>
              <w:top w:val="nil"/>
              <w:left w:val="nil"/>
              <w:bottom w:val="single" w:sz="4" w:space="0" w:color="auto"/>
              <w:right w:val="single" w:sz="4" w:space="0" w:color="auto"/>
            </w:tcBorders>
            <w:shd w:val="clear" w:color="auto" w:fill="auto"/>
            <w:vAlign w:val="center"/>
            <w:hideMark/>
          </w:tcPr>
          <w:p w14:paraId="2C261536"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Detoxification of aromatics</w:t>
            </w:r>
          </w:p>
        </w:tc>
        <w:tc>
          <w:tcPr>
            <w:tcW w:w="2123" w:type="pct"/>
            <w:tcBorders>
              <w:top w:val="nil"/>
              <w:left w:val="nil"/>
              <w:bottom w:val="single" w:sz="4" w:space="0" w:color="auto"/>
              <w:right w:val="single" w:sz="4" w:space="0" w:color="auto"/>
            </w:tcBorders>
            <w:shd w:val="clear" w:color="auto" w:fill="auto"/>
            <w:vAlign w:val="center"/>
            <w:hideMark/>
          </w:tcPr>
          <w:p w14:paraId="4C088857"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Neutralizes aromatic intermediates and phenolic derivatives present in maize exudates.</w:t>
            </w:r>
          </w:p>
        </w:tc>
        <w:tc>
          <w:tcPr>
            <w:tcW w:w="1190" w:type="pct"/>
            <w:tcBorders>
              <w:top w:val="nil"/>
              <w:left w:val="nil"/>
              <w:bottom w:val="single" w:sz="4" w:space="0" w:color="auto"/>
              <w:right w:val="single" w:sz="4" w:space="0" w:color="auto"/>
            </w:tcBorders>
            <w:shd w:val="clear" w:color="auto" w:fill="auto"/>
            <w:vAlign w:val="center"/>
            <w:hideMark/>
          </w:tcPr>
          <w:p w14:paraId="7E6355A2" w14:textId="77777777" w:rsidR="00CD5A8B" w:rsidRPr="00CD5A8B" w:rsidRDefault="00CD5A8B" w:rsidP="00CD5A8B">
            <w:pPr>
              <w:spacing w:after="0" w:line="240" w:lineRule="auto"/>
              <w:rPr>
                <w:rFonts w:ascii="Calibri" w:eastAsia="Times New Roman" w:hAnsi="Calibri" w:cs="Calibri"/>
                <w:color w:val="000000"/>
                <w:sz w:val="22"/>
                <w:szCs w:val="22"/>
              </w:rPr>
            </w:pPr>
            <w:hyperlink r:id="rId43" w:history="1">
              <w:r w:rsidRPr="00CD5A8B">
                <w:rPr>
                  <w:rFonts w:ascii="Calibri" w:eastAsia="Times New Roman" w:hAnsi="Calibri" w:cs="Calibri"/>
                  <w:color w:val="000000"/>
                  <w:sz w:val="22"/>
                  <w:szCs w:val="22"/>
                </w:rPr>
                <w:t xml:space="preserve">https://doi.org/10.1038/s41591-023-02217-7 </w:t>
              </w:r>
            </w:hyperlink>
          </w:p>
        </w:tc>
      </w:tr>
      <w:tr w:rsidR="00F168AA" w:rsidRPr="00CD5A8B" w14:paraId="4F1C4F43" w14:textId="77777777" w:rsidTr="002F7E6B">
        <w:trPr>
          <w:trHeight w:val="9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79F434A9"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lastRenderedPageBreak/>
              <w:t>arnB</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28952025"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Lipid A modification enzyme</w:t>
            </w:r>
          </w:p>
        </w:tc>
        <w:tc>
          <w:tcPr>
            <w:tcW w:w="555" w:type="pct"/>
            <w:tcBorders>
              <w:top w:val="nil"/>
              <w:left w:val="nil"/>
              <w:bottom w:val="single" w:sz="4" w:space="0" w:color="auto"/>
              <w:right w:val="single" w:sz="4" w:space="0" w:color="auto"/>
            </w:tcBorders>
            <w:shd w:val="clear" w:color="auto" w:fill="auto"/>
            <w:vAlign w:val="center"/>
            <w:hideMark/>
          </w:tcPr>
          <w:p w14:paraId="7BFF02E1"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Antimicrobial peptide resistance</w:t>
            </w:r>
          </w:p>
        </w:tc>
        <w:tc>
          <w:tcPr>
            <w:tcW w:w="2123" w:type="pct"/>
            <w:tcBorders>
              <w:top w:val="nil"/>
              <w:left w:val="nil"/>
              <w:bottom w:val="single" w:sz="4" w:space="0" w:color="auto"/>
              <w:right w:val="single" w:sz="4" w:space="0" w:color="auto"/>
            </w:tcBorders>
            <w:shd w:val="clear" w:color="auto" w:fill="auto"/>
            <w:vAlign w:val="center"/>
            <w:hideMark/>
          </w:tcPr>
          <w:p w14:paraId="011E70F8"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Provides protection against plant immune-derived peptides triggered by benzoxazinoids.</w:t>
            </w:r>
          </w:p>
        </w:tc>
        <w:tc>
          <w:tcPr>
            <w:tcW w:w="1190" w:type="pct"/>
            <w:tcBorders>
              <w:top w:val="nil"/>
              <w:left w:val="nil"/>
              <w:bottom w:val="single" w:sz="4" w:space="0" w:color="auto"/>
              <w:right w:val="single" w:sz="4" w:space="0" w:color="auto"/>
            </w:tcBorders>
            <w:shd w:val="clear" w:color="auto" w:fill="auto"/>
            <w:vAlign w:val="center"/>
            <w:hideMark/>
          </w:tcPr>
          <w:p w14:paraId="07E09E0F" w14:textId="77777777" w:rsidR="00CD5A8B" w:rsidRPr="00CD5A8B" w:rsidRDefault="00CD5A8B" w:rsidP="00CD5A8B">
            <w:pPr>
              <w:spacing w:after="0" w:line="240" w:lineRule="auto"/>
              <w:rPr>
                <w:rFonts w:ascii="Calibri" w:eastAsia="Times New Roman" w:hAnsi="Calibri" w:cs="Calibri"/>
                <w:color w:val="000000"/>
                <w:sz w:val="22"/>
                <w:szCs w:val="22"/>
              </w:rPr>
            </w:pPr>
            <w:hyperlink r:id="rId44" w:tooltip="DOI URL" w:history="1">
              <w:r w:rsidRPr="00CD5A8B">
                <w:rPr>
                  <w:rFonts w:ascii="Calibri" w:eastAsia="Times New Roman" w:hAnsi="Calibri" w:cs="Calibri"/>
                  <w:color w:val="000000"/>
                  <w:sz w:val="22"/>
                  <w:szCs w:val="22"/>
                </w:rPr>
                <w:t>https://doi.org/10.1021/acs.biochem.3c00293</w:t>
              </w:r>
            </w:hyperlink>
          </w:p>
        </w:tc>
      </w:tr>
      <w:tr w:rsidR="00F168AA" w:rsidRPr="00CD5A8B" w14:paraId="6425FD49" w14:textId="77777777" w:rsidTr="002F7E6B">
        <w:trPr>
          <w:trHeight w:val="9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0C1989F5"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yvcA</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4ACE383F"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Lipoprotein</w:t>
            </w:r>
          </w:p>
        </w:tc>
        <w:tc>
          <w:tcPr>
            <w:tcW w:w="555" w:type="pct"/>
            <w:tcBorders>
              <w:top w:val="nil"/>
              <w:left w:val="nil"/>
              <w:bottom w:val="single" w:sz="4" w:space="0" w:color="auto"/>
              <w:right w:val="single" w:sz="4" w:space="0" w:color="auto"/>
            </w:tcBorders>
            <w:shd w:val="clear" w:color="auto" w:fill="auto"/>
            <w:vAlign w:val="center"/>
            <w:hideMark/>
          </w:tcPr>
          <w:p w14:paraId="6450A439"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Cell envelope maintenance</w:t>
            </w:r>
          </w:p>
        </w:tc>
        <w:tc>
          <w:tcPr>
            <w:tcW w:w="2123" w:type="pct"/>
            <w:tcBorders>
              <w:top w:val="nil"/>
              <w:left w:val="nil"/>
              <w:bottom w:val="single" w:sz="4" w:space="0" w:color="auto"/>
              <w:right w:val="single" w:sz="4" w:space="0" w:color="auto"/>
            </w:tcBorders>
            <w:shd w:val="clear" w:color="auto" w:fill="auto"/>
            <w:vAlign w:val="center"/>
            <w:hideMark/>
          </w:tcPr>
          <w:p w14:paraId="04B908A9"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Contributes to envelope stability and colony morphology under fluctuating soil moisture in maize rhizosphere.</w:t>
            </w:r>
          </w:p>
        </w:tc>
        <w:tc>
          <w:tcPr>
            <w:tcW w:w="1190" w:type="pct"/>
            <w:tcBorders>
              <w:top w:val="nil"/>
              <w:left w:val="nil"/>
              <w:bottom w:val="single" w:sz="4" w:space="0" w:color="auto"/>
              <w:right w:val="single" w:sz="4" w:space="0" w:color="auto"/>
            </w:tcBorders>
            <w:shd w:val="clear" w:color="auto" w:fill="auto"/>
            <w:vAlign w:val="center"/>
            <w:hideMark/>
          </w:tcPr>
          <w:p w14:paraId="498DE8BA" w14:textId="77777777" w:rsidR="00CD5A8B" w:rsidRPr="00CD5A8B" w:rsidRDefault="00CD5A8B" w:rsidP="00CD5A8B">
            <w:pPr>
              <w:spacing w:after="0" w:line="240" w:lineRule="auto"/>
              <w:rPr>
                <w:rFonts w:ascii="Calibri" w:eastAsia="Times New Roman" w:hAnsi="Calibri" w:cs="Calibri"/>
                <w:color w:val="000000"/>
                <w:sz w:val="22"/>
                <w:szCs w:val="22"/>
              </w:rPr>
            </w:pPr>
            <w:hyperlink r:id="rId45" w:history="1">
              <w:r w:rsidRPr="00CD5A8B">
                <w:rPr>
                  <w:rFonts w:ascii="Calibri" w:eastAsia="Times New Roman" w:hAnsi="Calibri" w:cs="Calibri"/>
                  <w:color w:val="000000"/>
                  <w:sz w:val="22"/>
                  <w:szCs w:val="22"/>
                </w:rPr>
                <w:t>https://doi.org/10.3390/microorganisms9030633</w:t>
              </w:r>
            </w:hyperlink>
          </w:p>
        </w:tc>
      </w:tr>
      <w:tr w:rsidR="00F168AA" w:rsidRPr="00CD5A8B" w14:paraId="390C9CE5" w14:textId="77777777" w:rsidTr="002F7E6B">
        <w:trPr>
          <w:trHeight w:val="9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2072D1EE"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yeeK</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6FEC6D53"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Spore coat protein</w:t>
            </w:r>
          </w:p>
        </w:tc>
        <w:tc>
          <w:tcPr>
            <w:tcW w:w="555" w:type="pct"/>
            <w:tcBorders>
              <w:top w:val="nil"/>
              <w:left w:val="nil"/>
              <w:bottom w:val="single" w:sz="4" w:space="0" w:color="auto"/>
              <w:right w:val="single" w:sz="4" w:space="0" w:color="auto"/>
            </w:tcBorders>
            <w:shd w:val="clear" w:color="auto" w:fill="auto"/>
            <w:vAlign w:val="center"/>
            <w:hideMark/>
          </w:tcPr>
          <w:p w14:paraId="5C2B0F7F"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Sporulation</w:t>
            </w:r>
          </w:p>
        </w:tc>
        <w:tc>
          <w:tcPr>
            <w:tcW w:w="2123" w:type="pct"/>
            <w:tcBorders>
              <w:top w:val="nil"/>
              <w:left w:val="nil"/>
              <w:bottom w:val="single" w:sz="4" w:space="0" w:color="auto"/>
              <w:right w:val="single" w:sz="4" w:space="0" w:color="auto"/>
            </w:tcBorders>
            <w:shd w:val="clear" w:color="auto" w:fill="auto"/>
            <w:vAlign w:val="center"/>
            <w:hideMark/>
          </w:tcPr>
          <w:p w14:paraId="7AFE6F33"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Supports persistence in the maize root zone during dry–rewet cycles.</w:t>
            </w:r>
          </w:p>
        </w:tc>
        <w:tc>
          <w:tcPr>
            <w:tcW w:w="1190" w:type="pct"/>
            <w:tcBorders>
              <w:top w:val="nil"/>
              <w:left w:val="nil"/>
              <w:bottom w:val="single" w:sz="4" w:space="0" w:color="auto"/>
              <w:right w:val="single" w:sz="4" w:space="0" w:color="auto"/>
            </w:tcBorders>
            <w:shd w:val="clear" w:color="auto" w:fill="auto"/>
            <w:vAlign w:val="center"/>
            <w:hideMark/>
          </w:tcPr>
          <w:p w14:paraId="0DFCDF3B" w14:textId="77777777" w:rsidR="00CD5A8B" w:rsidRPr="00CD5A8B" w:rsidRDefault="00CD5A8B" w:rsidP="00CD5A8B">
            <w:pPr>
              <w:spacing w:after="0" w:line="240" w:lineRule="auto"/>
              <w:rPr>
                <w:rFonts w:ascii="Calibri" w:eastAsia="Times New Roman" w:hAnsi="Calibri" w:cs="Calibri"/>
                <w:color w:val="000000"/>
                <w:sz w:val="22"/>
                <w:szCs w:val="22"/>
              </w:rPr>
            </w:pPr>
            <w:hyperlink r:id="rId46" w:history="1">
              <w:r w:rsidRPr="00CD5A8B">
                <w:rPr>
                  <w:rFonts w:ascii="Calibri" w:eastAsia="Times New Roman" w:hAnsi="Calibri" w:cs="Calibri"/>
                  <w:color w:val="000000"/>
                  <w:sz w:val="22"/>
                  <w:szCs w:val="22"/>
                </w:rPr>
                <w:t xml:space="preserve">https://doi.org/10.1038/s42003-025-08522-w </w:t>
              </w:r>
            </w:hyperlink>
          </w:p>
        </w:tc>
      </w:tr>
      <w:tr w:rsidR="00F168AA" w:rsidRPr="00CD5A8B" w14:paraId="7F9D530A" w14:textId="77777777" w:rsidTr="002F7E6B">
        <w:trPr>
          <w:trHeight w:val="900"/>
        </w:trPr>
        <w:tc>
          <w:tcPr>
            <w:tcW w:w="500" w:type="pct"/>
            <w:tcBorders>
              <w:top w:val="nil"/>
              <w:left w:val="single" w:sz="4" w:space="0" w:color="auto"/>
              <w:bottom w:val="single" w:sz="4" w:space="0" w:color="auto"/>
              <w:right w:val="single" w:sz="4" w:space="0" w:color="auto"/>
            </w:tcBorders>
            <w:shd w:val="clear" w:color="auto" w:fill="auto"/>
            <w:vAlign w:val="center"/>
            <w:hideMark/>
          </w:tcPr>
          <w:p w14:paraId="33EBDB74" w14:textId="77777777" w:rsidR="00CD5A8B" w:rsidRPr="002F7E6B" w:rsidRDefault="00CD5A8B" w:rsidP="00CD5A8B">
            <w:pPr>
              <w:spacing w:after="0" w:line="240" w:lineRule="auto"/>
              <w:rPr>
                <w:rFonts w:ascii="Calibri" w:eastAsia="Times New Roman" w:hAnsi="Calibri" w:cs="Calibri"/>
                <w:color w:val="000000"/>
                <w:sz w:val="22"/>
                <w:szCs w:val="22"/>
              </w:rPr>
            </w:pPr>
            <w:proofErr w:type="spellStart"/>
            <w:r w:rsidRPr="002F7E6B">
              <w:rPr>
                <w:rFonts w:ascii="Calibri" w:eastAsia="Times New Roman" w:hAnsi="Calibri" w:cs="Calibri"/>
                <w:color w:val="000000"/>
                <w:sz w:val="22"/>
                <w:szCs w:val="22"/>
              </w:rPr>
              <w:t>rapA</w:t>
            </w:r>
            <w:proofErr w:type="spellEnd"/>
            <w:r w:rsidRPr="002F7E6B">
              <w:rPr>
                <w:rFonts w:ascii="Calibri" w:eastAsia="Times New Roman" w:hAnsi="Calibri" w:cs="Calibri"/>
                <w:color w:val="000000"/>
                <w:sz w:val="22"/>
                <w:szCs w:val="22"/>
              </w:rPr>
              <w:t xml:space="preserve"> / </w:t>
            </w:r>
            <w:proofErr w:type="spellStart"/>
            <w:r w:rsidRPr="002F7E6B">
              <w:rPr>
                <w:rFonts w:ascii="Calibri" w:eastAsia="Times New Roman" w:hAnsi="Calibri" w:cs="Calibri"/>
                <w:color w:val="000000"/>
                <w:sz w:val="22"/>
                <w:szCs w:val="22"/>
              </w:rPr>
              <w:t>rapH</w:t>
            </w:r>
            <w:proofErr w:type="spellEnd"/>
            <w:r w:rsidRPr="002F7E6B">
              <w:rPr>
                <w:rFonts w:ascii="Calibri" w:eastAsia="Times New Roman" w:hAnsi="Calibri" w:cs="Calibri"/>
                <w:color w:val="000000"/>
                <w:sz w:val="22"/>
                <w:szCs w:val="22"/>
              </w:rPr>
              <w:t xml:space="preserve"> / </w:t>
            </w:r>
            <w:proofErr w:type="spellStart"/>
            <w:r w:rsidRPr="002F7E6B">
              <w:rPr>
                <w:rFonts w:ascii="Calibri" w:eastAsia="Times New Roman" w:hAnsi="Calibri" w:cs="Calibri"/>
                <w:color w:val="000000"/>
                <w:sz w:val="22"/>
                <w:szCs w:val="22"/>
              </w:rPr>
              <w:t>spo</w:t>
            </w:r>
            <w:proofErr w:type="spellEnd"/>
          </w:p>
        </w:tc>
        <w:tc>
          <w:tcPr>
            <w:tcW w:w="631" w:type="pct"/>
            <w:tcBorders>
              <w:top w:val="nil"/>
              <w:left w:val="nil"/>
              <w:bottom w:val="single" w:sz="4" w:space="0" w:color="auto"/>
              <w:right w:val="single" w:sz="4" w:space="0" w:color="auto"/>
            </w:tcBorders>
            <w:shd w:val="clear" w:color="auto" w:fill="auto"/>
            <w:vAlign w:val="center"/>
            <w:hideMark/>
          </w:tcPr>
          <w:p w14:paraId="7A4EB7F2" w14:textId="77777777" w:rsidR="00CD5A8B" w:rsidRPr="002F7E6B" w:rsidRDefault="00CD5A8B" w:rsidP="00CD5A8B">
            <w:pPr>
              <w:spacing w:after="0" w:line="240" w:lineRule="auto"/>
              <w:rPr>
                <w:rFonts w:ascii="Calibri" w:eastAsia="Times New Roman" w:hAnsi="Calibri" w:cs="Calibri"/>
                <w:color w:val="000000"/>
                <w:sz w:val="22"/>
                <w:szCs w:val="22"/>
              </w:rPr>
            </w:pPr>
            <w:r w:rsidRPr="002F7E6B">
              <w:rPr>
                <w:rFonts w:ascii="Calibri" w:eastAsia="Times New Roman" w:hAnsi="Calibri" w:cs="Calibri"/>
                <w:color w:val="000000"/>
                <w:sz w:val="22"/>
                <w:szCs w:val="22"/>
              </w:rPr>
              <w:t>Sporulation phosphatases</w:t>
            </w:r>
          </w:p>
        </w:tc>
        <w:tc>
          <w:tcPr>
            <w:tcW w:w="555" w:type="pct"/>
            <w:tcBorders>
              <w:top w:val="nil"/>
              <w:left w:val="nil"/>
              <w:bottom w:val="single" w:sz="4" w:space="0" w:color="auto"/>
              <w:right w:val="single" w:sz="4" w:space="0" w:color="auto"/>
            </w:tcBorders>
            <w:shd w:val="clear" w:color="auto" w:fill="auto"/>
            <w:vAlign w:val="center"/>
            <w:hideMark/>
          </w:tcPr>
          <w:p w14:paraId="38F3B1B4"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Sporulation decision</w:t>
            </w:r>
          </w:p>
        </w:tc>
        <w:tc>
          <w:tcPr>
            <w:tcW w:w="2123" w:type="pct"/>
            <w:tcBorders>
              <w:top w:val="nil"/>
              <w:left w:val="nil"/>
              <w:bottom w:val="single" w:sz="4" w:space="0" w:color="auto"/>
              <w:right w:val="single" w:sz="4" w:space="0" w:color="auto"/>
            </w:tcBorders>
            <w:shd w:val="clear" w:color="auto" w:fill="auto"/>
            <w:vAlign w:val="center"/>
            <w:hideMark/>
          </w:tcPr>
          <w:p w14:paraId="77F52AB7" w14:textId="77777777" w:rsidR="00CD5A8B" w:rsidRPr="00CD5A8B" w:rsidRDefault="00CD5A8B" w:rsidP="00CD5A8B">
            <w:pPr>
              <w:spacing w:after="0" w:line="240" w:lineRule="auto"/>
              <w:rPr>
                <w:rFonts w:ascii="Calibri" w:eastAsia="Times New Roman" w:hAnsi="Calibri" w:cs="Calibri"/>
                <w:color w:val="000000"/>
                <w:sz w:val="22"/>
                <w:szCs w:val="22"/>
              </w:rPr>
            </w:pPr>
            <w:r w:rsidRPr="00CD5A8B">
              <w:rPr>
                <w:rFonts w:ascii="Calibri" w:eastAsia="Times New Roman" w:hAnsi="Calibri" w:cs="Calibri"/>
                <w:color w:val="000000"/>
                <w:sz w:val="22"/>
                <w:szCs w:val="22"/>
              </w:rPr>
              <w:t>Coordinate nutrient-rich maize cues to regulate timely sporulation, colonization, or persistence.</w:t>
            </w:r>
          </w:p>
        </w:tc>
        <w:tc>
          <w:tcPr>
            <w:tcW w:w="1190" w:type="pct"/>
            <w:tcBorders>
              <w:top w:val="nil"/>
              <w:left w:val="nil"/>
              <w:bottom w:val="single" w:sz="4" w:space="0" w:color="auto"/>
              <w:right w:val="single" w:sz="4" w:space="0" w:color="auto"/>
            </w:tcBorders>
            <w:shd w:val="clear" w:color="auto" w:fill="auto"/>
            <w:vAlign w:val="center"/>
            <w:hideMark/>
          </w:tcPr>
          <w:p w14:paraId="1374B701" w14:textId="77777777" w:rsidR="00CD5A8B" w:rsidRPr="00CD5A8B" w:rsidRDefault="00CD5A8B" w:rsidP="00CD5A8B">
            <w:pPr>
              <w:spacing w:after="0" w:line="240" w:lineRule="auto"/>
              <w:rPr>
                <w:rFonts w:ascii="Calibri" w:eastAsia="Times New Roman" w:hAnsi="Calibri" w:cs="Calibri"/>
                <w:color w:val="000000"/>
                <w:sz w:val="22"/>
                <w:szCs w:val="22"/>
              </w:rPr>
            </w:pPr>
            <w:hyperlink r:id="rId47" w:history="1">
              <w:r w:rsidRPr="00CD5A8B">
                <w:rPr>
                  <w:rFonts w:ascii="Calibri" w:eastAsia="Times New Roman" w:hAnsi="Calibri" w:cs="Calibri"/>
                  <w:color w:val="000000"/>
                  <w:sz w:val="22"/>
                  <w:szCs w:val="22"/>
                </w:rPr>
                <w:t xml:space="preserve">https://doi.org/10.1007/s00894-023-05664-8 </w:t>
              </w:r>
            </w:hyperlink>
          </w:p>
        </w:tc>
      </w:tr>
    </w:tbl>
    <w:p w14:paraId="47610B36" w14:textId="77777777" w:rsidR="00CD5A8B" w:rsidRPr="00FB577E" w:rsidRDefault="00CD5A8B" w:rsidP="00FB577E">
      <w:pPr>
        <w:jc w:val="both"/>
        <w:rPr>
          <w:rFonts w:ascii="Times New Roman" w:eastAsia="Times New Roman" w:hAnsi="Times New Roman" w:cs="Times New Roman"/>
          <w:b/>
          <w:bCs/>
        </w:rPr>
      </w:pPr>
    </w:p>
    <w:p w14:paraId="7CBA3B18" w14:textId="77777777" w:rsidR="00FB577E" w:rsidRPr="00FB577E" w:rsidRDefault="00FB577E" w:rsidP="00FB577E">
      <w:pPr>
        <w:jc w:val="both"/>
        <w:rPr>
          <w:rFonts w:ascii="Times New Roman" w:eastAsia="Times New Roman" w:hAnsi="Times New Roman" w:cs="Times New Roman"/>
          <w:b/>
          <w:bCs/>
        </w:rPr>
      </w:pPr>
    </w:p>
    <w:p w14:paraId="58AE2D8C" w14:textId="77777777" w:rsidR="00FB577E" w:rsidRDefault="00FB577E" w:rsidP="00FB577E">
      <w:pPr>
        <w:jc w:val="both"/>
        <w:rPr>
          <w:rFonts w:ascii="Times New Roman" w:eastAsia="Times New Roman" w:hAnsi="Times New Roman" w:cs="Times New Roman"/>
          <w:b/>
          <w:bCs/>
        </w:rPr>
      </w:pPr>
    </w:p>
    <w:p w14:paraId="2E2850FE" w14:textId="77777777" w:rsidR="00FB24A7" w:rsidRDefault="00FB24A7" w:rsidP="00FB577E">
      <w:pPr>
        <w:jc w:val="both"/>
        <w:rPr>
          <w:rFonts w:ascii="Times New Roman" w:eastAsia="Times New Roman" w:hAnsi="Times New Roman" w:cs="Times New Roman"/>
          <w:b/>
          <w:bCs/>
        </w:rPr>
      </w:pPr>
    </w:p>
    <w:p w14:paraId="3BFD3C77" w14:textId="77777777" w:rsidR="00FB24A7" w:rsidRDefault="00FB24A7" w:rsidP="00FB577E">
      <w:pPr>
        <w:jc w:val="both"/>
        <w:rPr>
          <w:rFonts w:ascii="Times New Roman" w:eastAsia="Times New Roman" w:hAnsi="Times New Roman" w:cs="Times New Roman"/>
          <w:b/>
          <w:bCs/>
        </w:rPr>
      </w:pPr>
    </w:p>
    <w:p w14:paraId="577A25C3" w14:textId="77777777" w:rsidR="00FB24A7" w:rsidRDefault="00FB24A7" w:rsidP="00FB577E">
      <w:pPr>
        <w:jc w:val="both"/>
        <w:rPr>
          <w:rFonts w:ascii="Times New Roman" w:eastAsia="Times New Roman" w:hAnsi="Times New Roman" w:cs="Times New Roman"/>
          <w:b/>
          <w:bCs/>
        </w:rPr>
      </w:pPr>
    </w:p>
    <w:p w14:paraId="2E4B07C8" w14:textId="77777777" w:rsidR="00FB24A7" w:rsidRDefault="00FB24A7" w:rsidP="00FB577E">
      <w:pPr>
        <w:jc w:val="both"/>
        <w:rPr>
          <w:rFonts w:ascii="Times New Roman" w:eastAsia="Times New Roman" w:hAnsi="Times New Roman" w:cs="Times New Roman"/>
          <w:b/>
          <w:bCs/>
        </w:rPr>
      </w:pPr>
    </w:p>
    <w:p w14:paraId="4A2FEB58" w14:textId="77777777" w:rsidR="00FB24A7" w:rsidRDefault="00FB24A7" w:rsidP="00FB577E">
      <w:pPr>
        <w:jc w:val="both"/>
        <w:rPr>
          <w:rFonts w:ascii="Times New Roman" w:eastAsia="Times New Roman" w:hAnsi="Times New Roman" w:cs="Times New Roman"/>
          <w:b/>
          <w:bCs/>
        </w:rPr>
      </w:pPr>
    </w:p>
    <w:p w14:paraId="468899B3" w14:textId="77777777" w:rsidR="00FB24A7" w:rsidRDefault="00FB24A7" w:rsidP="00FB577E">
      <w:pPr>
        <w:jc w:val="both"/>
        <w:rPr>
          <w:rFonts w:ascii="Times New Roman" w:eastAsia="Times New Roman" w:hAnsi="Times New Roman" w:cs="Times New Roman"/>
          <w:b/>
          <w:bCs/>
        </w:rPr>
      </w:pPr>
    </w:p>
    <w:p w14:paraId="3B8E87C1" w14:textId="77777777" w:rsidR="00FB24A7" w:rsidRDefault="00FB24A7" w:rsidP="00FB577E">
      <w:pPr>
        <w:jc w:val="both"/>
        <w:rPr>
          <w:rFonts w:ascii="Times New Roman" w:eastAsia="Times New Roman" w:hAnsi="Times New Roman" w:cs="Times New Roman"/>
          <w:b/>
          <w:bCs/>
        </w:rPr>
      </w:pPr>
    </w:p>
    <w:p w14:paraId="2D163E1C" w14:textId="77777777" w:rsidR="00FB577E" w:rsidRDefault="00FB577E" w:rsidP="00FB577E">
      <w:pPr>
        <w:jc w:val="both"/>
        <w:rPr>
          <w:rFonts w:ascii="Times New Roman" w:eastAsia="Times New Roman" w:hAnsi="Times New Roman" w:cs="Times New Roman"/>
          <w:b/>
          <w:bCs/>
        </w:rPr>
      </w:pPr>
      <w:r w:rsidRPr="00FB577E">
        <w:rPr>
          <w:rFonts w:ascii="Times New Roman" w:eastAsia="Times New Roman" w:hAnsi="Times New Roman" w:cs="Times New Roman"/>
          <w:b/>
          <w:bCs/>
        </w:rPr>
        <w:lastRenderedPageBreak/>
        <w:t>Table S5. Summary of total reads, detected species, and Shannon diversity indices for chickpea and maize rhizosphere samples under control and B. subtilis-treated conditions</w:t>
      </w:r>
    </w:p>
    <w:tbl>
      <w:tblPr>
        <w:tblW w:w="5000" w:type="pct"/>
        <w:tblLook w:val="04A0" w:firstRow="1" w:lastRow="0" w:firstColumn="1" w:lastColumn="0" w:noHBand="0" w:noVBand="1"/>
      </w:tblPr>
      <w:tblGrid>
        <w:gridCol w:w="2128"/>
        <w:gridCol w:w="2960"/>
        <w:gridCol w:w="2985"/>
        <w:gridCol w:w="2985"/>
        <w:gridCol w:w="2890"/>
      </w:tblGrid>
      <w:tr w:rsidR="00FB24A7" w:rsidRPr="00FB24A7" w14:paraId="6CBE1B38" w14:textId="77777777" w:rsidTr="00FB24A7">
        <w:trPr>
          <w:trHeight w:val="480"/>
        </w:trPr>
        <w:tc>
          <w:tcPr>
            <w:tcW w:w="7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897F2" w14:textId="77777777" w:rsidR="00FB24A7" w:rsidRPr="00FB24A7" w:rsidRDefault="00FB24A7" w:rsidP="00FB24A7">
            <w:pPr>
              <w:spacing w:after="0" w:line="240" w:lineRule="auto"/>
              <w:jc w:val="center"/>
              <w:rPr>
                <w:rFonts w:ascii="Calibri" w:eastAsia="Times New Roman" w:hAnsi="Calibri" w:cs="Calibri"/>
                <w:b/>
                <w:bCs/>
                <w:color w:val="000000"/>
                <w:sz w:val="22"/>
                <w:szCs w:val="22"/>
              </w:rPr>
            </w:pPr>
            <w:r w:rsidRPr="00FB24A7">
              <w:rPr>
                <w:rFonts w:ascii="Calibri" w:eastAsia="Times New Roman" w:hAnsi="Calibri" w:cs="Calibri"/>
                <w:b/>
                <w:bCs/>
                <w:color w:val="000000"/>
                <w:sz w:val="22"/>
                <w:szCs w:val="22"/>
              </w:rPr>
              <w:t>Crops</w:t>
            </w:r>
          </w:p>
        </w:tc>
        <w:tc>
          <w:tcPr>
            <w:tcW w:w="1061" w:type="pct"/>
            <w:tcBorders>
              <w:top w:val="single" w:sz="4" w:space="0" w:color="auto"/>
              <w:left w:val="nil"/>
              <w:bottom w:val="single" w:sz="4" w:space="0" w:color="auto"/>
              <w:right w:val="single" w:sz="4" w:space="0" w:color="auto"/>
            </w:tcBorders>
            <w:shd w:val="clear" w:color="000000" w:fill="FFFFFF"/>
            <w:vAlign w:val="center"/>
            <w:hideMark/>
          </w:tcPr>
          <w:p w14:paraId="0759F310" w14:textId="77777777" w:rsidR="00FB24A7" w:rsidRPr="00FB24A7" w:rsidRDefault="00FB24A7" w:rsidP="00FB24A7">
            <w:pPr>
              <w:spacing w:after="0" w:line="240" w:lineRule="auto"/>
              <w:jc w:val="center"/>
              <w:rPr>
                <w:rFonts w:ascii="Arial" w:eastAsia="Times New Roman" w:hAnsi="Arial" w:cs="Arial"/>
                <w:b/>
                <w:bCs/>
                <w:color w:val="000000"/>
                <w:sz w:val="20"/>
                <w:szCs w:val="20"/>
              </w:rPr>
            </w:pPr>
            <w:r w:rsidRPr="00FB24A7">
              <w:rPr>
                <w:rFonts w:ascii="Arial" w:eastAsia="Times New Roman" w:hAnsi="Arial" w:cs="Arial"/>
                <w:b/>
                <w:bCs/>
                <w:color w:val="000000"/>
                <w:sz w:val="20"/>
                <w:szCs w:val="20"/>
              </w:rPr>
              <w:t>Treatment</w:t>
            </w:r>
          </w:p>
        </w:tc>
        <w:tc>
          <w:tcPr>
            <w:tcW w:w="1070" w:type="pct"/>
            <w:tcBorders>
              <w:top w:val="single" w:sz="4" w:space="0" w:color="auto"/>
              <w:left w:val="nil"/>
              <w:bottom w:val="single" w:sz="4" w:space="0" w:color="auto"/>
              <w:right w:val="single" w:sz="4" w:space="0" w:color="auto"/>
            </w:tcBorders>
            <w:shd w:val="clear" w:color="000000" w:fill="FFFFFF"/>
            <w:vAlign w:val="center"/>
            <w:hideMark/>
          </w:tcPr>
          <w:p w14:paraId="20CE5F9E" w14:textId="77777777" w:rsidR="00FB24A7" w:rsidRPr="00FB24A7" w:rsidRDefault="00FB24A7" w:rsidP="00FB24A7">
            <w:pPr>
              <w:spacing w:after="0" w:line="240" w:lineRule="auto"/>
              <w:jc w:val="center"/>
              <w:rPr>
                <w:rFonts w:ascii="Arial" w:eastAsia="Times New Roman" w:hAnsi="Arial" w:cs="Arial"/>
                <w:b/>
                <w:bCs/>
                <w:color w:val="000000"/>
                <w:sz w:val="20"/>
                <w:szCs w:val="20"/>
              </w:rPr>
            </w:pPr>
            <w:r w:rsidRPr="00FB24A7">
              <w:rPr>
                <w:rFonts w:ascii="Arial" w:eastAsia="Times New Roman" w:hAnsi="Arial" w:cs="Arial"/>
                <w:b/>
                <w:bCs/>
                <w:color w:val="000000"/>
                <w:sz w:val="20"/>
                <w:szCs w:val="20"/>
              </w:rPr>
              <w:t>Total reads</w:t>
            </w:r>
          </w:p>
        </w:tc>
        <w:tc>
          <w:tcPr>
            <w:tcW w:w="1070" w:type="pct"/>
            <w:tcBorders>
              <w:top w:val="single" w:sz="4" w:space="0" w:color="auto"/>
              <w:left w:val="nil"/>
              <w:bottom w:val="single" w:sz="4" w:space="0" w:color="auto"/>
              <w:right w:val="single" w:sz="4" w:space="0" w:color="auto"/>
            </w:tcBorders>
            <w:shd w:val="clear" w:color="000000" w:fill="FFFFFF"/>
            <w:vAlign w:val="center"/>
            <w:hideMark/>
          </w:tcPr>
          <w:p w14:paraId="2836E9B8" w14:textId="77777777" w:rsidR="00FB24A7" w:rsidRPr="00FB24A7" w:rsidRDefault="00FB24A7" w:rsidP="00FB24A7">
            <w:pPr>
              <w:spacing w:after="0" w:line="240" w:lineRule="auto"/>
              <w:jc w:val="center"/>
              <w:rPr>
                <w:rFonts w:ascii="Arial" w:eastAsia="Times New Roman" w:hAnsi="Arial" w:cs="Arial"/>
                <w:b/>
                <w:bCs/>
                <w:color w:val="000000"/>
                <w:sz w:val="20"/>
                <w:szCs w:val="20"/>
              </w:rPr>
            </w:pPr>
            <w:r w:rsidRPr="00FB24A7">
              <w:rPr>
                <w:rFonts w:ascii="Arial" w:eastAsia="Times New Roman" w:hAnsi="Arial" w:cs="Arial"/>
                <w:b/>
                <w:bCs/>
                <w:color w:val="000000"/>
                <w:sz w:val="20"/>
                <w:szCs w:val="20"/>
              </w:rPr>
              <w:t>Total species</w:t>
            </w:r>
          </w:p>
        </w:tc>
        <w:tc>
          <w:tcPr>
            <w:tcW w:w="1036" w:type="pct"/>
            <w:tcBorders>
              <w:top w:val="single" w:sz="4" w:space="0" w:color="auto"/>
              <w:left w:val="nil"/>
              <w:bottom w:val="single" w:sz="4" w:space="0" w:color="auto"/>
              <w:right w:val="single" w:sz="4" w:space="0" w:color="auto"/>
            </w:tcBorders>
            <w:shd w:val="clear" w:color="000000" w:fill="FFFFFF"/>
            <w:vAlign w:val="center"/>
            <w:hideMark/>
          </w:tcPr>
          <w:p w14:paraId="5DB10FF5" w14:textId="77777777" w:rsidR="00FB24A7" w:rsidRPr="00FB24A7" w:rsidRDefault="00FB24A7" w:rsidP="00FB24A7">
            <w:pPr>
              <w:spacing w:after="0" w:line="240" w:lineRule="auto"/>
              <w:jc w:val="center"/>
              <w:rPr>
                <w:rFonts w:ascii="Arial" w:eastAsia="Times New Roman" w:hAnsi="Arial" w:cs="Arial"/>
                <w:b/>
                <w:bCs/>
                <w:color w:val="000000"/>
                <w:sz w:val="20"/>
                <w:szCs w:val="20"/>
              </w:rPr>
            </w:pPr>
            <w:r w:rsidRPr="00FB24A7">
              <w:rPr>
                <w:rFonts w:ascii="Arial" w:eastAsia="Times New Roman" w:hAnsi="Arial" w:cs="Arial"/>
                <w:b/>
                <w:bCs/>
                <w:color w:val="000000"/>
                <w:sz w:val="20"/>
                <w:szCs w:val="20"/>
              </w:rPr>
              <w:t>Shannon Index</w:t>
            </w:r>
          </w:p>
        </w:tc>
      </w:tr>
      <w:tr w:rsidR="00FB24A7" w:rsidRPr="00FB24A7" w14:paraId="37D19B33" w14:textId="77777777" w:rsidTr="00FB24A7">
        <w:trPr>
          <w:trHeight w:val="480"/>
        </w:trPr>
        <w:tc>
          <w:tcPr>
            <w:tcW w:w="7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4271ECA" w14:textId="77777777" w:rsidR="00FB24A7" w:rsidRPr="00FB24A7" w:rsidRDefault="00FB24A7" w:rsidP="00FB24A7">
            <w:pPr>
              <w:spacing w:after="0" w:line="240" w:lineRule="auto"/>
              <w:jc w:val="center"/>
              <w:rPr>
                <w:rFonts w:ascii="Calibri" w:eastAsia="Times New Roman" w:hAnsi="Calibri" w:cs="Calibri"/>
                <w:color w:val="000000"/>
                <w:sz w:val="22"/>
                <w:szCs w:val="22"/>
              </w:rPr>
            </w:pPr>
            <w:r w:rsidRPr="00FB24A7">
              <w:rPr>
                <w:rFonts w:ascii="Calibri" w:eastAsia="Times New Roman" w:hAnsi="Calibri" w:cs="Calibri"/>
                <w:color w:val="000000"/>
                <w:sz w:val="22"/>
                <w:szCs w:val="22"/>
              </w:rPr>
              <w:t>Chickpea</w:t>
            </w:r>
          </w:p>
        </w:tc>
        <w:tc>
          <w:tcPr>
            <w:tcW w:w="1061" w:type="pct"/>
            <w:tcBorders>
              <w:top w:val="nil"/>
              <w:left w:val="nil"/>
              <w:bottom w:val="single" w:sz="4" w:space="0" w:color="auto"/>
              <w:right w:val="single" w:sz="4" w:space="0" w:color="auto"/>
            </w:tcBorders>
            <w:shd w:val="clear" w:color="000000" w:fill="FFFFFF"/>
            <w:vAlign w:val="center"/>
            <w:hideMark/>
          </w:tcPr>
          <w:p w14:paraId="7BD51780" w14:textId="77777777" w:rsidR="00FB24A7" w:rsidRPr="00FB24A7" w:rsidRDefault="00FB24A7" w:rsidP="00FB24A7">
            <w:pPr>
              <w:spacing w:after="0" w:line="240" w:lineRule="auto"/>
              <w:jc w:val="center"/>
              <w:rPr>
                <w:rFonts w:ascii="Calibri" w:eastAsia="Times New Roman" w:hAnsi="Calibri" w:cs="Calibri"/>
                <w:color w:val="000000"/>
                <w:sz w:val="22"/>
                <w:szCs w:val="22"/>
              </w:rPr>
            </w:pPr>
            <w:r w:rsidRPr="00FB24A7">
              <w:rPr>
                <w:rFonts w:ascii="Calibri" w:eastAsia="Times New Roman" w:hAnsi="Calibri" w:cs="Calibri"/>
                <w:color w:val="000000"/>
                <w:sz w:val="22"/>
                <w:szCs w:val="22"/>
              </w:rPr>
              <w:t>Control</w:t>
            </w:r>
          </w:p>
        </w:tc>
        <w:tc>
          <w:tcPr>
            <w:tcW w:w="1070" w:type="pct"/>
            <w:tcBorders>
              <w:top w:val="nil"/>
              <w:left w:val="nil"/>
              <w:bottom w:val="single" w:sz="4" w:space="0" w:color="auto"/>
              <w:right w:val="single" w:sz="4" w:space="0" w:color="auto"/>
            </w:tcBorders>
            <w:shd w:val="clear" w:color="000000" w:fill="FFFFFF"/>
            <w:vAlign w:val="center"/>
            <w:hideMark/>
          </w:tcPr>
          <w:p w14:paraId="38F38DD3"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61550</w:t>
            </w:r>
          </w:p>
        </w:tc>
        <w:tc>
          <w:tcPr>
            <w:tcW w:w="1070" w:type="pct"/>
            <w:tcBorders>
              <w:top w:val="nil"/>
              <w:left w:val="nil"/>
              <w:bottom w:val="single" w:sz="4" w:space="0" w:color="auto"/>
              <w:right w:val="single" w:sz="4" w:space="0" w:color="auto"/>
            </w:tcBorders>
            <w:shd w:val="clear" w:color="000000" w:fill="FFFFFF"/>
            <w:vAlign w:val="center"/>
            <w:hideMark/>
          </w:tcPr>
          <w:p w14:paraId="7294A919"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398</w:t>
            </w:r>
          </w:p>
        </w:tc>
        <w:tc>
          <w:tcPr>
            <w:tcW w:w="1036" w:type="pct"/>
            <w:tcBorders>
              <w:top w:val="nil"/>
              <w:left w:val="nil"/>
              <w:bottom w:val="single" w:sz="4" w:space="0" w:color="auto"/>
              <w:right w:val="single" w:sz="4" w:space="0" w:color="auto"/>
            </w:tcBorders>
            <w:shd w:val="clear" w:color="000000" w:fill="FFFFFF"/>
            <w:vAlign w:val="center"/>
            <w:hideMark/>
          </w:tcPr>
          <w:p w14:paraId="4C280EEE"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4.5933</w:t>
            </w:r>
          </w:p>
        </w:tc>
      </w:tr>
      <w:tr w:rsidR="00FB24A7" w:rsidRPr="00FB24A7" w14:paraId="3AEFFBE6" w14:textId="77777777" w:rsidTr="00FB24A7">
        <w:trPr>
          <w:trHeight w:val="480"/>
        </w:trPr>
        <w:tc>
          <w:tcPr>
            <w:tcW w:w="763" w:type="pct"/>
            <w:vMerge/>
            <w:tcBorders>
              <w:top w:val="nil"/>
              <w:left w:val="single" w:sz="4" w:space="0" w:color="auto"/>
              <w:bottom w:val="single" w:sz="4" w:space="0" w:color="auto"/>
              <w:right w:val="single" w:sz="4" w:space="0" w:color="auto"/>
            </w:tcBorders>
            <w:vAlign w:val="center"/>
            <w:hideMark/>
          </w:tcPr>
          <w:p w14:paraId="7F3BCC17" w14:textId="77777777" w:rsidR="00FB24A7" w:rsidRPr="00FB24A7" w:rsidRDefault="00FB24A7" w:rsidP="00FB24A7">
            <w:pPr>
              <w:spacing w:after="0" w:line="240" w:lineRule="auto"/>
              <w:rPr>
                <w:rFonts w:ascii="Calibri" w:eastAsia="Times New Roman" w:hAnsi="Calibri" w:cs="Calibri"/>
                <w:color w:val="000000"/>
                <w:sz w:val="22"/>
                <w:szCs w:val="22"/>
              </w:rPr>
            </w:pPr>
          </w:p>
        </w:tc>
        <w:tc>
          <w:tcPr>
            <w:tcW w:w="1061" w:type="pct"/>
            <w:tcBorders>
              <w:top w:val="nil"/>
              <w:left w:val="nil"/>
              <w:bottom w:val="single" w:sz="4" w:space="0" w:color="auto"/>
              <w:right w:val="single" w:sz="4" w:space="0" w:color="auto"/>
            </w:tcBorders>
            <w:shd w:val="clear" w:color="000000" w:fill="FFFFFF"/>
            <w:vAlign w:val="center"/>
            <w:hideMark/>
          </w:tcPr>
          <w:p w14:paraId="34118305" w14:textId="77777777" w:rsidR="00FB24A7" w:rsidRPr="00FB24A7" w:rsidRDefault="00FB24A7" w:rsidP="00FB24A7">
            <w:pPr>
              <w:spacing w:after="0" w:line="240" w:lineRule="auto"/>
              <w:jc w:val="center"/>
              <w:rPr>
                <w:rFonts w:ascii="Calibri" w:eastAsia="Times New Roman" w:hAnsi="Calibri" w:cs="Calibri"/>
                <w:color w:val="000000"/>
                <w:sz w:val="22"/>
                <w:szCs w:val="22"/>
              </w:rPr>
            </w:pPr>
            <w:r w:rsidRPr="00FB24A7">
              <w:rPr>
                <w:rFonts w:ascii="Calibri" w:eastAsia="Times New Roman" w:hAnsi="Calibri" w:cs="Calibri"/>
                <w:i/>
                <w:iCs/>
                <w:color w:val="000000"/>
                <w:sz w:val="22"/>
                <w:szCs w:val="22"/>
              </w:rPr>
              <w:t>B. subtilis</w:t>
            </w:r>
            <w:r w:rsidRPr="00FB24A7">
              <w:rPr>
                <w:rFonts w:ascii="Calibri" w:eastAsia="Times New Roman" w:hAnsi="Calibri" w:cs="Calibri"/>
                <w:color w:val="000000"/>
                <w:sz w:val="22"/>
                <w:szCs w:val="22"/>
              </w:rPr>
              <w:t xml:space="preserve"> HM01</w:t>
            </w:r>
          </w:p>
        </w:tc>
        <w:tc>
          <w:tcPr>
            <w:tcW w:w="1070" w:type="pct"/>
            <w:tcBorders>
              <w:top w:val="nil"/>
              <w:left w:val="nil"/>
              <w:bottom w:val="single" w:sz="4" w:space="0" w:color="auto"/>
              <w:right w:val="single" w:sz="4" w:space="0" w:color="auto"/>
            </w:tcBorders>
            <w:shd w:val="clear" w:color="000000" w:fill="FFFFFF"/>
            <w:vAlign w:val="center"/>
            <w:hideMark/>
          </w:tcPr>
          <w:p w14:paraId="1EDC299D"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60037</w:t>
            </w:r>
          </w:p>
        </w:tc>
        <w:tc>
          <w:tcPr>
            <w:tcW w:w="1070" w:type="pct"/>
            <w:tcBorders>
              <w:top w:val="nil"/>
              <w:left w:val="nil"/>
              <w:bottom w:val="single" w:sz="4" w:space="0" w:color="auto"/>
              <w:right w:val="single" w:sz="4" w:space="0" w:color="auto"/>
            </w:tcBorders>
            <w:shd w:val="clear" w:color="000000" w:fill="FFFFFF"/>
            <w:vAlign w:val="center"/>
            <w:hideMark/>
          </w:tcPr>
          <w:p w14:paraId="7F353ADB"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348</w:t>
            </w:r>
          </w:p>
        </w:tc>
        <w:tc>
          <w:tcPr>
            <w:tcW w:w="1036" w:type="pct"/>
            <w:tcBorders>
              <w:top w:val="nil"/>
              <w:left w:val="nil"/>
              <w:bottom w:val="single" w:sz="4" w:space="0" w:color="auto"/>
              <w:right w:val="single" w:sz="4" w:space="0" w:color="auto"/>
            </w:tcBorders>
            <w:shd w:val="clear" w:color="000000" w:fill="FFFFFF"/>
            <w:vAlign w:val="center"/>
            <w:hideMark/>
          </w:tcPr>
          <w:p w14:paraId="381FE70F"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4.4772</w:t>
            </w:r>
          </w:p>
        </w:tc>
      </w:tr>
      <w:tr w:rsidR="00FB24A7" w:rsidRPr="00FB24A7" w14:paraId="4A1D822C" w14:textId="77777777" w:rsidTr="00FB24A7">
        <w:trPr>
          <w:trHeight w:val="480"/>
        </w:trPr>
        <w:tc>
          <w:tcPr>
            <w:tcW w:w="763" w:type="pct"/>
            <w:vMerge/>
            <w:tcBorders>
              <w:top w:val="nil"/>
              <w:left w:val="single" w:sz="4" w:space="0" w:color="auto"/>
              <w:bottom w:val="single" w:sz="4" w:space="0" w:color="auto"/>
              <w:right w:val="single" w:sz="4" w:space="0" w:color="auto"/>
            </w:tcBorders>
            <w:vAlign w:val="center"/>
            <w:hideMark/>
          </w:tcPr>
          <w:p w14:paraId="239F6B0B" w14:textId="77777777" w:rsidR="00FB24A7" w:rsidRPr="00FB24A7" w:rsidRDefault="00FB24A7" w:rsidP="00FB24A7">
            <w:pPr>
              <w:spacing w:after="0" w:line="240" w:lineRule="auto"/>
              <w:rPr>
                <w:rFonts w:ascii="Calibri" w:eastAsia="Times New Roman" w:hAnsi="Calibri" w:cs="Calibri"/>
                <w:color w:val="000000"/>
                <w:sz w:val="22"/>
                <w:szCs w:val="22"/>
              </w:rPr>
            </w:pPr>
          </w:p>
        </w:tc>
        <w:tc>
          <w:tcPr>
            <w:tcW w:w="1061" w:type="pct"/>
            <w:tcBorders>
              <w:top w:val="nil"/>
              <w:left w:val="nil"/>
              <w:bottom w:val="single" w:sz="4" w:space="0" w:color="auto"/>
              <w:right w:val="single" w:sz="4" w:space="0" w:color="auto"/>
            </w:tcBorders>
            <w:shd w:val="clear" w:color="000000" w:fill="FFFFFF"/>
            <w:vAlign w:val="center"/>
            <w:hideMark/>
          </w:tcPr>
          <w:p w14:paraId="35DA3939" w14:textId="77777777" w:rsidR="00FB24A7" w:rsidRPr="00FB24A7" w:rsidRDefault="00FB24A7" w:rsidP="00FB24A7">
            <w:pPr>
              <w:spacing w:after="0" w:line="240" w:lineRule="auto"/>
              <w:jc w:val="center"/>
              <w:rPr>
                <w:rFonts w:ascii="Calibri" w:eastAsia="Times New Roman" w:hAnsi="Calibri" w:cs="Calibri"/>
                <w:color w:val="000000"/>
                <w:sz w:val="22"/>
                <w:szCs w:val="22"/>
              </w:rPr>
            </w:pPr>
            <w:r w:rsidRPr="00FB24A7">
              <w:rPr>
                <w:rFonts w:ascii="Calibri" w:eastAsia="Times New Roman" w:hAnsi="Calibri" w:cs="Calibri"/>
                <w:i/>
                <w:iCs/>
                <w:color w:val="000000"/>
                <w:sz w:val="22"/>
                <w:szCs w:val="22"/>
              </w:rPr>
              <w:t>B. subtilis</w:t>
            </w:r>
            <w:r w:rsidRPr="00FB24A7">
              <w:rPr>
                <w:rFonts w:ascii="Calibri" w:eastAsia="Times New Roman" w:hAnsi="Calibri" w:cs="Calibri"/>
                <w:color w:val="000000"/>
                <w:sz w:val="22"/>
                <w:szCs w:val="22"/>
              </w:rPr>
              <w:t xml:space="preserve"> HM04</w:t>
            </w:r>
          </w:p>
        </w:tc>
        <w:tc>
          <w:tcPr>
            <w:tcW w:w="1070" w:type="pct"/>
            <w:tcBorders>
              <w:top w:val="nil"/>
              <w:left w:val="nil"/>
              <w:bottom w:val="single" w:sz="4" w:space="0" w:color="auto"/>
              <w:right w:val="single" w:sz="4" w:space="0" w:color="auto"/>
            </w:tcBorders>
            <w:shd w:val="clear" w:color="000000" w:fill="FFFFFF"/>
            <w:vAlign w:val="center"/>
            <w:hideMark/>
          </w:tcPr>
          <w:p w14:paraId="0FD20A57"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56616</w:t>
            </w:r>
          </w:p>
        </w:tc>
        <w:tc>
          <w:tcPr>
            <w:tcW w:w="1070" w:type="pct"/>
            <w:tcBorders>
              <w:top w:val="nil"/>
              <w:left w:val="nil"/>
              <w:bottom w:val="single" w:sz="4" w:space="0" w:color="auto"/>
              <w:right w:val="single" w:sz="4" w:space="0" w:color="auto"/>
            </w:tcBorders>
            <w:shd w:val="clear" w:color="000000" w:fill="FFFFFF"/>
            <w:vAlign w:val="center"/>
            <w:hideMark/>
          </w:tcPr>
          <w:p w14:paraId="07E35BCA"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343</w:t>
            </w:r>
          </w:p>
        </w:tc>
        <w:tc>
          <w:tcPr>
            <w:tcW w:w="1036" w:type="pct"/>
            <w:tcBorders>
              <w:top w:val="nil"/>
              <w:left w:val="nil"/>
              <w:bottom w:val="single" w:sz="4" w:space="0" w:color="auto"/>
              <w:right w:val="single" w:sz="4" w:space="0" w:color="auto"/>
            </w:tcBorders>
            <w:shd w:val="clear" w:color="000000" w:fill="FFFFFF"/>
            <w:vAlign w:val="center"/>
            <w:hideMark/>
          </w:tcPr>
          <w:p w14:paraId="3844FFFE"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4.4937</w:t>
            </w:r>
          </w:p>
        </w:tc>
      </w:tr>
      <w:tr w:rsidR="00FB24A7" w:rsidRPr="00FB24A7" w14:paraId="2598C987" w14:textId="77777777" w:rsidTr="00FB24A7">
        <w:trPr>
          <w:trHeight w:val="480"/>
        </w:trPr>
        <w:tc>
          <w:tcPr>
            <w:tcW w:w="7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17B616" w14:textId="77777777" w:rsidR="00FB24A7" w:rsidRPr="00FB24A7" w:rsidRDefault="00FB24A7" w:rsidP="00FB24A7">
            <w:pPr>
              <w:spacing w:after="0" w:line="240" w:lineRule="auto"/>
              <w:jc w:val="center"/>
              <w:rPr>
                <w:rFonts w:ascii="Calibri" w:eastAsia="Times New Roman" w:hAnsi="Calibri" w:cs="Calibri"/>
                <w:color w:val="000000"/>
                <w:sz w:val="22"/>
                <w:szCs w:val="22"/>
              </w:rPr>
            </w:pPr>
            <w:r w:rsidRPr="00FB24A7">
              <w:rPr>
                <w:rFonts w:ascii="Calibri" w:eastAsia="Times New Roman" w:hAnsi="Calibri" w:cs="Calibri"/>
                <w:color w:val="000000"/>
                <w:sz w:val="22"/>
                <w:szCs w:val="22"/>
              </w:rPr>
              <w:t>Maize</w:t>
            </w:r>
          </w:p>
        </w:tc>
        <w:tc>
          <w:tcPr>
            <w:tcW w:w="1061" w:type="pct"/>
            <w:tcBorders>
              <w:top w:val="nil"/>
              <w:left w:val="nil"/>
              <w:bottom w:val="single" w:sz="4" w:space="0" w:color="auto"/>
              <w:right w:val="single" w:sz="4" w:space="0" w:color="auto"/>
            </w:tcBorders>
            <w:shd w:val="clear" w:color="000000" w:fill="FFFFFF"/>
            <w:vAlign w:val="center"/>
            <w:hideMark/>
          </w:tcPr>
          <w:p w14:paraId="4DB15D9B" w14:textId="77777777" w:rsidR="00FB24A7" w:rsidRPr="00FB24A7" w:rsidRDefault="00FB24A7" w:rsidP="00FB24A7">
            <w:pPr>
              <w:spacing w:after="0" w:line="240" w:lineRule="auto"/>
              <w:jc w:val="center"/>
              <w:rPr>
                <w:rFonts w:ascii="Calibri" w:eastAsia="Times New Roman" w:hAnsi="Calibri" w:cs="Calibri"/>
                <w:color w:val="000000"/>
                <w:sz w:val="22"/>
                <w:szCs w:val="22"/>
              </w:rPr>
            </w:pPr>
            <w:r w:rsidRPr="00FB24A7">
              <w:rPr>
                <w:rFonts w:ascii="Calibri" w:eastAsia="Times New Roman" w:hAnsi="Calibri" w:cs="Calibri"/>
                <w:color w:val="000000"/>
                <w:sz w:val="22"/>
                <w:szCs w:val="22"/>
              </w:rPr>
              <w:t>Control</w:t>
            </w:r>
          </w:p>
        </w:tc>
        <w:tc>
          <w:tcPr>
            <w:tcW w:w="1070" w:type="pct"/>
            <w:tcBorders>
              <w:top w:val="nil"/>
              <w:left w:val="nil"/>
              <w:bottom w:val="single" w:sz="4" w:space="0" w:color="auto"/>
              <w:right w:val="single" w:sz="4" w:space="0" w:color="auto"/>
            </w:tcBorders>
            <w:shd w:val="clear" w:color="000000" w:fill="FFFFFF"/>
            <w:vAlign w:val="center"/>
            <w:hideMark/>
          </w:tcPr>
          <w:p w14:paraId="2860E790"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85565</w:t>
            </w:r>
          </w:p>
        </w:tc>
        <w:tc>
          <w:tcPr>
            <w:tcW w:w="1070" w:type="pct"/>
            <w:tcBorders>
              <w:top w:val="nil"/>
              <w:left w:val="nil"/>
              <w:bottom w:val="single" w:sz="4" w:space="0" w:color="auto"/>
              <w:right w:val="single" w:sz="4" w:space="0" w:color="auto"/>
            </w:tcBorders>
            <w:shd w:val="clear" w:color="000000" w:fill="FFFFFF"/>
            <w:vAlign w:val="center"/>
            <w:hideMark/>
          </w:tcPr>
          <w:p w14:paraId="28A05A81"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431</w:t>
            </w:r>
          </w:p>
        </w:tc>
        <w:tc>
          <w:tcPr>
            <w:tcW w:w="1036" w:type="pct"/>
            <w:tcBorders>
              <w:top w:val="nil"/>
              <w:left w:val="nil"/>
              <w:bottom w:val="single" w:sz="4" w:space="0" w:color="auto"/>
              <w:right w:val="single" w:sz="4" w:space="0" w:color="auto"/>
            </w:tcBorders>
            <w:shd w:val="clear" w:color="000000" w:fill="FFFFFF"/>
            <w:vAlign w:val="center"/>
            <w:hideMark/>
          </w:tcPr>
          <w:p w14:paraId="2ABCBC83"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4.5627</w:t>
            </w:r>
          </w:p>
        </w:tc>
      </w:tr>
      <w:tr w:rsidR="00FB24A7" w:rsidRPr="00FB24A7" w14:paraId="377F3697" w14:textId="77777777" w:rsidTr="00FB24A7">
        <w:trPr>
          <w:trHeight w:val="480"/>
        </w:trPr>
        <w:tc>
          <w:tcPr>
            <w:tcW w:w="763" w:type="pct"/>
            <w:vMerge/>
            <w:tcBorders>
              <w:top w:val="nil"/>
              <w:left w:val="single" w:sz="4" w:space="0" w:color="auto"/>
              <w:bottom w:val="single" w:sz="4" w:space="0" w:color="auto"/>
              <w:right w:val="single" w:sz="4" w:space="0" w:color="auto"/>
            </w:tcBorders>
            <w:vAlign w:val="center"/>
            <w:hideMark/>
          </w:tcPr>
          <w:p w14:paraId="71781502" w14:textId="77777777" w:rsidR="00FB24A7" w:rsidRPr="00FB24A7" w:rsidRDefault="00FB24A7" w:rsidP="00FB24A7">
            <w:pPr>
              <w:spacing w:after="0" w:line="240" w:lineRule="auto"/>
              <w:rPr>
                <w:rFonts w:ascii="Calibri" w:eastAsia="Times New Roman" w:hAnsi="Calibri" w:cs="Calibri"/>
                <w:color w:val="000000"/>
                <w:sz w:val="22"/>
                <w:szCs w:val="22"/>
              </w:rPr>
            </w:pPr>
          </w:p>
        </w:tc>
        <w:tc>
          <w:tcPr>
            <w:tcW w:w="1061" w:type="pct"/>
            <w:tcBorders>
              <w:top w:val="nil"/>
              <w:left w:val="nil"/>
              <w:bottom w:val="single" w:sz="4" w:space="0" w:color="auto"/>
              <w:right w:val="single" w:sz="4" w:space="0" w:color="auto"/>
            </w:tcBorders>
            <w:shd w:val="clear" w:color="000000" w:fill="FFFFFF"/>
            <w:vAlign w:val="center"/>
            <w:hideMark/>
          </w:tcPr>
          <w:p w14:paraId="26CAED2E" w14:textId="77777777" w:rsidR="00FB24A7" w:rsidRPr="00FB24A7" w:rsidRDefault="00FB24A7" w:rsidP="00FB24A7">
            <w:pPr>
              <w:spacing w:after="0" w:line="240" w:lineRule="auto"/>
              <w:jc w:val="center"/>
              <w:rPr>
                <w:rFonts w:ascii="Calibri" w:eastAsia="Times New Roman" w:hAnsi="Calibri" w:cs="Calibri"/>
                <w:color w:val="000000"/>
                <w:sz w:val="22"/>
                <w:szCs w:val="22"/>
              </w:rPr>
            </w:pPr>
            <w:r w:rsidRPr="00FB24A7">
              <w:rPr>
                <w:rFonts w:ascii="Calibri" w:eastAsia="Times New Roman" w:hAnsi="Calibri" w:cs="Calibri"/>
                <w:i/>
                <w:iCs/>
                <w:color w:val="000000"/>
                <w:sz w:val="22"/>
                <w:szCs w:val="22"/>
              </w:rPr>
              <w:t>B. subtilis</w:t>
            </w:r>
            <w:r w:rsidRPr="00FB24A7">
              <w:rPr>
                <w:rFonts w:ascii="Calibri" w:eastAsia="Times New Roman" w:hAnsi="Calibri" w:cs="Calibri"/>
                <w:color w:val="000000"/>
                <w:sz w:val="22"/>
                <w:szCs w:val="22"/>
              </w:rPr>
              <w:t xml:space="preserve"> HM01</w:t>
            </w:r>
          </w:p>
        </w:tc>
        <w:tc>
          <w:tcPr>
            <w:tcW w:w="1070" w:type="pct"/>
            <w:tcBorders>
              <w:top w:val="nil"/>
              <w:left w:val="nil"/>
              <w:bottom w:val="single" w:sz="4" w:space="0" w:color="auto"/>
              <w:right w:val="single" w:sz="4" w:space="0" w:color="auto"/>
            </w:tcBorders>
            <w:shd w:val="clear" w:color="000000" w:fill="FFFFFF"/>
            <w:vAlign w:val="center"/>
            <w:hideMark/>
          </w:tcPr>
          <w:p w14:paraId="51F9D680"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68549</w:t>
            </w:r>
          </w:p>
        </w:tc>
        <w:tc>
          <w:tcPr>
            <w:tcW w:w="1070" w:type="pct"/>
            <w:tcBorders>
              <w:top w:val="nil"/>
              <w:left w:val="nil"/>
              <w:bottom w:val="single" w:sz="4" w:space="0" w:color="auto"/>
              <w:right w:val="single" w:sz="4" w:space="0" w:color="auto"/>
            </w:tcBorders>
            <w:shd w:val="clear" w:color="000000" w:fill="FFFFFF"/>
            <w:vAlign w:val="center"/>
            <w:hideMark/>
          </w:tcPr>
          <w:p w14:paraId="78A6CFB4"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484</w:t>
            </w:r>
          </w:p>
        </w:tc>
        <w:tc>
          <w:tcPr>
            <w:tcW w:w="1036" w:type="pct"/>
            <w:tcBorders>
              <w:top w:val="nil"/>
              <w:left w:val="nil"/>
              <w:bottom w:val="single" w:sz="4" w:space="0" w:color="auto"/>
              <w:right w:val="single" w:sz="4" w:space="0" w:color="auto"/>
            </w:tcBorders>
            <w:shd w:val="clear" w:color="000000" w:fill="FFFFFF"/>
            <w:vAlign w:val="center"/>
            <w:hideMark/>
          </w:tcPr>
          <w:p w14:paraId="327B191D"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4.9479</w:t>
            </w:r>
          </w:p>
        </w:tc>
      </w:tr>
      <w:tr w:rsidR="00FB24A7" w:rsidRPr="00FB24A7" w14:paraId="63F6DE2C" w14:textId="77777777" w:rsidTr="00FB24A7">
        <w:trPr>
          <w:trHeight w:val="480"/>
        </w:trPr>
        <w:tc>
          <w:tcPr>
            <w:tcW w:w="763" w:type="pct"/>
            <w:vMerge/>
            <w:tcBorders>
              <w:top w:val="nil"/>
              <w:left w:val="single" w:sz="4" w:space="0" w:color="auto"/>
              <w:bottom w:val="single" w:sz="4" w:space="0" w:color="auto"/>
              <w:right w:val="single" w:sz="4" w:space="0" w:color="auto"/>
            </w:tcBorders>
            <w:vAlign w:val="center"/>
            <w:hideMark/>
          </w:tcPr>
          <w:p w14:paraId="265E1C85" w14:textId="77777777" w:rsidR="00FB24A7" w:rsidRPr="00FB24A7" w:rsidRDefault="00FB24A7" w:rsidP="00FB24A7">
            <w:pPr>
              <w:spacing w:after="0" w:line="240" w:lineRule="auto"/>
              <w:rPr>
                <w:rFonts w:ascii="Calibri" w:eastAsia="Times New Roman" w:hAnsi="Calibri" w:cs="Calibri"/>
                <w:color w:val="000000"/>
                <w:sz w:val="22"/>
                <w:szCs w:val="22"/>
              </w:rPr>
            </w:pPr>
          </w:p>
        </w:tc>
        <w:tc>
          <w:tcPr>
            <w:tcW w:w="1061" w:type="pct"/>
            <w:tcBorders>
              <w:top w:val="nil"/>
              <w:left w:val="nil"/>
              <w:bottom w:val="single" w:sz="4" w:space="0" w:color="auto"/>
              <w:right w:val="single" w:sz="4" w:space="0" w:color="auto"/>
            </w:tcBorders>
            <w:shd w:val="clear" w:color="000000" w:fill="FFFFFF"/>
            <w:vAlign w:val="center"/>
            <w:hideMark/>
          </w:tcPr>
          <w:p w14:paraId="0378CFBF" w14:textId="77777777" w:rsidR="00FB24A7" w:rsidRPr="00FB24A7" w:rsidRDefault="00FB24A7" w:rsidP="00FB24A7">
            <w:pPr>
              <w:spacing w:after="0" w:line="240" w:lineRule="auto"/>
              <w:jc w:val="center"/>
              <w:rPr>
                <w:rFonts w:ascii="Calibri" w:eastAsia="Times New Roman" w:hAnsi="Calibri" w:cs="Calibri"/>
                <w:color w:val="000000"/>
                <w:sz w:val="22"/>
                <w:szCs w:val="22"/>
              </w:rPr>
            </w:pPr>
            <w:r w:rsidRPr="00FB24A7">
              <w:rPr>
                <w:rFonts w:ascii="Calibri" w:eastAsia="Times New Roman" w:hAnsi="Calibri" w:cs="Calibri"/>
                <w:i/>
                <w:iCs/>
                <w:color w:val="000000"/>
                <w:sz w:val="22"/>
                <w:szCs w:val="22"/>
              </w:rPr>
              <w:t>B. subtilis</w:t>
            </w:r>
            <w:r w:rsidRPr="00FB24A7">
              <w:rPr>
                <w:rFonts w:ascii="Calibri" w:eastAsia="Times New Roman" w:hAnsi="Calibri" w:cs="Calibri"/>
                <w:color w:val="000000"/>
                <w:sz w:val="22"/>
                <w:szCs w:val="22"/>
              </w:rPr>
              <w:t xml:space="preserve"> HM04</w:t>
            </w:r>
          </w:p>
        </w:tc>
        <w:tc>
          <w:tcPr>
            <w:tcW w:w="1070" w:type="pct"/>
            <w:tcBorders>
              <w:top w:val="nil"/>
              <w:left w:val="nil"/>
              <w:bottom w:val="single" w:sz="4" w:space="0" w:color="auto"/>
              <w:right w:val="single" w:sz="4" w:space="0" w:color="auto"/>
            </w:tcBorders>
            <w:shd w:val="clear" w:color="000000" w:fill="FFFFFF"/>
            <w:vAlign w:val="center"/>
            <w:hideMark/>
          </w:tcPr>
          <w:p w14:paraId="4CC6730E"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80417</w:t>
            </w:r>
          </w:p>
        </w:tc>
        <w:tc>
          <w:tcPr>
            <w:tcW w:w="1070" w:type="pct"/>
            <w:tcBorders>
              <w:top w:val="nil"/>
              <w:left w:val="nil"/>
              <w:bottom w:val="single" w:sz="4" w:space="0" w:color="auto"/>
              <w:right w:val="single" w:sz="4" w:space="0" w:color="auto"/>
            </w:tcBorders>
            <w:shd w:val="clear" w:color="000000" w:fill="FFFFFF"/>
            <w:vAlign w:val="center"/>
            <w:hideMark/>
          </w:tcPr>
          <w:p w14:paraId="7438C16A"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350</w:t>
            </w:r>
          </w:p>
        </w:tc>
        <w:tc>
          <w:tcPr>
            <w:tcW w:w="1036" w:type="pct"/>
            <w:tcBorders>
              <w:top w:val="nil"/>
              <w:left w:val="nil"/>
              <w:bottom w:val="single" w:sz="4" w:space="0" w:color="auto"/>
              <w:right w:val="single" w:sz="4" w:space="0" w:color="auto"/>
            </w:tcBorders>
            <w:shd w:val="clear" w:color="000000" w:fill="FFFFFF"/>
            <w:vAlign w:val="center"/>
            <w:hideMark/>
          </w:tcPr>
          <w:p w14:paraId="4060FDD6" w14:textId="77777777" w:rsidR="00FB24A7" w:rsidRPr="00FB24A7" w:rsidRDefault="00FB24A7" w:rsidP="00FB24A7">
            <w:pPr>
              <w:spacing w:after="0" w:line="240" w:lineRule="auto"/>
              <w:jc w:val="center"/>
              <w:rPr>
                <w:rFonts w:ascii="Arial" w:eastAsia="Times New Roman" w:hAnsi="Arial" w:cs="Arial"/>
                <w:color w:val="000000"/>
                <w:sz w:val="20"/>
                <w:szCs w:val="20"/>
              </w:rPr>
            </w:pPr>
            <w:r w:rsidRPr="00FB24A7">
              <w:rPr>
                <w:rFonts w:ascii="Arial" w:eastAsia="Times New Roman" w:hAnsi="Arial" w:cs="Arial"/>
                <w:color w:val="000000"/>
                <w:sz w:val="20"/>
                <w:szCs w:val="20"/>
              </w:rPr>
              <w:t>4.2009</w:t>
            </w:r>
          </w:p>
        </w:tc>
      </w:tr>
    </w:tbl>
    <w:p w14:paraId="34F368DE" w14:textId="77777777" w:rsidR="00FB24A7" w:rsidRDefault="00FB24A7" w:rsidP="00FB577E">
      <w:pPr>
        <w:jc w:val="both"/>
        <w:rPr>
          <w:rFonts w:ascii="Times New Roman" w:eastAsia="Times New Roman" w:hAnsi="Times New Roman" w:cs="Times New Roman"/>
          <w:b/>
          <w:bCs/>
        </w:rPr>
      </w:pPr>
    </w:p>
    <w:p w14:paraId="31EB7E93" w14:textId="77777777" w:rsidR="00FB24A7" w:rsidRDefault="00FB24A7" w:rsidP="00FB577E">
      <w:pPr>
        <w:jc w:val="both"/>
        <w:rPr>
          <w:rFonts w:ascii="Times New Roman" w:eastAsia="Times New Roman" w:hAnsi="Times New Roman" w:cs="Times New Roman"/>
          <w:b/>
          <w:bCs/>
        </w:rPr>
      </w:pPr>
    </w:p>
    <w:p w14:paraId="3372CE70" w14:textId="77777777" w:rsidR="00FB24A7" w:rsidRDefault="00FB24A7" w:rsidP="00FB577E">
      <w:pPr>
        <w:jc w:val="both"/>
        <w:rPr>
          <w:rFonts w:ascii="Times New Roman" w:eastAsia="Times New Roman" w:hAnsi="Times New Roman" w:cs="Times New Roman"/>
          <w:b/>
          <w:bCs/>
        </w:rPr>
      </w:pPr>
    </w:p>
    <w:p w14:paraId="34306475" w14:textId="77777777" w:rsidR="00FB24A7" w:rsidRDefault="00FB24A7" w:rsidP="00FB577E">
      <w:pPr>
        <w:jc w:val="both"/>
        <w:rPr>
          <w:rFonts w:ascii="Times New Roman" w:eastAsia="Times New Roman" w:hAnsi="Times New Roman" w:cs="Times New Roman"/>
          <w:b/>
          <w:bCs/>
        </w:rPr>
      </w:pPr>
    </w:p>
    <w:p w14:paraId="4634AEA4" w14:textId="77777777" w:rsidR="00FB24A7" w:rsidRDefault="00FB24A7" w:rsidP="00FB577E">
      <w:pPr>
        <w:jc w:val="both"/>
        <w:rPr>
          <w:rFonts w:ascii="Times New Roman" w:eastAsia="Times New Roman" w:hAnsi="Times New Roman" w:cs="Times New Roman"/>
          <w:b/>
          <w:bCs/>
        </w:rPr>
      </w:pPr>
    </w:p>
    <w:p w14:paraId="5E4B33CC" w14:textId="77777777" w:rsidR="00FB24A7" w:rsidRDefault="00FB24A7" w:rsidP="00FB577E">
      <w:pPr>
        <w:jc w:val="both"/>
        <w:rPr>
          <w:rFonts w:ascii="Times New Roman" w:eastAsia="Times New Roman" w:hAnsi="Times New Roman" w:cs="Times New Roman"/>
          <w:b/>
          <w:bCs/>
        </w:rPr>
      </w:pPr>
    </w:p>
    <w:p w14:paraId="44EA2D45" w14:textId="77777777" w:rsidR="00FB577E" w:rsidRPr="00FB577E" w:rsidRDefault="00FB577E">
      <w:pPr>
        <w:rPr>
          <w:rFonts w:ascii="Times New Roman" w:hAnsi="Times New Roman" w:cs="Times New Roman"/>
        </w:rPr>
      </w:pPr>
    </w:p>
    <w:sectPr w:rsidR="00FB577E" w:rsidRPr="00FB577E" w:rsidSect="00FB577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BFD"/>
    <w:rsid w:val="000150BF"/>
    <w:rsid w:val="000E1A26"/>
    <w:rsid w:val="00184A39"/>
    <w:rsid w:val="002F7E6B"/>
    <w:rsid w:val="0039754E"/>
    <w:rsid w:val="00490975"/>
    <w:rsid w:val="0057632A"/>
    <w:rsid w:val="005F4814"/>
    <w:rsid w:val="00615BFD"/>
    <w:rsid w:val="00676520"/>
    <w:rsid w:val="00706332"/>
    <w:rsid w:val="007B7EBE"/>
    <w:rsid w:val="007E5A1D"/>
    <w:rsid w:val="00845A5E"/>
    <w:rsid w:val="00CD5A8B"/>
    <w:rsid w:val="00CF1CFD"/>
    <w:rsid w:val="00E3339F"/>
    <w:rsid w:val="00F168AA"/>
    <w:rsid w:val="00FB24A7"/>
    <w:rsid w:val="00FB577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6D40E"/>
  <w15:chartTrackingRefBased/>
  <w15:docId w15:val="{7AA28164-9606-4D63-AC5D-3C989C5BC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A26"/>
    <w:rPr>
      <w:rFonts w:ascii="Aptos" w:eastAsia="Aptos" w:hAnsi="Aptos" w:cs="Aptos"/>
      <w:kern w:val="0"/>
      <w:lang w:eastAsia="en-IN"/>
      <w14:ligatures w14:val="none"/>
    </w:rPr>
  </w:style>
  <w:style w:type="paragraph" w:styleId="Heading1">
    <w:name w:val="heading 1"/>
    <w:basedOn w:val="Normal"/>
    <w:next w:val="Normal"/>
    <w:link w:val="Heading1Char"/>
    <w:uiPriority w:val="9"/>
    <w:qFormat/>
    <w:rsid w:val="00615BFD"/>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15BFD"/>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15BFD"/>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15BFD"/>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615BFD"/>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615BFD"/>
    <w:pPr>
      <w:keepNext/>
      <w:keepLines/>
      <w:spacing w:before="40" w:after="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615BFD"/>
    <w:pPr>
      <w:keepNext/>
      <w:keepLines/>
      <w:spacing w:before="40" w:after="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615BFD"/>
    <w:pPr>
      <w:keepNext/>
      <w:keepLines/>
      <w:spacing w:after="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615BFD"/>
    <w:pPr>
      <w:keepNext/>
      <w:keepLines/>
      <w:spacing w:after="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B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5B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5B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5B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5B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5B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5B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5B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5BFD"/>
    <w:rPr>
      <w:rFonts w:eastAsiaTheme="majorEastAsia" w:cstheme="majorBidi"/>
      <w:color w:val="272727" w:themeColor="text1" w:themeTint="D8"/>
    </w:rPr>
  </w:style>
  <w:style w:type="paragraph" w:styleId="Title">
    <w:name w:val="Title"/>
    <w:basedOn w:val="Normal"/>
    <w:next w:val="Normal"/>
    <w:link w:val="TitleChar"/>
    <w:uiPriority w:val="10"/>
    <w:qFormat/>
    <w:rsid w:val="00615BFD"/>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15B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5BFD"/>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15B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5BFD"/>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615BFD"/>
    <w:rPr>
      <w:i/>
      <w:iCs/>
      <w:color w:val="404040" w:themeColor="text1" w:themeTint="BF"/>
    </w:rPr>
  </w:style>
  <w:style w:type="paragraph" w:styleId="ListParagraph">
    <w:name w:val="List Paragraph"/>
    <w:basedOn w:val="Normal"/>
    <w:uiPriority w:val="34"/>
    <w:qFormat/>
    <w:rsid w:val="00615BFD"/>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615BFD"/>
    <w:rPr>
      <w:i/>
      <w:iCs/>
      <w:color w:val="0F4761" w:themeColor="accent1" w:themeShade="BF"/>
    </w:rPr>
  </w:style>
  <w:style w:type="paragraph" w:styleId="IntenseQuote">
    <w:name w:val="Intense Quote"/>
    <w:basedOn w:val="Normal"/>
    <w:next w:val="Normal"/>
    <w:link w:val="IntenseQuoteChar"/>
    <w:uiPriority w:val="30"/>
    <w:qFormat/>
    <w:rsid w:val="00615BF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615BFD"/>
    <w:rPr>
      <w:i/>
      <w:iCs/>
      <w:color w:val="0F4761" w:themeColor="accent1" w:themeShade="BF"/>
    </w:rPr>
  </w:style>
  <w:style w:type="character" w:styleId="IntenseReference">
    <w:name w:val="Intense Reference"/>
    <w:basedOn w:val="DefaultParagraphFont"/>
    <w:uiPriority w:val="32"/>
    <w:qFormat/>
    <w:rsid w:val="00615BFD"/>
    <w:rPr>
      <w:b/>
      <w:bCs/>
      <w:smallCaps/>
      <w:color w:val="0F4761" w:themeColor="accent1" w:themeShade="BF"/>
      <w:spacing w:val="5"/>
    </w:rPr>
  </w:style>
  <w:style w:type="character" w:styleId="Hyperlink">
    <w:name w:val="Hyperlink"/>
    <w:basedOn w:val="DefaultParagraphFont"/>
    <w:uiPriority w:val="99"/>
    <w:unhideWhenUsed/>
    <w:rsid w:val="00FB577E"/>
    <w:rPr>
      <w:color w:val="0563C1"/>
      <w:u w:val="single"/>
    </w:rPr>
  </w:style>
  <w:style w:type="paragraph" w:styleId="NoSpacing">
    <w:name w:val="No Spacing"/>
    <w:uiPriority w:val="1"/>
    <w:qFormat/>
    <w:rsid w:val="00FB577E"/>
    <w:pPr>
      <w:spacing w:after="0" w:line="240" w:lineRule="auto"/>
    </w:pPr>
    <w:rPr>
      <w:rFonts w:ascii="Aptos" w:eastAsia="Aptos" w:hAnsi="Aptos" w:cs="Aptos"/>
      <w:kern w:val="0"/>
      <w:lang w:eastAsia="en-IN"/>
      <w14:ligatures w14:val="none"/>
    </w:rPr>
  </w:style>
  <w:style w:type="character" w:styleId="UnresolvedMention">
    <w:name w:val="Unresolved Mention"/>
    <w:basedOn w:val="DefaultParagraphFont"/>
    <w:uiPriority w:val="99"/>
    <w:semiHidden/>
    <w:unhideWhenUsed/>
    <w:rsid w:val="002F7E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52679">
      <w:bodyDiv w:val="1"/>
      <w:marLeft w:val="0"/>
      <w:marRight w:val="0"/>
      <w:marTop w:val="0"/>
      <w:marBottom w:val="0"/>
      <w:divBdr>
        <w:top w:val="none" w:sz="0" w:space="0" w:color="auto"/>
        <w:left w:val="none" w:sz="0" w:space="0" w:color="auto"/>
        <w:bottom w:val="none" w:sz="0" w:space="0" w:color="auto"/>
        <w:right w:val="none" w:sz="0" w:space="0" w:color="auto"/>
      </w:divBdr>
    </w:div>
    <w:div w:id="372076421">
      <w:bodyDiv w:val="1"/>
      <w:marLeft w:val="0"/>
      <w:marRight w:val="0"/>
      <w:marTop w:val="0"/>
      <w:marBottom w:val="0"/>
      <w:divBdr>
        <w:top w:val="none" w:sz="0" w:space="0" w:color="auto"/>
        <w:left w:val="none" w:sz="0" w:space="0" w:color="auto"/>
        <w:bottom w:val="none" w:sz="0" w:space="0" w:color="auto"/>
        <w:right w:val="none" w:sz="0" w:space="0" w:color="auto"/>
      </w:divBdr>
    </w:div>
    <w:div w:id="374080827">
      <w:bodyDiv w:val="1"/>
      <w:marLeft w:val="0"/>
      <w:marRight w:val="0"/>
      <w:marTop w:val="0"/>
      <w:marBottom w:val="0"/>
      <w:divBdr>
        <w:top w:val="none" w:sz="0" w:space="0" w:color="auto"/>
        <w:left w:val="none" w:sz="0" w:space="0" w:color="auto"/>
        <w:bottom w:val="none" w:sz="0" w:space="0" w:color="auto"/>
        <w:right w:val="none" w:sz="0" w:space="0" w:color="auto"/>
      </w:divBdr>
    </w:div>
    <w:div w:id="762992245">
      <w:bodyDiv w:val="1"/>
      <w:marLeft w:val="0"/>
      <w:marRight w:val="0"/>
      <w:marTop w:val="0"/>
      <w:marBottom w:val="0"/>
      <w:divBdr>
        <w:top w:val="none" w:sz="0" w:space="0" w:color="auto"/>
        <w:left w:val="none" w:sz="0" w:space="0" w:color="auto"/>
        <w:bottom w:val="none" w:sz="0" w:space="0" w:color="auto"/>
        <w:right w:val="none" w:sz="0" w:space="0" w:color="auto"/>
      </w:divBdr>
    </w:div>
    <w:div w:id="858079729">
      <w:bodyDiv w:val="1"/>
      <w:marLeft w:val="0"/>
      <w:marRight w:val="0"/>
      <w:marTop w:val="0"/>
      <w:marBottom w:val="0"/>
      <w:divBdr>
        <w:top w:val="none" w:sz="0" w:space="0" w:color="auto"/>
        <w:left w:val="none" w:sz="0" w:space="0" w:color="auto"/>
        <w:bottom w:val="none" w:sz="0" w:space="0" w:color="auto"/>
        <w:right w:val="none" w:sz="0" w:space="0" w:color="auto"/>
      </w:divBdr>
    </w:div>
    <w:div w:id="1305547403">
      <w:bodyDiv w:val="1"/>
      <w:marLeft w:val="0"/>
      <w:marRight w:val="0"/>
      <w:marTop w:val="0"/>
      <w:marBottom w:val="0"/>
      <w:divBdr>
        <w:top w:val="none" w:sz="0" w:space="0" w:color="auto"/>
        <w:left w:val="none" w:sz="0" w:space="0" w:color="auto"/>
        <w:bottom w:val="none" w:sz="0" w:space="0" w:color="auto"/>
        <w:right w:val="none" w:sz="0" w:space="0" w:color="auto"/>
      </w:divBdr>
    </w:div>
    <w:div w:id="1550994462">
      <w:bodyDiv w:val="1"/>
      <w:marLeft w:val="0"/>
      <w:marRight w:val="0"/>
      <w:marTop w:val="0"/>
      <w:marBottom w:val="0"/>
      <w:divBdr>
        <w:top w:val="none" w:sz="0" w:space="0" w:color="auto"/>
        <w:left w:val="none" w:sz="0" w:space="0" w:color="auto"/>
        <w:bottom w:val="none" w:sz="0" w:space="0" w:color="auto"/>
        <w:right w:val="none" w:sz="0" w:space="0" w:color="auto"/>
      </w:divBdr>
    </w:div>
    <w:div w:id="1650552851">
      <w:bodyDiv w:val="1"/>
      <w:marLeft w:val="0"/>
      <w:marRight w:val="0"/>
      <w:marTop w:val="0"/>
      <w:marBottom w:val="0"/>
      <w:divBdr>
        <w:top w:val="none" w:sz="0" w:space="0" w:color="auto"/>
        <w:left w:val="none" w:sz="0" w:space="0" w:color="auto"/>
        <w:bottom w:val="none" w:sz="0" w:space="0" w:color="auto"/>
        <w:right w:val="none" w:sz="0" w:space="0" w:color="auto"/>
      </w:divBdr>
    </w:div>
    <w:div w:id="1728720429">
      <w:bodyDiv w:val="1"/>
      <w:marLeft w:val="0"/>
      <w:marRight w:val="0"/>
      <w:marTop w:val="0"/>
      <w:marBottom w:val="0"/>
      <w:divBdr>
        <w:top w:val="none" w:sz="0" w:space="0" w:color="auto"/>
        <w:left w:val="none" w:sz="0" w:space="0" w:color="auto"/>
        <w:bottom w:val="none" w:sz="0" w:space="0" w:color="auto"/>
        <w:right w:val="none" w:sz="0" w:space="0" w:color="auto"/>
      </w:divBdr>
    </w:div>
    <w:div w:id="1799840662">
      <w:bodyDiv w:val="1"/>
      <w:marLeft w:val="0"/>
      <w:marRight w:val="0"/>
      <w:marTop w:val="0"/>
      <w:marBottom w:val="0"/>
      <w:divBdr>
        <w:top w:val="none" w:sz="0" w:space="0" w:color="auto"/>
        <w:left w:val="none" w:sz="0" w:space="0" w:color="auto"/>
        <w:bottom w:val="none" w:sz="0" w:space="0" w:color="auto"/>
        <w:right w:val="none" w:sz="0" w:space="0" w:color="auto"/>
      </w:divBdr>
    </w:div>
    <w:div w:id="209585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hyperlink" Target="https://doi.org/10.1093/ismejo/wraf114" TargetMode="External"/><Relationship Id="rId26" Type="http://schemas.openxmlformats.org/officeDocument/2006/relationships/hyperlink" Target="https://doi.org/10.1111/1751-7915.14118" TargetMode="External"/><Relationship Id="rId39" Type="http://schemas.openxmlformats.org/officeDocument/2006/relationships/hyperlink" Target="https://doi.org/10.1111/ppl.14140" TargetMode="External"/><Relationship Id="rId21" Type="http://schemas.openxmlformats.org/officeDocument/2006/relationships/hyperlink" Target="https://doi.org/10.3390/molecules26071863" TargetMode="External"/><Relationship Id="rId34" Type="http://schemas.openxmlformats.org/officeDocument/2006/relationships/hyperlink" Target="https://doi.org/10.3390/jcm12030767" TargetMode="External"/><Relationship Id="rId42" Type="http://schemas.openxmlformats.org/officeDocument/2006/relationships/hyperlink" Target="https://doi.org/10.3390/plants13091227" TargetMode="External"/><Relationship Id="rId47" Type="http://schemas.openxmlformats.org/officeDocument/2006/relationships/hyperlink" Target="https://doi.org/10.1007/s00894-023-05664-8" TargetMode="External"/><Relationship Id="rId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image" Target="media/image13.jpeg"/><Relationship Id="rId29" Type="http://schemas.openxmlformats.org/officeDocument/2006/relationships/hyperlink" Target="https://doi.org/10.1128/mmbr.00069-23" TargetMode="External"/><Relationship Id="rId11" Type="http://schemas.openxmlformats.org/officeDocument/2006/relationships/image" Target="media/image8.jpeg"/><Relationship Id="rId24" Type="http://schemas.openxmlformats.org/officeDocument/2006/relationships/hyperlink" Target="https://doi.org/10.12688/f1000research.51874.1" TargetMode="External"/><Relationship Id="rId32" Type="http://schemas.openxmlformats.org/officeDocument/2006/relationships/hyperlink" Target="https://doi.org/10.14720/abs.66.1.13510" TargetMode="External"/><Relationship Id="rId37" Type="http://schemas.openxmlformats.org/officeDocument/2006/relationships/hyperlink" Target="https://doi.org/10.3390/ijms24032765" TargetMode="External"/><Relationship Id="rId40" Type="http://schemas.openxmlformats.org/officeDocument/2006/relationships/hyperlink" Target="https://doi.org/10.3389/fmicb.2022.956332" TargetMode="External"/><Relationship Id="rId45" Type="http://schemas.openxmlformats.org/officeDocument/2006/relationships/hyperlink" Target="https://doi.org/10.3390/microorganisms9030633" TargetMode="Externa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hyperlink" Target="https://doi.org/10.3390/jof11110813" TargetMode="External"/><Relationship Id="rId28" Type="http://schemas.openxmlformats.org/officeDocument/2006/relationships/hyperlink" Target="https://doi.org/10.1128/JB.00421-21" TargetMode="External"/><Relationship Id="rId36" Type="http://schemas.openxmlformats.org/officeDocument/2006/relationships/hyperlink" Target="https://doi.org/10.3390/ijms24065239" TargetMode="External"/><Relationship Id="rId49"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hyperlink" Target="https://doi.org/10.1016/j.ijbiomac.2020.10.235" TargetMode="External"/><Relationship Id="rId31" Type="http://schemas.openxmlformats.org/officeDocument/2006/relationships/hyperlink" Target="https://doi.org/10.1186/s12866-023-02941-7" TargetMode="External"/><Relationship Id="rId44" Type="http://schemas.openxmlformats.org/officeDocument/2006/relationships/hyperlink" Target="https://doi.org/10.1021/acs.biochem.3c00293" TargetMode="Externa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hyperlink" Target="https://doi.org/10.1038/s42003-025-08749-7" TargetMode="External"/><Relationship Id="rId27" Type="http://schemas.openxmlformats.org/officeDocument/2006/relationships/hyperlink" Target="https://doi.org/10.2478/am-2022-009" TargetMode="External"/><Relationship Id="rId30" Type="http://schemas.openxmlformats.org/officeDocument/2006/relationships/hyperlink" Target="https://doi.org/10.1042/BSR20220352" TargetMode="External"/><Relationship Id="rId35" Type="http://schemas.openxmlformats.org/officeDocument/2006/relationships/hyperlink" Target="https://doi.org/10.1038/s41598-025-08736-2" TargetMode="External"/><Relationship Id="rId43" Type="http://schemas.openxmlformats.org/officeDocument/2006/relationships/hyperlink" Target="https://doi.org/10.1038/s41591-023-02217-7" TargetMode="External"/><Relationship Id="rId48" Type="http://schemas.openxmlformats.org/officeDocument/2006/relationships/fontTable" Target="fontTable.xml"/><Relationship Id="rId8" Type="http://schemas.openxmlformats.org/officeDocument/2006/relationships/image" Target="media/image5.jpe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hyperlink" Target="https://doi.org/10.3389/fmicb.2025.1572117" TargetMode="External"/><Relationship Id="rId25" Type="http://schemas.openxmlformats.org/officeDocument/2006/relationships/hyperlink" Target="https://doi.org/10.3390/biology12121519" TargetMode="External"/><Relationship Id="rId33" Type="http://schemas.openxmlformats.org/officeDocument/2006/relationships/hyperlink" Target="https://doi.org/10.1093/femsre/fuaa064" TargetMode="External"/><Relationship Id="rId38" Type="http://schemas.openxmlformats.org/officeDocument/2006/relationships/hyperlink" Target="https://doi.org/10.3390/ijms25115785" TargetMode="External"/><Relationship Id="rId46" Type="http://schemas.openxmlformats.org/officeDocument/2006/relationships/hyperlink" Target="https://doi.org/10.1038/s42003-025-08522-w" TargetMode="External"/><Relationship Id="rId20" Type="http://schemas.openxmlformats.org/officeDocument/2006/relationships/hyperlink" Target="https://doi.org/10.1016/j.ijbiomac.2022.04.082" TargetMode="External"/><Relationship Id="rId41" Type="http://schemas.openxmlformats.org/officeDocument/2006/relationships/hyperlink" Target="https://doi.org/10.1186/s12934-025-02846-2" TargetMode="External"/><Relationship Id="rId1" Type="http://schemas.openxmlformats.org/officeDocument/2006/relationships/styles" Target="styles.xml"/><Relationship Id="rId6"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20</Pages>
  <Words>2753</Words>
  <Characters>15697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 Pal</dc:creator>
  <cp:keywords/>
  <dc:description/>
  <cp:lastModifiedBy>Rajesh Pal</cp:lastModifiedBy>
  <cp:revision>17</cp:revision>
  <cp:lastPrinted>2026-05-21T12:42:00Z</cp:lastPrinted>
  <dcterms:created xsi:type="dcterms:W3CDTF">2026-05-15T10:23:00Z</dcterms:created>
  <dcterms:modified xsi:type="dcterms:W3CDTF">2026-08-04T09:41:00Z</dcterms:modified>
</cp:coreProperties>
</file>