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rial" w:hAnsi="Arial"/>
          <w:b/>
          <w:i w:val="0"/>
          <w:color w:val="000000"/>
          <w:sz w:val="32"/>
        </w:rPr>
        <w:t>From surveillance maturity to analytical readiness: an estimand-first framework for real-time outbreak analysis under imperfect data</w:t>
      </w:r>
    </w:p>
    <w:p>
      <w:pPr>
        <w:spacing w:line="312" w:lineRule="auto" w:after="60"/>
        <w:jc w:val="center"/>
      </w:pPr>
      <w:r>
        <w:rPr>
          <w:rFonts w:ascii="Arial" w:hAnsi="Arial"/>
          <w:b w:val="0"/>
          <w:i w:val="0"/>
          <w:color w:val="000000"/>
          <w:sz w:val="30"/>
        </w:rPr>
        <w:t>Additional file 1: Supporting Information S1–S8</w:t>
      </w:r>
    </w:p>
    <w:p>
      <w:pPr>
        <w:spacing w:line="312" w:lineRule="auto" w:after="60"/>
        <w:jc w:val="center"/>
      </w:pPr>
      <w:r>
        <w:rPr>
          <w:rFonts w:ascii="Arial" w:hAnsi="Arial"/>
          <w:b w:val="0"/>
          <w:i w:val="0"/>
          <w:color w:val="000000"/>
        </w:rPr>
        <w:t>Johan G. L. Verheyden, MSc; Celestin Nzanzu Mudogo, MD, MSc, PhD; Wolfgang Jacquet, PhD</w:t>
      </w:r>
    </w:p>
    <w:p>
      <w:pPr>
        <w:pStyle w:val="Heading1"/>
        <w:keepNext/>
        <w:pageBreakBefore w:val="0"/>
      </w:pPr>
      <w:r>
        <w:rPr>
          <w:rFonts w:ascii="Arial" w:hAnsi="Arial"/>
          <w:color w:val="000000"/>
        </w:rPr>
        <w:t>S1. EXTENDED FRAMEWORK DEFINITIONS AND OPERATIONAL INDICATORS</w:t>
      </w:r>
    </w:p>
    <w:p>
      <w:pPr>
        <w:pStyle w:val="Heading2"/>
        <w:keepNext/>
        <w:pageBreakBefore w:val="0"/>
      </w:pPr>
      <w:r>
        <w:rPr>
          <w:rFonts w:ascii="Arial" w:hAnsi="Arial"/>
          <w:color w:val="000000"/>
        </w:rPr>
        <w:t>S1.1 Data vintage and observation-process reconstruction</w:t>
      </w:r>
    </w:p>
    <w:p>
      <w:pPr>
        <w:spacing w:line="312" w:lineRule="auto" w:after="60"/>
      </w:pPr>
      <w:r>
        <w:rPr>
          <w:rFonts w:ascii="Arial" w:hAnsi="Arial"/>
          <w:color w:val="000000"/>
        </w:rPr>
        <w:t>Real-time outbreak datasets evolve retrospectively. Cases may be added to earlier dates, removed as duplicates, reclassified, geographically reassigned or corrected after laboratory reconciliation. The dataset describing epidemiological day t at a later date is therefore not necessarily the dataset that was available to an analyst on day t.</w:t>
      </w:r>
    </w:p>
    <w:p>
      <w:pPr>
        <w:spacing w:line="312" w:lineRule="auto" w:after="60"/>
      </w:pPr>
      <w:r>
        <w:rPr>
          <w:rFonts w:ascii="Arial" w:hAnsi="Arial"/>
          <w:color w:val="000000"/>
        </w:rPr>
        <w:t>For reproducibility and interpretation, historical analyses should label their vintage status explicitly. We use three categories: (1) vintage-faithful, where the original contemporaneous dataset available at the analytical origin is preserved; (2) vintage-reconstructable, where contemporaneous reports survive and the origin-specific state can be reconstructed with documented rules; and (3) final-vintage pseudo-prospective, where future outcomes are withheld but historical inputs may incorporate later corrections. Outcome leakage and data-vintage leakage are distinct: a rolling-origin analysis can avoid future target leakage while still using historically revised inputs.</w:t>
      </w:r>
    </w:p>
    <w:p>
      <w:pPr>
        <w:pStyle w:val="Heading2"/>
        <w:keepNext/>
        <w:pageBreakBefore w:val="0"/>
      </w:pPr>
      <w:r>
        <w:rPr>
          <w:rFonts w:ascii="Arial" w:hAnsi="Arial"/>
          <w:color w:val="000000"/>
        </w:rPr>
        <w:t>S1.2 Missingness, reporting gaps and source anomalies</w:t>
      </w:r>
    </w:p>
    <w:p>
      <w:pPr>
        <w:spacing w:line="312" w:lineRule="auto" w:after="60"/>
      </w:pPr>
      <w:r>
        <w:rPr>
          <w:rFonts w:ascii="Arial" w:hAnsi="Arial"/>
          <w:color w:val="000000"/>
        </w:rPr>
        <w:t>Missing surveillance reports are not interpreted as zero epidemiological events. Daily changes are calculated only when the relevant current and immediately preceding calendar observations are both available. A cumulative difference spanning several unreported days is not represented as one-day incidence in the primary calculation. Likewise, absence of a geographic unit from a report is not automatically treated as zero cases unless the reporting structure establishes that all units were reported and zeros were encoded by omission.</w:t>
      </w:r>
    </w:p>
    <w:p>
      <w:pPr>
        <w:spacing w:line="312" w:lineRule="auto" w:after="60"/>
      </w:pPr>
      <w:r>
        <w:rPr>
          <w:rFonts w:ascii="Arial" w:hAnsi="Arial"/>
          <w:color w:val="000000"/>
        </w:rPr>
        <w:t>No interpolation or redistribution of multi-day increments is required by the framework. Where transformed series are used, those transformations should be explicit and analysed separately from the original surveillance record. A variable whose operational meaning changes during the outbreak should not be treated as one homogeneous longitudinal measure merely because the field name remains constant.</w:t>
      </w:r>
    </w:p>
    <w:p>
      <w:pPr>
        <w:pStyle w:val="Heading2"/>
        <w:keepNext/>
        <w:pageBreakBefore w:val="0"/>
      </w:pPr>
      <w:r>
        <w:rPr>
          <w:rFonts w:ascii="Arial" w:hAnsi="Arial"/>
          <w:color w:val="000000"/>
        </w:rPr>
        <w:t>S1.3 Surveillance-maturity indicator profile</w:t>
      </w:r>
    </w:p>
    <w:p>
      <w:pPr>
        <w:pStyle w:val="Heading3"/>
        <w:keepNext/>
        <w:pageBreakBefore w:val="0"/>
      </w:pPr>
      <w:r>
        <w:rPr>
          <w:rFonts w:ascii="Arial" w:hAnsi="Arial"/>
          <w:color w:val="000000"/>
        </w:rPr>
        <w:t>Reporting continuity and completeness</w:t>
      </w:r>
    </w:p>
    <w:p>
      <w:pPr>
        <w:spacing w:line="312" w:lineRule="auto" w:after="60"/>
      </w:pPr>
      <w:r>
        <w:rPr>
          <w:rFonts w:ascii="Arial" w:hAnsi="Arial"/>
          <w:color w:val="000000"/>
        </w:rPr>
        <w:t>Indicators can include reporting-day coverage, frequency and duration of missing reports, the proportion of expected geographic reporting units represented and continuity of major surveillance channels. These describe observable reporting completeness but do not by themselves establish surveillance maturity.</w:t>
      </w:r>
    </w:p>
    <w:p>
      <w:pPr>
        <w:pStyle w:val="Heading3"/>
        <w:keepNext/>
        <w:pageBreakBefore w:val="0"/>
      </w:pPr>
      <w:r>
        <w:rPr>
          <w:rFonts w:ascii="Arial" w:hAnsi="Arial"/>
          <w:color w:val="000000"/>
        </w:rPr>
        <w:t>Timeliness and backlog</w:t>
      </w:r>
    </w:p>
    <w:p>
      <w:pPr>
        <w:spacing w:line="312" w:lineRule="auto" w:after="60"/>
      </w:pPr>
      <w:r>
        <w:rPr>
          <w:rFonts w:ascii="Arial" w:hAnsi="Arial"/>
          <w:color w:val="000000"/>
        </w:rPr>
        <w:t>Relevant measures include laboratory turnaround, alert-investigation timeliness, unprocessed specimen counts, carried-forward reports and other evidence of queue behaviour. A stable epidemic curve is not sufficient evidence of stable surveillance delay, because smooth reporting may also arise from diminished case finding or access.</w:t>
      </w:r>
    </w:p>
    <w:p>
      <w:pPr>
        <w:pStyle w:val="Heading3"/>
        <w:keepNext/>
        <w:pageBreakBefore w:val="0"/>
      </w:pPr>
      <w:r>
        <w:rPr>
          <w:rFonts w:ascii="Arial" w:hAnsi="Arial"/>
          <w:color w:val="000000"/>
        </w:rPr>
        <w:t>Surveillance activity and process performance</w:t>
      </w:r>
    </w:p>
    <w:p>
      <w:pPr>
        <w:spacing w:line="312" w:lineRule="auto" w:after="60"/>
      </w:pPr>
      <w:r>
        <w:rPr>
          <w:rFonts w:ascii="Arial" w:hAnsi="Arial"/>
          <w:color w:val="000000"/>
        </w:rPr>
        <w:t>Process indicators may include contact follow-up, alert investigation, specimen collection, testing throughput and case-investigation activity. They provide evidence about surveillance performance that is partly independent of the epidemic curve.</w:t>
      </w:r>
    </w:p>
    <w:p>
      <w:pPr>
        <w:pStyle w:val="Heading3"/>
        <w:keepNext/>
        <w:pageBreakBefore w:val="0"/>
      </w:pPr>
      <w:r>
        <w:rPr>
          <w:rFonts w:ascii="Arial" w:hAnsi="Arial"/>
          <w:color w:val="000000"/>
        </w:rPr>
        <w:t>Retrospective revision burden</w:t>
      </w:r>
    </w:p>
    <w:p>
      <w:pPr>
        <w:spacing w:line="312" w:lineRule="auto" w:after="60"/>
      </w:pPr>
      <w:r>
        <w:rPr>
          <w:rFonts w:ascii="Arial" w:hAnsi="Arial"/>
          <w:color w:val="000000"/>
        </w:rPr>
        <w:t>Where successive data vintages are available, revision burden can be characterised through the frequency, direction and magnitude of modifications to previously reported values. Negative changes in cumulative reported counts are treated as corrections/reclassifications rather than negative incidence.</w:t>
      </w:r>
    </w:p>
    <w:p>
      <w:pPr>
        <w:pStyle w:val="Heading3"/>
        <w:keepNext/>
        <w:pageBreakBefore w:val="0"/>
      </w:pPr>
      <w:r>
        <w:rPr>
          <w:rFonts w:ascii="Arial" w:hAnsi="Arial"/>
          <w:color w:val="000000"/>
        </w:rPr>
        <w:t>Geographic representativeness</w:t>
      </w:r>
    </w:p>
    <w:p>
      <w:pPr>
        <w:spacing w:line="312" w:lineRule="auto" w:after="60"/>
      </w:pPr>
      <w:r>
        <w:rPr>
          <w:rFonts w:ascii="Arial" w:hAnsi="Arial"/>
          <w:color w:val="000000"/>
        </w:rPr>
        <w:t>The analyst should examine the number and distribution of reporting geographic units, abrupt changes in coverage and evidence that difficult-to-access or newly affected areas are systematically underrepresented. Epidemic geographic expansion and loss of surveillance coverage are different processes.</w:t>
      </w:r>
    </w:p>
    <w:p>
      <w:pPr>
        <w:pStyle w:val="Heading3"/>
        <w:keepNext/>
        <w:pageBreakBefore w:val="0"/>
      </w:pPr>
      <w:r>
        <w:rPr>
          <w:rFonts w:ascii="Arial" w:hAnsi="Arial"/>
          <w:color w:val="000000"/>
        </w:rPr>
        <w:t>Cross-channel consistency</w:t>
      </w:r>
    </w:p>
    <w:p>
      <w:pPr>
        <w:spacing w:line="312" w:lineRule="auto" w:after="60"/>
      </w:pPr>
      <w:r>
        <w:rPr>
          <w:rFonts w:ascii="Arial" w:hAnsi="Arial"/>
          <w:color w:val="000000"/>
        </w:rPr>
        <w:t>Where multiple reporting channels describe overlapping populations or outcomes, denominators and temporal consistency should be compared. Disagreement does not automatically designate one source incorrect; it may show that completeness differs by channel and therefore by estimand.</w:t>
      </w:r>
    </w:p>
    <w:p>
      <w:pPr>
        <w:pStyle w:val="Heading2"/>
        <w:keepNext/>
        <w:pageBreakBefore w:val="0"/>
      </w:pPr>
      <w:r>
        <w:rPr>
          <w:rFonts w:ascii="Arial" w:hAnsi="Arial"/>
          <w:color w:val="000000"/>
        </w:rPr>
        <w:t>S1.4 Epidemic-process informativeness</w:t>
      </w:r>
    </w:p>
    <w:p>
      <w:pPr>
        <w:spacing w:line="312" w:lineRule="auto" w:after="60"/>
      </w:pPr>
      <w:r>
        <w:rPr>
          <w:rFonts w:ascii="Arial" w:hAnsi="Arial"/>
          <w:color w:val="000000"/>
        </w:rPr>
        <w:t>Epidemic-process informativeness E concerns the amount of estimand-relevant signal generated by the epidemic. For temporal dynamics, candidate indicators include observed event days, cumulative burden, elapsed time relative to relevant disease timescales, trajectory variation and curvature. For forecasting, useful indicators include the amount of usable historical data and the number of earlier forecast origins whose targets have matured. For geographic prioritisation, they include the number of observed geographic events and meaningful risk-set time. For mortality, they include denominator size, epidemic age, recent-case share and outcome resolution where available. No universal threshold based on days, cumulative cases or reports is imposed across tasks.</w:t>
      </w:r>
    </w:p>
    <w:p>
      <w:pPr>
        <w:pStyle w:val="Heading2"/>
        <w:keepNext/>
        <w:pageBreakBefore w:val="0"/>
      </w:pPr>
      <w:r>
        <w:rPr>
          <w:rFonts w:ascii="Arial" w:hAnsi="Arial"/>
          <w:color w:val="000000"/>
        </w:rPr>
        <w:t>S1.5 Readiness trajectories, transitions and non-scalar surveillance profiles</w:t>
      </w:r>
    </w:p>
    <w:p>
      <w:pPr>
        <w:spacing w:line="312" w:lineRule="auto" w:after="60"/>
      </w:pPr>
      <w:r>
        <w:rPr>
          <w:rFonts w:ascii="Arial" w:hAnsi="Arial"/>
          <w:color w:val="000000"/>
        </w:rPr>
        <w:t>For outbreak o, origin T and estimand θ, a structured readiness record can preserve {D, θ, Y(T), S_T, E_T, M, V, I}: operational decision, estimand, available data, surveillance evidence, epidemic information, method, validation and permissible interpretation. Repeated records form an estimand-specific readiness trajectory rather than a one-time dataset label.</w:t>
      </w:r>
    </w:p>
    <w:p>
      <w:pPr>
        <w:spacing w:line="312" w:lineRule="auto" w:after="60"/>
      </w:pPr>
      <w:r>
        <w:rPr>
          <w:rFonts w:ascii="Arial" w:hAnsi="Arial"/>
          <w:b w:val="0"/>
          <w:i w:val="0"/>
          <w:color w:val="000000"/>
        </w:rPr>
        <w:t>Transitions need not be monotonic. First readiness is the first origin at which a specified class is supported; sustained readiness requires support across subsequent predefined origins; readiness loss occurs when later surveillance or epidemic changes invalidate a previously supported class. A quantity may also remain Class E or F throughout an outbreak if the surveillance architecture never observes what is required to identify the latent quantity.</w:t>
      </w:r>
    </w:p>
    <w:p>
      <w:pPr>
        <w:spacing w:line="312" w:lineRule="auto" w:after="60"/>
      </w:pPr>
      <w:r>
        <w:rPr>
          <w:rFonts w:ascii="Arial" w:hAnsi="Arial"/>
          <w:color w:val="000000"/>
        </w:rPr>
        <w:t>A single surveillance-maturity score was deliberately rejected for the primary framework. Weighting reporting completeness, backlog, laboratory throughput, contact follow-up, revision burden and geographic coverage would require compensation rules with no general empirical basis, and the relevance of each indicator depends on the estimand. The framework therefore retains a profile rather than an index.</w:t>
      </w:r>
    </w:p>
    <w:p>
      <w:pPr>
        <w:pStyle w:val="Heading1"/>
        <w:keepNext/>
        <w:pageBreakBefore w:val="0"/>
      </w:pPr>
      <w:r>
        <w:rPr>
          <w:rFonts w:ascii="Arial" w:hAnsi="Arial"/>
          <w:color w:val="000000"/>
        </w:rPr>
        <w:t>S2. ESTIMAND–EVIDENCE–VALIDATION MATRICES</w:t>
      </w:r>
    </w:p>
    <w:p>
      <w:pPr>
        <w:spacing w:line="312" w:lineRule="auto" w:after="60"/>
      </w:pPr>
      <w:r>
        <w:rPr>
          <w:rFonts w:ascii="Arial" w:hAnsi="Arial"/>
          <w:color w:val="000000"/>
        </w:rPr>
        <w:t>The following matrices preserve the full pre-analysis specification used to separate estimands, observation-process threats, readiness evidence, validation criteria and prohibited interpretation. They are intended as an audit and implementation resource rather than as part of the main narrative.</w:t>
      </w:r>
    </w:p>
    <w:p>
      <w:pPr>
        <w:spacing w:line="312" w:lineRule="auto" w:after="60"/>
        <w:sectPr>
          <w:footerReference w:type="default" r:id="rId11"/>
          <w:pgSz w:w="11909" w:h="16834"/>
          <w:pgMar w:top="1247" w:right="1247" w:bottom="1247" w:left="1361" w:header="720" w:footer="720" w:gutter="0"/>
          <w:cols w:space="720"/>
          <w:docGrid w:linePitch="360"/>
          <w:lnNumType w:countBy="1" w:start="1" w:restart="continuous" w:distance="360"/>
        </w:sectPr>
      </w:pPr>
    </w:p>
    <w:p>
      <w:pPr>
        <w:pStyle w:val="Heading2"/>
        <w:keepNext/>
        <w:pageBreakBefore w:val="0"/>
      </w:pPr>
      <w:r>
        <w:rPr>
          <w:rFonts w:ascii="Arial" w:hAnsi="Arial"/>
          <w:color w:val="000000"/>
        </w:rPr>
        <w:t>S2.1 Analytical matrix</w:t>
      </w:r>
    </w:p>
    <w:tbl>
      <w:tblPr>
        <w:tblStyle w:val="TableGrid"/>
        <w:tblW w:type="auto" w:w="0"/>
        <w:jc w:val="center"/>
        <w:tblLayout w:type="autofit"/>
        <w:tblLook w:firstColumn="1" w:firstRow="1" w:lastColumn="0" w:lastRow="0" w:noHBand="0" w:noVBand="1" w:val="04A0"/>
      </w:tblPr>
      <w:tblGrid>
        <w:gridCol w:w="2376"/>
        <w:gridCol w:w="2376"/>
        <w:gridCol w:w="2376"/>
        <w:gridCol w:w="2376"/>
        <w:gridCol w:w="2376"/>
        <w:gridCol w:w="2376"/>
      </w:tblGrid>
      <w:tr>
        <w:trPr>
          <w:tblHeader w:val="true"/>
        </w:trPr>
        <w:tc>
          <w:tcPr>
            <w:tcW w:type="dxa" w:w="2376"/>
            <w:vAlign w:val="top"/>
            <w:tcMar>
              <w:top w:w="80" w:type="dxa"/>
              <w:start w:w="80" w:type="dxa"/>
              <w:bottom w:w="80" w:type="dxa"/>
              <w:end w:w="80" w:type="dxa"/>
            </w:tcMar>
          </w:tcPr>
          <w:p>
            <w:pPr>
              <w:spacing w:after="0" w:before="0" w:line="240" w:lineRule="auto"/>
            </w:pPr>
            <w:r>
              <w:rPr>
                <w:rFonts w:ascii="Arial" w:hAnsi="Arial"/>
                <w:b/>
                <w:color w:val="000000"/>
                <w:sz w:val="16"/>
              </w:rPr>
              <w:t>Task / decision</w:t>
            </w:r>
          </w:p>
        </w:tc>
        <w:tc>
          <w:tcPr>
            <w:tcW w:type="dxa" w:w="2376"/>
            <w:vAlign w:val="top"/>
            <w:tcMar>
              <w:top w:w="80" w:type="dxa"/>
              <w:start w:w="80" w:type="dxa"/>
              <w:bottom w:w="80" w:type="dxa"/>
              <w:end w:w="80" w:type="dxa"/>
            </w:tcMar>
          </w:tcPr>
          <w:p>
            <w:pPr>
              <w:spacing w:after="0" w:before="0" w:line="240" w:lineRule="auto"/>
            </w:pPr>
            <w:r>
              <w:rPr>
                <w:rFonts w:ascii="Arial" w:hAnsi="Arial"/>
                <w:b/>
                <w:color w:val="000000"/>
                <w:sz w:val="16"/>
              </w:rPr>
              <w:t>Formal estimand</w:t>
            </w:r>
          </w:p>
        </w:tc>
        <w:tc>
          <w:tcPr>
            <w:tcW w:type="dxa" w:w="2376"/>
            <w:vAlign w:val="top"/>
            <w:tcMar>
              <w:top w:w="80" w:type="dxa"/>
              <w:start w:w="80" w:type="dxa"/>
              <w:bottom w:w="80" w:type="dxa"/>
              <w:end w:w="80" w:type="dxa"/>
            </w:tcMar>
          </w:tcPr>
          <w:p>
            <w:pPr>
              <w:spacing w:after="0" w:before="0" w:line="240" w:lineRule="auto"/>
            </w:pPr>
            <w:r>
              <w:rPr>
                <w:rFonts w:ascii="Arial" w:hAnsi="Arial"/>
                <w:b/>
                <w:color w:val="000000"/>
                <w:sz w:val="16"/>
              </w:rPr>
              <w:t>Primary observations</w:t>
            </w:r>
          </w:p>
        </w:tc>
        <w:tc>
          <w:tcPr>
            <w:tcW w:type="dxa" w:w="2376"/>
            <w:vAlign w:val="top"/>
            <w:tcMar>
              <w:top w:w="80" w:type="dxa"/>
              <w:start w:w="80" w:type="dxa"/>
              <w:bottom w:w="80" w:type="dxa"/>
              <w:end w:w="80" w:type="dxa"/>
            </w:tcMar>
          </w:tcPr>
          <w:p>
            <w:pPr>
              <w:spacing w:after="0" w:before="0" w:line="240" w:lineRule="auto"/>
            </w:pPr>
            <w:r>
              <w:rPr>
                <w:rFonts w:ascii="Arial" w:hAnsi="Arial"/>
                <w:b/>
                <w:color w:val="000000"/>
                <w:sz w:val="16"/>
              </w:rPr>
              <w:t>Key observation-process threats</w:t>
            </w:r>
          </w:p>
        </w:tc>
        <w:tc>
          <w:tcPr>
            <w:tcW w:type="dxa" w:w="2376"/>
            <w:vAlign w:val="top"/>
            <w:tcMar>
              <w:top w:w="80" w:type="dxa"/>
              <w:start w:w="80" w:type="dxa"/>
              <w:bottom w:w="80" w:type="dxa"/>
              <w:end w:w="80" w:type="dxa"/>
            </w:tcMar>
          </w:tcPr>
          <w:p>
            <w:pPr>
              <w:spacing w:after="0" w:before="0" w:line="240" w:lineRule="auto"/>
            </w:pPr>
            <w:r>
              <w:rPr>
                <w:rFonts w:ascii="Arial" w:hAnsi="Arial"/>
                <w:b/>
                <w:color w:val="000000"/>
                <w:sz w:val="16"/>
              </w:rPr>
              <w:t>Readiness evidence</w:t>
            </w:r>
          </w:p>
        </w:tc>
        <w:tc>
          <w:tcPr>
            <w:tcW w:type="dxa" w:w="2376"/>
            <w:vAlign w:val="top"/>
            <w:tcMar>
              <w:top w:w="80" w:type="dxa"/>
              <w:start w:w="80" w:type="dxa"/>
              <w:bottom w:w="80" w:type="dxa"/>
              <w:end w:w="80" w:type="dxa"/>
            </w:tcMar>
          </w:tcPr>
          <w:p>
            <w:pPr>
              <w:spacing w:after="0" w:before="0" w:line="240" w:lineRule="auto"/>
            </w:pPr>
            <w:r>
              <w:rPr>
                <w:rFonts w:ascii="Arial" w:hAnsi="Arial"/>
                <w:b/>
                <w:color w:val="000000"/>
                <w:sz w:val="16"/>
              </w:rPr>
              <w:t>Validation and strongest permissible interpretation</w:t>
            </w:r>
          </w:p>
        </w:tc>
      </w:tr>
      <w:tr>
        <w:trPr>
          <w:cantSplit/>
        </w:trPr>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Early growth / response timing</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Early growth rate r; doubling time; model-compatible onset</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Reported daily or cumulative cases; contemporaneous process metadata; independent timing anchors where available</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Changing ascertainment; backlog clearance; missing dates; retrospective revision; fitting-window dependence</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Reporting continuity; testing/process changes; event days; elapsed generations; expanding-window stability</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Expanding-window stability; alternative likelihoods/windows; independent epidemiological/genomic timing where available. Permissible: supported or model-dependent growth/onset. Prohibited: claiming exact first infection without external evidence.</w:t>
            </w:r>
          </w:p>
        </w:tc>
      </w:tr>
      <w:tr>
        <w:trPr>
          <w:cantSplit/>
        </w:trPr>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Short-term forecasting / capacity planning</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Distribution of future reported cases or deaths at 7/14/21/28 days</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Historical surveillance vintages; exact-date targets; reporting-regime metadata</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Data-vintage leakage; missing targets; ascertainment shifts; structural misspecification; overdispersion</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Usable history; history-to-horizon ratio; number of matured origins; surveillance-regime stability</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Rolling-origin AE/bias, coverage, WIS, baseline comparison. Permissible: forecast of reported burden at validated horizons. Prohibited: interpreting reported-case forecast as infections without an identified observation model.</w:t>
            </w:r>
          </w:p>
        </w:tc>
      </w:tr>
      <w:tr>
        <w:trPr>
          <w:cantSplit/>
        </w:trPr>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Geographic prioritisation / pre-positioning</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Rank or hazard of first reported confirmed case in currently unaffected units</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Health-zone or equivalent first-report dates; risk-set data; distance/connectivity covariates</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Detection/reporting heterogeneity; sparse events; retrospective reclassification; data-vintage leakage</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Geographic reporting completeness; number of first-report events; risk-set time; stability across kernels/specifications</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Top-k hit rate, rank percentile, precision–recall, cluster-aware uncertainty. Permissible: operational ranking; absolute probability only if calibrated. Prohibited: equating first report with biological introduction.</w:t>
            </w:r>
          </w:p>
        </w:tc>
      </w:tr>
      <w:tr>
        <w:trPr>
          <w:cantSplit/>
        </w:trPr>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Reported mortality / investigation of heterogeneity</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Reported crude case-fatality ratio; latent patient-level fatality only if identifiable</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Reported confirmed cases and deaths; outcome timing; reporting completeness; demographic/channel denominators</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Unresolved outcomes; differential case/death ascertainment; same-day administrative reporting; denominator mismatch</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Case/death channel completeness; epidemic age; recent-case share; denominator size; outcome resolution where available</w:t>
            </w:r>
          </w:p>
        </w:tc>
        <w:tc>
          <w:tcPr>
            <w:tcW w:type="dxa" w:w="2376"/>
            <w:tcMar>
              <w:top w:w="80" w:type="dxa"/>
              <w:start w:w="80" w:type="dxa"/>
              <w:bottom w:w="80" w:type="dxa"/>
              <w:end w:w="80" w:type="dxa"/>
            </w:tcMar>
            <w:vAlign w:val="top"/>
          </w:tcPr>
          <w:p>
            <w:pPr>
              <w:spacing w:after="0" w:before="0" w:line="240" w:lineRule="auto"/>
            </w:pPr>
            <w:r>
              <w:rPr>
                <w:rFonts w:ascii="Arial" w:hAnsi="Arial"/>
                <w:color w:val="000000"/>
                <w:sz w:val="16"/>
              </w:rPr>
              <w:t>Finite-denominator uncertainty; partial pooling; reporting-synchronisation analysis; targeted fatality-identifiability experiment. Permissible: reported mortality description or scenario bounds. Prohibited: ranking care quality or biological fatality when ascertainment is unresolved.</w:t>
            </w:r>
          </w:p>
        </w:tc>
      </w:tr>
    </w:tbl>
    <w:p>
      <w:pPr>
        <w:pStyle w:val="Heading2"/>
        <w:keepNext/>
        <w:pageBreakBefore w:val="0"/>
      </w:pPr>
      <w:r>
        <w:rPr>
          <w:rFonts w:ascii="Arial" w:hAnsi="Arial"/>
          <w:color w:val="000000"/>
        </w:rPr>
        <w:t>S2.2 Analytical design and evidence requirements</w:t>
      </w:r>
    </w:p>
    <w:tbl>
      <w:tblPr>
        <w:tblStyle w:val="TableGrid"/>
        <w:tblW w:type="auto" w:w="0"/>
        <w:jc w:val="center"/>
        <w:tblLayout w:type="autofit"/>
        <w:tblLook w:firstColumn="1" w:firstRow="1" w:lastColumn="0" w:lastRow="0" w:noHBand="0" w:noVBand="1" w:val="04A0"/>
      </w:tblPr>
      <w:tblGrid>
        <w:gridCol w:w="1331"/>
        <w:gridCol w:w="1331"/>
        <w:gridCol w:w="1331"/>
        <w:gridCol w:w="1331"/>
        <w:gridCol w:w="1331"/>
        <w:gridCol w:w="1331"/>
        <w:gridCol w:w="1331"/>
      </w:tblGrid>
      <w:tr>
        <w:trPr>
          <w:tblHeader w:val="true"/>
        </w:trPr>
        <w:tc>
          <w:tcPr>
            <w:tcW w:type="dxa" w:w="1584"/>
            <w:tcMar>
              <w:top w:w="80" w:type="dxa"/>
              <w:start w:w="80" w:type="dxa"/>
              <w:bottom w:w="80" w:type="dxa"/>
              <w:end w:w="80" w:type="dxa"/>
            </w:tcMar>
            <w:vAlign w:val="top"/>
          </w:tcPr>
          <w:p>
            <w:pPr>
              <w:spacing w:after="0" w:before="0" w:line="240" w:lineRule="auto"/>
            </w:pPr>
            <w:r>
              <w:rPr>
                <w:rFonts w:ascii="Arial" w:hAnsi="Arial"/>
                <w:b/>
                <w:color w:val="000000"/>
                <w:sz w:val="16"/>
              </w:rPr>
              <w:t>Task / decision</w:t>
            </w:r>
          </w:p>
        </w:tc>
        <w:tc>
          <w:tcPr>
            <w:tcW w:type="dxa" w:w="2015"/>
            <w:tcMar>
              <w:top w:w="80" w:type="dxa"/>
              <w:start w:w="80" w:type="dxa"/>
              <w:bottom w:w="80" w:type="dxa"/>
              <w:end w:w="80" w:type="dxa"/>
            </w:tcMar>
            <w:vAlign w:val="top"/>
          </w:tcPr>
          <w:p>
            <w:pPr>
              <w:spacing w:after="0" w:before="0" w:line="240" w:lineRule="auto"/>
            </w:pPr>
            <w:r>
              <w:rPr>
                <w:rFonts w:ascii="Arial" w:hAnsi="Arial"/>
                <w:b/>
                <w:color w:val="000000"/>
                <w:sz w:val="16"/>
              </w:rPr>
              <w:t>Formal estimand</w:t>
            </w:r>
          </w:p>
        </w:tc>
        <w:tc>
          <w:tcPr>
            <w:tcW w:type="dxa" w:w="2448"/>
            <w:tcMar>
              <w:top w:w="80" w:type="dxa"/>
              <w:start w:w="80" w:type="dxa"/>
              <w:bottom w:w="80" w:type="dxa"/>
              <w:end w:w="80" w:type="dxa"/>
            </w:tcMar>
            <w:vAlign w:val="top"/>
          </w:tcPr>
          <w:p>
            <w:pPr>
              <w:spacing w:after="0" w:before="0" w:line="240" w:lineRule="auto"/>
            </w:pPr>
            <w:r>
              <w:rPr>
                <w:rFonts w:ascii="Arial" w:hAnsi="Arial"/>
                <w:b/>
                <w:color w:val="000000"/>
                <w:sz w:val="16"/>
              </w:rPr>
              <w:t>Available observations</w:t>
            </w:r>
          </w:p>
        </w:tc>
        <w:tc>
          <w:tcPr>
            <w:tcW w:type="dxa" w:w="2088"/>
            <w:tcMar>
              <w:top w:w="80" w:type="dxa"/>
              <w:start w:w="80" w:type="dxa"/>
              <w:bottom w:w="80" w:type="dxa"/>
              <w:end w:w="80" w:type="dxa"/>
            </w:tcMar>
            <w:vAlign w:val="top"/>
          </w:tcPr>
          <w:p>
            <w:pPr>
              <w:spacing w:after="0" w:before="0" w:line="240" w:lineRule="auto"/>
            </w:pPr>
            <w:r>
              <w:rPr>
                <w:rFonts w:ascii="Arial" w:hAnsi="Arial"/>
                <w:b/>
                <w:color w:val="000000"/>
                <w:sz w:val="16"/>
              </w:rPr>
              <w:t>Surveillance-maturity indicators</w:t>
            </w:r>
          </w:p>
        </w:tc>
        <w:tc>
          <w:tcPr>
            <w:tcW w:type="dxa" w:w="2088"/>
            <w:tcMar>
              <w:top w:w="80" w:type="dxa"/>
              <w:start w:w="80" w:type="dxa"/>
              <w:bottom w:w="80" w:type="dxa"/>
              <w:end w:w="80" w:type="dxa"/>
            </w:tcMar>
            <w:vAlign w:val="top"/>
          </w:tcPr>
          <w:p>
            <w:pPr>
              <w:spacing w:after="0" w:before="0" w:line="240" w:lineRule="auto"/>
            </w:pPr>
            <w:r>
              <w:rPr>
                <w:rFonts w:ascii="Arial" w:hAnsi="Arial"/>
                <w:b/>
                <w:color w:val="000000"/>
                <w:sz w:val="16"/>
              </w:rPr>
              <w:t>Epidemic-information indicators</w:t>
            </w:r>
          </w:p>
        </w:tc>
        <w:tc>
          <w:tcPr>
            <w:tcW w:type="dxa" w:w="2520"/>
            <w:tcMar>
              <w:top w:w="80" w:type="dxa"/>
              <w:start w:w="80" w:type="dxa"/>
              <w:bottom w:w="80" w:type="dxa"/>
              <w:end w:w="80" w:type="dxa"/>
            </w:tcMar>
            <w:vAlign w:val="top"/>
          </w:tcPr>
          <w:p>
            <w:pPr>
              <w:spacing w:after="0" w:before="0" w:line="240" w:lineRule="auto"/>
            </w:pPr>
            <w:r>
              <w:rPr>
                <w:rFonts w:ascii="Arial" w:hAnsi="Arial"/>
                <w:b/>
                <w:color w:val="000000"/>
                <w:sz w:val="16"/>
              </w:rPr>
              <w:t>Observation-aware primary method</w:t>
            </w:r>
          </w:p>
        </w:tc>
        <w:tc>
          <w:tcPr>
            <w:tcW w:type="dxa" w:w="2376"/>
            <w:tcMar>
              <w:top w:w="80" w:type="dxa"/>
              <w:start w:w="80" w:type="dxa"/>
              <w:bottom w:w="80" w:type="dxa"/>
              <w:end w:w="80" w:type="dxa"/>
            </w:tcMar>
            <w:vAlign w:val="top"/>
          </w:tcPr>
          <w:p>
            <w:pPr>
              <w:spacing w:after="0" w:before="0" w:line="240" w:lineRule="auto"/>
            </w:pPr>
            <w:r>
              <w:rPr>
                <w:rFonts w:ascii="Arial" w:hAnsi="Arial"/>
                <w:b/>
                <w:color w:val="000000"/>
                <w:sz w:val="16"/>
              </w:rPr>
              <w:t>Observation-naïve comparator</w:t>
            </w:r>
          </w:p>
        </w:tc>
      </w:tr>
      <w:tr>
        <w:trPr>
          <w:cantSplit/>
        </w:trPr>
        <w:tc>
          <w:tcPr>
            <w:tcW w:type="dxa" w:w="1584"/>
            <w:tcMar>
              <w:top w:w="80" w:type="dxa"/>
              <w:start w:w="80" w:type="dxa"/>
              <w:bottom w:w="80" w:type="dxa"/>
              <w:end w:w="80" w:type="dxa"/>
            </w:tcMar>
            <w:vAlign w:val="top"/>
          </w:tcPr>
          <w:p>
            <w:pPr>
              <w:spacing w:after="0" w:line="240" w:lineRule="auto" w:before="0"/>
            </w:pPr>
            <w:r>
              <w:rPr>
                <w:rFonts w:ascii="Arial" w:hAnsi="Arial"/>
                <w:color w:val="000000"/>
                <w:sz w:val="16"/>
              </w:rPr>
              <w:t>Early growth / response timing</w:t>
            </w:r>
          </w:p>
        </w:tc>
        <w:tc>
          <w:tcPr>
            <w:tcW w:type="dxa" w:w="2015"/>
            <w:tcMar>
              <w:top w:w="80" w:type="dxa"/>
              <w:start w:w="80" w:type="dxa"/>
              <w:bottom w:w="80" w:type="dxa"/>
              <w:end w:w="80" w:type="dxa"/>
            </w:tcMar>
            <w:vAlign w:val="top"/>
          </w:tcPr>
          <w:p>
            <w:pPr>
              <w:spacing w:after="0" w:line="240" w:lineRule="auto" w:before="0"/>
            </w:pPr>
            <w:r>
              <w:rPr>
                <w:rFonts w:ascii="Arial" w:hAnsi="Arial"/>
                <w:color w:val="000000"/>
                <w:sz w:val="16"/>
              </w:rPr>
              <w:t>Early local growth rate r; doubling time; model-compatible onset.</w:t>
            </w:r>
          </w:p>
        </w:tc>
        <w:tc>
          <w:tcPr>
            <w:tcW w:type="dxa" w:w="2448"/>
            <w:tcMar>
              <w:top w:w="80" w:type="dxa"/>
              <w:start w:w="80" w:type="dxa"/>
              <w:bottom w:w="80" w:type="dxa"/>
              <w:end w:w="80" w:type="dxa"/>
            </w:tcMar>
            <w:vAlign w:val="top"/>
          </w:tcPr>
          <w:p>
            <w:pPr>
              <w:spacing w:after="0" w:line="240" w:lineRule="auto" w:before="0"/>
            </w:pPr>
            <w:r>
              <w:rPr>
                <w:rFonts w:ascii="Arial" w:hAnsi="Arial"/>
                <w:color w:val="000000"/>
                <w:sz w:val="16"/>
              </w:rPr>
              <w:t>Contemporaneous national or subnational case series; valid increments; source-vintage ledger; process metadata; independent epidemiological or genomic timing anchors where available.</w:t>
            </w:r>
          </w:p>
        </w:tc>
        <w:tc>
          <w:tcPr>
            <w:tcW w:type="dxa" w:w="2088"/>
            <w:tcMar>
              <w:top w:w="80" w:type="dxa"/>
              <w:start w:w="80" w:type="dxa"/>
              <w:bottom w:w="80" w:type="dxa"/>
              <w:end w:w="80" w:type="dxa"/>
            </w:tcMar>
            <w:vAlign w:val="top"/>
          </w:tcPr>
          <w:p>
            <w:pPr>
              <w:spacing w:after="0" w:line="240" w:lineRule="auto" w:before="0"/>
            </w:pPr>
            <w:r>
              <w:rPr>
                <w:rFonts w:ascii="Arial" w:hAnsi="Arial"/>
                <w:color w:val="000000"/>
                <w:sz w:val="16"/>
              </w:rPr>
              <w:t>Reporting continuity; testing/case-finding changes; documented backlog or reconciliation; revision burden; completeness of the relevant channel.</w:t>
            </w:r>
          </w:p>
        </w:tc>
        <w:tc>
          <w:tcPr>
            <w:tcW w:type="dxa" w:w="2088"/>
            <w:tcMar>
              <w:top w:w="80" w:type="dxa"/>
              <w:start w:w="80" w:type="dxa"/>
              <w:bottom w:w="80" w:type="dxa"/>
              <w:end w:w="80" w:type="dxa"/>
            </w:tcMar>
            <w:vAlign w:val="top"/>
          </w:tcPr>
          <w:p>
            <w:pPr>
              <w:spacing w:after="0" w:line="240" w:lineRule="auto" w:before="0"/>
            </w:pPr>
            <w:r>
              <w:rPr>
                <w:rFonts w:ascii="Arial" w:hAnsi="Arial"/>
                <w:color w:val="000000"/>
                <w:sz w:val="16"/>
              </w:rPr>
              <w:t>Observed event days; elapsed generations; cumulative signal; evidence of a stable early-growth window; expanding-window parameter stability.</w:t>
            </w:r>
          </w:p>
        </w:tc>
        <w:tc>
          <w:tcPr>
            <w:tcW w:type="dxa" w:w="2520"/>
            <w:tcMar>
              <w:top w:w="80" w:type="dxa"/>
              <w:start w:w="80" w:type="dxa"/>
              <w:bottom w:w="80" w:type="dxa"/>
              <w:end w:w="80" w:type="dxa"/>
            </w:tcMar>
            <w:vAlign w:val="top"/>
          </w:tcPr>
          <w:p>
            <w:pPr>
              <w:spacing w:after="0" w:line="240" w:lineRule="auto" w:before="0"/>
            </w:pPr>
            <w:r>
              <w:rPr>
                <w:rFonts w:ascii="Arial" w:hAnsi="Arial"/>
                <w:b w:val="0"/>
                <w:i w:val="0"/>
                <w:color w:val="000000"/>
                <w:sz w:val="16"/>
              </w:rPr>
              <w:t>Sequential growth fits across predefined windows and observation regimes; Poisson/overdispersed comparison; alternative growth specification where indicated; explicit back-calculation uncertainty.</w:t>
            </w:r>
          </w:p>
        </w:tc>
        <w:tc>
          <w:tcPr>
            <w:tcW w:type="dxa" w:w="2376"/>
            <w:tcMar>
              <w:top w:w="80" w:type="dxa"/>
              <w:start w:w="80" w:type="dxa"/>
              <w:bottom w:w="80" w:type="dxa"/>
              <w:end w:w="80" w:type="dxa"/>
            </w:tcMar>
            <w:vAlign w:val="top"/>
          </w:tcPr>
          <w:p>
            <w:pPr>
              <w:spacing w:after="0" w:line="240" w:lineRule="auto" w:before="0"/>
            </w:pPr>
            <w:r>
              <w:rPr>
                <w:rFonts w:ascii="Arial" w:hAnsi="Arial"/>
                <w:color w:val="000000"/>
                <w:sz w:val="16"/>
              </w:rPr>
              <w:t>Single-trend fit to reported counts with report date treated as epidemiological event date; no allowance for regime changes or missingness.</w:t>
            </w:r>
          </w:p>
        </w:tc>
      </w:tr>
      <w:tr>
        <w:trPr>
          <w:cantSplit/>
        </w:trPr>
        <w:tc>
          <w:tcPr>
            <w:tcW w:type="dxa" w:w="1584"/>
            <w:tcMar>
              <w:top w:w="80" w:type="dxa"/>
              <w:start w:w="80" w:type="dxa"/>
              <w:bottom w:w="80" w:type="dxa"/>
              <w:end w:w="80" w:type="dxa"/>
            </w:tcMar>
            <w:vAlign w:val="top"/>
          </w:tcPr>
          <w:p>
            <w:pPr>
              <w:spacing w:after="0" w:line="240" w:lineRule="auto" w:before="0"/>
            </w:pPr>
            <w:r>
              <w:rPr>
                <w:rFonts w:ascii="Arial" w:hAnsi="Arial"/>
                <w:color w:val="000000"/>
                <w:sz w:val="16"/>
              </w:rPr>
              <w:t>Short-term forecasting / capacity planning</w:t>
            </w:r>
          </w:p>
        </w:tc>
        <w:tc>
          <w:tcPr>
            <w:tcW w:type="dxa" w:w="2015"/>
            <w:tcMar>
              <w:top w:w="80" w:type="dxa"/>
              <w:start w:w="80" w:type="dxa"/>
              <w:bottom w:w="80" w:type="dxa"/>
              <w:end w:w="80" w:type="dxa"/>
            </w:tcMar>
            <w:vAlign w:val="top"/>
          </w:tcPr>
          <w:p>
            <w:pPr>
              <w:spacing w:after="0" w:line="240" w:lineRule="auto" w:before="0"/>
            </w:pPr>
            <w:r>
              <w:rPr>
                <w:rFonts w:ascii="Arial" w:hAnsi="Arial"/>
                <w:b w:val="0"/>
                <w:i w:val="0"/>
                <w:color w:val="000000"/>
                <w:sz w:val="16"/>
              </w:rPr>
              <w:t>Predictive distribution of future reported confirmed cases or deaths at predefined 7/14/21/28-day horizons.</w:t>
            </w:r>
          </w:p>
        </w:tc>
        <w:tc>
          <w:tcPr>
            <w:tcW w:type="dxa" w:w="2448"/>
            <w:tcMar>
              <w:top w:w="80" w:type="dxa"/>
              <w:start w:w="80" w:type="dxa"/>
              <w:bottom w:w="80" w:type="dxa"/>
              <w:end w:w="80" w:type="dxa"/>
            </w:tcMar>
            <w:vAlign w:val="top"/>
          </w:tcPr>
          <w:p>
            <w:pPr>
              <w:spacing w:after="0" w:line="240" w:lineRule="auto" w:before="0"/>
            </w:pPr>
            <w:r>
              <w:rPr>
                <w:rFonts w:ascii="Arial" w:hAnsi="Arial"/>
                <w:color w:val="000000"/>
                <w:sz w:val="16"/>
              </w:rPr>
              <w:t>Historical surveillance vintages; exact target dates; valid recent increments; reporting-regime metadata; later realised reported totals.</w:t>
            </w:r>
          </w:p>
        </w:tc>
        <w:tc>
          <w:tcPr>
            <w:tcW w:type="dxa" w:w="2088"/>
            <w:tcMar>
              <w:top w:w="80" w:type="dxa"/>
              <w:start w:w="80" w:type="dxa"/>
              <w:bottom w:w="80" w:type="dxa"/>
              <w:end w:w="80" w:type="dxa"/>
            </w:tcMar>
            <w:vAlign w:val="top"/>
          </w:tcPr>
          <w:p>
            <w:pPr>
              <w:spacing w:after="0" w:line="240" w:lineRule="auto" w:before="0"/>
            </w:pPr>
            <w:r>
              <w:rPr>
                <w:rFonts w:ascii="Arial" w:hAnsi="Arial"/>
                <w:color w:val="000000"/>
                <w:sz w:val="16"/>
              </w:rPr>
              <w:t>Continuity of reporting; stability of the relevant regime; missingness; revision burden; known testing/case-finding changes.</w:t>
            </w:r>
          </w:p>
        </w:tc>
        <w:tc>
          <w:tcPr>
            <w:tcW w:type="dxa" w:w="2088"/>
            <w:tcMar>
              <w:top w:w="80" w:type="dxa"/>
              <w:start w:w="80" w:type="dxa"/>
              <w:bottom w:w="80" w:type="dxa"/>
              <w:end w:w="80" w:type="dxa"/>
            </w:tcMar>
            <w:vAlign w:val="top"/>
          </w:tcPr>
          <w:p>
            <w:pPr>
              <w:spacing w:after="0" w:line="240" w:lineRule="auto" w:before="0"/>
            </w:pPr>
            <w:r>
              <w:rPr>
                <w:rFonts w:ascii="Arial" w:hAnsi="Arial"/>
                <w:color w:val="000000"/>
                <w:sz w:val="16"/>
              </w:rPr>
              <w:t>Usable history H_T; number of matured historical origins; history-to-horizon ratio M_T,h; recent trajectory information; curvature only where saturation models are used.</w:t>
            </w:r>
          </w:p>
        </w:tc>
        <w:tc>
          <w:tcPr>
            <w:tcW w:type="dxa" w:w="2520"/>
            <w:tcMar>
              <w:top w:w="80" w:type="dxa"/>
              <w:start w:w="80" w:type="dxa"/>
              <w:bottom w:w="80" w:type="dxa"/>
              <w:end w:w="80" w:type="dxa"/>
            </w:tcMar>
            <w:vAlign w:val="top"/>
          </w:tcPr>
          <w:p>
            <w:pPr>
              <w:spacing w:after="0" w:line="240" w:lineRule="auto" w:before="0"/>
            </w:pPr>
            <w:r>
              <w:rPr>
                <w:rFonts w:ascii="Arial" w:hAnsi="Arial"/>
                <w:color w:val="000000"/>
                <w:sz w:val="16"/>
              </w:rPr>
              <w:t>Rolling-origin recent-trend baseline plus probabilistic overdispersed model; regime-aware specification; exact-target scoring; optional saturating benchmark used diagnostically.</w:t>
            </w:r>
          </w:p>
        </w:tc>
        <w:tc>
          <w:tcPr>
            <w:tcW w:type="dxa" w:w="2376"/>
            <w:tcMar>
              <w:top w:w="80" w:type="dxa"/>
              <w:start w:w="80" w:type="dxa"/>
              <w:bottom w:w="80" w:type="dxa"/>
              <w:end w:w="80" w:type="dxa"/>
            </w:tcMar>
            <w:vAlign w:val="top"/>
          </w:tcPr>
          <w:p>
            <w:pPr>
              <w:spacing w:after="0" w:line="240" w:lineRule="auto" w:before="0"/>
            </w:pPr>
            <w:r>
              <w:rPr>
                <w:rFonts w:ascii="Arial" w:hAnsi="Arial"/>
                <w:color w:val="000000"/>
                <w:sz w:val="16"/>
              </w:rPr>
              <w:t>Completed-curve fit; nearest-date substitution for missing targets; final-vintage historical inputs treated as contemporaneous without caveat; complex model without baseline.</w:t>
            </w:r>
          </w:p>
        </w:tc>
      </w:tr>
      <w:tr>
        <w:trPr>
          <w:cantSplit/>
        </w:trPr>
        <w:tc>
          <w:tcPr>
            <w:tcW w:type="dxa" w:w="1584"/>
            <w:tcMar>
              <w:top w:w="80" w:type="dxa"/>
              <w:start w:w="80" w:type="dxa"/>
              <w:bottom w:w="80" w:type="dxa"/>
              <w:end w:w="80" w:type="dxa"/>
            </w:tcMar>
            <w:vAlign w:val="top"/>
          </w:tcPr>
          <w:p>
            <w:pPr>
              <w:spacing w:after="0" w:line="240" w:lineRule="auto" w:before="0"/>
            </w:pPr>
            <w:r>
              <w:rPr>
                <w:rFonts w:ascii="Arial" w:hAnsi="Arial"/>
                <w:color w:val="000000"/>
                <w:sz w:val="16"/>
              </w:rPr>
              <w:t>Geographic prioritisation / pre-positioning</w:t>
            </w:r>
          </w:p>
        </w:tc>
        <w:tc>
          <w:tcPr>
            <w:tcW w:type="dxa" w:w="2015"/>
            <w:tcMar>
              <w:top w:w="80" w:type="dxa"/>
              <w:start w:w="80" w:type="dxa"/>
              <w:bottom w:w="80" w:type="dxa"/>
              <w:end w:w="80" w:type="dxa"/>
            </w:tcMar>
            <w:vAlign w:val="top"/>
          </w:tcPr>
          <w:p>
            <w:pPr>
              <w:spacing w:after="0" w:line="240" w:lineRule="auto" w:before="0"/>
            </w:pPr>
            <w:r>
              <w:rPr>
                <w:rFonts w:ascii="Arial" w:hAnsi="Arial"/>
                <w:color w:val="000000"/>
                <w:sz w:val="16"/>
              </w:rPr>
              <w:t>Rank or hazard that a currently unaffected reporting unit records its first reported confirmed case in a defined future window.</w:t>
            </w:r>
          </w:p>
        </w:tc>
        <w:tc>
          <w:tcPr>
            <w:tcW w:type="dxa" w:w="2448"/>
            <w:tcMar>
              <w:top w:w="80" w:type="dxa"/>
              <w:start w:w="80" w:type="dxa"/>
              <w:bottom w:w="80" w:type="dxa"/>
              <w:end w:w="80" w:type="dxa"/>
            </w:tcMar>
            <w:vAlign w:val="top"/>
          </w:tcPr>
          <w:p>
            <w:pPr>
              <w:spacing w:after="0" w:line="240" w:lineRule="auto" w:before="0"/>
            </w:pPr>
            <w:r>
              <w:rPr>
                <w:rFonts w:ascii="Arial" w:hAnsi="Arial"/>
                <w:color w:val="000000"/>
                <w:sz w:val="16"/>
              </w:rPr>
              <w:t>Health-zone or equivalent first-report dates; risk-set history; geographic covariates; road/travel or connectivity proxies; origin-specific affected-set information.</w:t>
            </w:r>
          </w:p>
        </w:tc>
        <w:tc>
          <w:tcPr>
            <w:tcW w:type="dxa" w:w="2088"/>
            <w:tcMar>
              <w:top w:w="80" w:type="dxa"/>
              <w:start w:w="80" w:type="dxa"/>
              <w:bottom w:w="80" w:type="dxa"/>
              <w:end w:w="80" w:type="dxa"/>
            </w:tcMar>
            <w:vAlign w:val="top"/>
          </w:tcPr>
          <w:p>
            <w:pPr>
              <w:spacing w:after="0" w:line="240" w:lineRule="auto" w:before="0"/>
            </w:pPr>
            <w:r>
              <w:rPr>
                <w:rFonts w:ascii="Arial" w:hAnsi="Arial"/>
                <w:color w:val="000000"/>
                <w:sz w:val="16"/>
              </w:rPr>
              <w:t>Geographic reporting coverage; variation in testing access; reclassification/backfill risk; revision burden; continuity across zones.</w:t>
            </w:r>
          </w:p>
        </w:tc>
        <w:tc>
          <w:tcPr>
            <w:tcW w:type="dxa" w:w="2088"/>
            <w:tcMar>
              <w:top w:w="80" w:type="dxa"/>
              <w:start w:w="80" w:type="dxa"/>
              <w:bottom w:w="80" w:type="dxa"/>
              <w:end w:w="80" w:type="dxa"/>
            </w:tcMar>
            <w:vAlign w:val="top"/>
          </w:tcPr>
          <w:p>
            <w:pPr>
              <w:spacing w:after="0" w:line="240" w:lineRule="auto" w:before="0"/>
            </w:pPr>
            <w:r>
              <w:rPr>
                <w:rFonts w:ascii="Arial" w:hAnsi="Arial"/>
                <w:color w:val="000000"/>
                <w:sz w:val="16"/>
              </w:rPr>
              <w:t>Number of first-report events; number of at-risk unit-days; number and distribution of affected source locations; stability of the connectivity signal.</w:t>
            </w:r>
          </w:p>
        </w:tc>
        <w:tc>
          <w:tcPr>
            <w:tcW w:type="dxa" w:w="2520"/>
            <w:tcMar>
              <w:top w:w="80" w:type="dxa"/>
              <w:start w:w="80" w:type="dxa"/>
              <w:bottom w:w="80" w:type="dxa"/>
              <w:end w:w="80" w:type="dxa"/>
            </w:tcMar>
            <w:vAlign w:val="top"/>
          </w:tcPr>
          <w:p>
            <w:pPr>
              <w:spacing w:after="0" w:line="240" w:lineRule="auto" w:before="0"/>
            </w:pPr>
            <w:r>
              <w:rPr>
                <w:rFonts w:ascii="Arial" w:hAnsi="Arial"/>
                <w:b w:val="0"/>
                <w:i w:val="0"/>
                <w:color w:val="000000"/>
                <w:sz w:val="16"/>
              </w:rPr>
              <w:t>Matched discrete-time hazard models with predefined connectivity alternatives; rolling-origin ranking; cluster-aware uncertainty; sensitivity across kernels/specifications.</w:t>
            </w:r>
          </w:p>
        </w:tc>
        <w:tc>
          <w:tcPr>
            <w:tcW w:type="dxa" w:w="2376"/>
            <w:tcMar>
              <w:top w:w="80" w:type="dxa"/>
              <w:start w:w="80" w:type="dxa"/>
              <w:bottom w:w="80" w:type="dxa"/>
              <w:end w:w="80" w:type="dxa"/>
            </w:tcMar>
            <w:vAlign w:val="top"/>
          </w:tcPr>
          <w:p>
            <w:pPr>
              <w:spacing w:after="0" w:line="240" w:lineRule="auto" w:before="0"/>
            </w:pPr>
            <w:r>
              <w:rPr>
                <w:rFonts w:ascii="Arial" w:hAnsi="Arial"/>
                <w:color w:val="000000"/>
                <w:sz w:val="16"/>
              </w:rPr>
              <w:t>Treat first report as biological introduction; fit/evaluate on final outbreak geography only; ignore dependence among zone-origin rows.</w:t>
            </w:r>
          </w:p>
        </w:tc>
      </w:tr>
      <w:tr>
        <w:trPr>
          <w:cantSplit/>
        </w:trPr>
        <w:tc>
          <w:tcPr>
            <w:tcW w:type="dxa" w:w="1584"/>
            <w:tcMar>
              <w:top w:w="80" w:type="dxa"/>
              <w:start w:w="80" w:type="dxa"/>
              <w:bottom w:w="80" w:type="dxa"/>
              <w:end w:w="80" w:type="dxa"/>
            </w:tcMar>
            <w:vAlign w:val="top"/>
          </w:tcPr>
          <w:p>
            <w:pPr>
              <w:spacing w:after="0" w:line="240" w:lineRule="auto" w:before="0"/>
            </w:pPr>
            <w:r>
              <w:rPr>
                <w:rFonts w:ascii="Arial" w:hAnsi="Arial"/>
                <w:color w:val="000000"/>
                <w:sz w:val="16"/>
              </w:rPr>
              <w:t>Reported mortality / investigation of heterogeneity</w:t>
            </w:r>
          </w:p>
        </w:tc>
        <w:tc>
          <w:tcPr>
            <w:tcW w:type="dxa" w:w="2015"/>
            <w:tcMar>
              <w:top w:w="80" w:type="dxa"/>
              <w:start w:w="80" w:type="dxa"/>
              <w:bottom w:w="80" w:type="dxa"/>
              <w:end w:w="80" w:type="dxa"/>
            </w:tcMar>
            <w:vAlign w:val="top"/>
          </w:tcPr>
          <w:p>
            <w:pPr>
              <w:spacing w:after="0" w:line="240" w:lineRule="auto" w:before="0"/>
            </w:pPr>
            <w:r>
              <w:rPr>
                <w:rFonts w:ascii="Arial" w:hAnsi="Arial"/>
                <w:color w:val="000000"/>
                <w:sz w:val="16"/>
              </w:rPr>
              <w:t>Direct: reported crude deaths-to-confirmed-cases ratio. Latent: patient-level fatality only where ascertainment/outcome process is identifiable.</w:t>
            </w:r>
          </w:p>
        </w:tc>
        <w:tc>
          <w:tcPr>
            <w:tcW w:type="dxa" w:w="2448"/>
            <w:tcMar>
              <w:top w:w="80" w:type="dxa"/>
              <w:start w:w="80" w:type="dxa"/>
              <w:bottom w:w="80" w:type="dxa"/>
              <w:end w:w="80" w:type="dxa"/>
            </w:tcMar>
            <w:vAlign w:val="top"/>
          </w:tcPr>
          <w:p>
            <w:pPr>
              <w:spacing w:after="0" w:line="240" w:lineRule="auto" w:before="0"/>
            </w:pPr>
            <w:r>
              <w:rPr>
                <w:rFonts w:ascii="Arial" w:hAnsi="Arial"/>
                <w:color w:val="000000"/>
                <w:sz w:val="16"/>
              </w:rPr>
              <w:t>Reported confirmed cases and deaths by date and geography; reporting completeness; case/death synchronisation; demographic tables; outcome-resolution information where available.</w:t>
            </w:r>
          </w:p>
        </w:tc>
        <w:tc>
          <w:tcPr>
            <w:tcW w:type="dxa" w:w="2088"/>
            <w:tcMar>
              <w:top w:w="80" w:type="dxa"/>
              <w:start w:w="80" w:type="dxa"/>
              <w:bottom w:w="80" w:type="dxa"/>
              <w:end w:w="80" w:type="dxa"/>
            </w:tcMar>
            <w:vAlign w:val="top"/>
          </w:tcPr>
          <w:p>
            <w:pPr>
              <w:spacing w:after="0" w:line="240" w:lineRule="auto" w:before="0"/>
            </w:pPr>
            <w:r>
              <w:rPr>
                <w:rFonts w:ascii="Arial" w:hAnsi="Arial"/>
                <w:color w:val="000000"/>
                <w:sz w:val="16"/>
              </w:rPr>
              <w:t>Case-channel and death-channel completeness; denominator discrepancies; reporting delays; same-day batching; revision burden; differential geographic reporting.</w:t>
            </w:r>
          </w:p>
        </w:tc>
        <w:tc>
          <w:tcPr>
            <w:tcW w:type="dxa" w:w="2088"/>
            <w:tcMar>
              <w:top w:w="80" w:type="dxa"/>
              <w:start w:w="80" w:type="dxa"/>
              <w:bottom w:w="80" w:type="dxa"/>
              <w:end w:w="80" w:type="dxa"/>
            </w:tcMar>
            <w:vAlign w:val="top"/>
          </w:tcPr>
          <w:p>
            <w:pPr>
              <w:spacing w:after="0" w:line="240" w:lineRule="auto" w:before="0"/>
            </w:pPr>
            <w:r>
              <w:rPr>
                <w:rFonts w:ascii="Arial" w:hAnsi="Arial"/>
                <w:color w:val="000000"/>
                <w:sz w:val="16"/>
              </w:rPr>
              <w:t>Denominator size; epidemic age; recent-case share; resolved outcomes; number of positive death-reporting days; information capable of distinguishing ascertainment mechanisms.</w:t>
            </w:r>
          </w:p>
        </w:tc>
        <w:tc>
          <w:tcPr>
            <w:tcW w:type="dxa" w:w="2520"/>
            <w:tcMar>
              <w:top w:w="80" w:type="dxa"/>
              <w:start w:w="80" w:type="dxa"/>
              <w:bottom w:w="80" w:type="dxa"/>
              <w:end w:w="80" w:type="dxa"/>
            </w:tcMar>
            <w:vAlign w:val="top"/>
          </w:tcPr>
          <w:p>
            <w:pPr>
              <w:spacing w:after="0" w:line="240" w:lineRule="auto" w:before="0"/>
            </w:pPr>
            <w:r>
              <w:rPr>
                <w:rFonts w:ascii="Arial" w:hAnsi="Arial"/>
                <w:color w:val="000000"/>
                <w:sz w:val="16"/>
              </w:rPr>
              <w:t>Descriptive rCFR with finite-denominator uncertainty; beta-binomial partial pooling; synchronisation/delay diagnostics; explicit ascertainment scenarios; targeted identifiability experiment.</w:t>
            </w:r>
          </w:p>
        </w:tc>
        <w:tc>
          <w:tcPr>
            <w:tcW w:type="dxa" w:w="2376"/>
            <w:tcMar>
              <w:top w:w="80" w:type="dxa"/>
              <w:start w:w="80" w:type="dxa"/>
              <w:bottom w:w="80" w:type="dxa"/>
              <w:end w:w="80" w:type="dxa"/>
            </w:tcMar>
            <w:vAlign w:val="top"/>
          </w:tcPr>
          <w:p>
            <w:pPr>
              <w:spacing w:after="0" w:line="240" w:lineRule="auto" w:before="0"/>
            </w:pPr>
            <w:r>
              <w:rPr>
                <w:rFonts w:ascii="Arial" w:hAnsi="Arial"/>
                <w:color w:val="000000"/>
                <w:sz w:val="16"/>
              </w:rPr>
              <w:t>Treat contemporaneous D/C as true clinical fatality; unpooled ranking of small denominators; choose one reporting-delay model solely by fit.</w:t>
            </w:r>
          </w:p>
        </w:tc>
      </w:tr>
    </w:tbl>
    <w:p>
      <w:pPr>
        <w:pStyle w:val="Heading2"/>
        <w:keepNext/>
        <w:pageBreakBefore w:val="0"/>
      </w:pPr>
      <w:r>
        <w:rPr>
          <w:rFonts w:ascii="Arial" w:hAnsi="Arial"/>
          <w:color w:val="000000"/>
        </w:rPr>
        <w:t>S2.3 Validation, classification and interpretation limits</w:t>
      </w:r>
    </w:p>
    <w:tbl>
      <w:tblPr>
        <w:tblStyle w:val="TableGrid"/>
        <w:tblW w:type="auto" w:w="0"/>
        <w:jc w:val="center"/>
        <w:tblLayout w:type="autofit"/>
        <w:tblLook w:firstColumn="1" w:firstRow="1" w:lastColumn="0" w:lastRow="0" w:noHBand="0" w:noVBand="1" w:val="04A0"/>
      </w:tblPr>
      <w:tblGrid>
        <w:gridCol w:w="1863"/>
        <w:gridCol w:w="1863"/>
        <w:gridCol w:w="1863"/>
        <w:gridCol w:w="1863"/>
        <w:gridCol w:w="1863"/>
      </w:tblGrid>
      <w:tr>
        <w:trPr>
          <w:tblHeader w:val="true"/>
        </w:trPr>
        <w:tc>
          <w:tcPr>
            <w:tcW w:type="dxa" w:w="1872"/>
            <w:tcMar>
              <w:top w:w="80" w:type="dxa"/>
              <w:start w:w="80" w:type="dxa"/>
              <w:bottom w:w="80" w:type="dxa"/>
              <w:end w:w="80" w:type="dxa"/>
            </w:tcMar>
            <w:vAlign w:val="top"/>
          </w:tcPr>
          <w:p>
            <w:pPr>
              <w:spacing w:after="0" w:before="0" w:line="240" w:lineRule="auto"/>
            </w:pPr>
            <w:r>
              <w:rPr>
                <w:rFonts w:ascii="Arial" w:hAnsi="Arial"/>
                <w:b/>
                <w:color w:val="000000"/>
                <w:sz w:val="16"/>
              </w:rPr>
              <w:t>Task / decision</w:t>
            </w:r>
          </w:p>
        </w:tc>
        <w:tc>
          <w:tcPr>
            <w:tcW w:type="dxa" w:w="2951"/>
            <w:tcMar>
              <w:top w:w="80" w:type="dxa"/>
              <w:start w:w="80" w:type="dxa"/>
              <w:bottom w:w="80" w:type="dxa"/>
              <w:end w:w="80" w:type="dxa"/>
            </w:tcMar>
            <w:vAlign w:val="top"/>
          </w:tcPr>
          <w:p>
            <w:pPr>
              <w:spacing w:after="0" w:before="0" w:line="240" w:lineRule="auto"/>
            </w:pPr>
            <w:r>
              <w:rPr>
                <w:rFonts w:ascii="Arial" w:hAnsi="Arial"/>
                <w:b/>
                <w:color w:val="000000"/>
                <w:sz w:val="16"/>
              </w:rPr>
              <w:t>Primary validation metric</w:t>
            </w:r>
          </w:p>
        </w:tc>
        <w:tc>
          <w:tcPr>
            <w:tcW w:type="dxa" w:w="4104"/>
            <w:tcMar>
              <w:top w:w="80" w:type="dxa"/>
              <w:start w:w="80" w:type="dxa"/>
              <w:bottom w:w="80" w:type="dxa"/>
              <w:end w:w="80" w:type="dxa"/>
            </w:tcMar>
            <w:vAlign w:val="top"/>
          </w:tcPr>
          <w:p>
            <w:pPr>
              <w:spacing w:after="0" w:before="0" w:line="240" w:lineRule="auto"/>
            </w:pPr>
            <w:r>
              <w:rPr>
                <w:rFonts w:ascii="Arial" w:hAnsi="Arial"/>
                <w:b/>
                <w:color w:val="000000"/>
                <w:sz w:val="16"/>
              </w:rPr>
              <w:t>Readiness decision rule</w:t>
            </w:r>
          </w:p>
        </w:tc>
        <w:tc>
          <w:tcPr>
            <w:tcW w:type="dxa" w:w="3024"/>
            <w:tcMar>
              <w:top w:w="80" w:type="dxa"/>
              <w:start w:w="80" w:type="dxa"/>
              <w:bottom w:w="80" w:type="dxa"/>
              <w:end w:w="80" w:type="dxa"/>
            </w:tcMar>
            <w:vAlign w:val="top"/>
          </w:tcPr>
          <w:p>
            <w:pPr>
              <w:spacing w:after="0" w:before="0" w:line="240" w:lineRule="auto"/>
            </w:pPr>
            <w:r>
              <w:rPr>
                <w:rFonts w:ascii="Arial" w:hAnsi="Arial"/>
                <w:b/>
                <w:color w:val="000000"/>
                <w:sz w:val="16"/>
              </w:rPr>
              <w:t>Prohibited interpretation</w:t>
            </w:r>
          </w:p>
        </w:tc>
        <w:tc>
          <w:tcPr>
            <w:tcW w:type="dxa" w:w="3168"/>
            <w:tcMar>
              <w:top w:w="80" w:type="dxa"/>
              <w:start w:w="80" w:type="dxa"/>
              <w:bottom w:w="80" w:type="dxa"/>
              <w:end w:w="80" w:type="dxa"/>
            </w:tcMar>
            <w:vAlign w:val="top"/>
          </w:tcPr>
          <w:p>
            <w:pPr>
              <w:spacing w:after="0" w:before="0" w:line="240" w:lineRule="auto"/>
            </w:pPr>
            <w:r>
              <w:rPr>
                <w:rFonts w:ascii="Arial" w:hAnsi="Arial"/>
                <w:b/>
                <w:color w:val="000000"/>
                <w:sz w:val="16"/>
              </w:rPr>
              <w:t>Additional information if limited</w:t>
            </w:r>
          </w:p>
        </w:tc>
      </w:tr>
      <w:tr>
        <w:trPr>
          <w:cantSplit/>
        </w:trPr>
        <w:tc>
          <w:tcPr>
            <w:tcW w:type="dxa" w:w="1872"/>
            <w:tcMar>
              <w:top w:w="80" w:type="dxa"/>
              <w:start w:w="80" w:type="dxa"/>
              <w:bottom w:w="80" w:type="dxa"/>
              <w:end w:w="80" w:type="dxa"/>
            </w:tcMar>
            <w:vAlign w:val="top"/>
          </w:tcPr>
          <w:p>
            <w:pPr>
              <w:spacing w:after="0" w:line="240" w:lineRule="auto" w:before="0"/>
            </w:pPr>
            <w:r>
              <w:rPr>
                <w:rFonts w:ascii="Arial" w:hAnsi="Arial"/>
                <w:color w:val="000000"/>
                <w:sz w:val="16"/>
              </w:rPr>
              <w:t>Early growth / response timing</w:t>
            </w:r>
          </w:p>
        </w:tc>
        <w:tc>
          <w:tcPr>
            <w:tcW w:type="dxa" w:w="2951"/>
            <w:tcMar>
              <w:top w:w="80" w:type="dxa"/>
              <w:start w:w="80" w:type="dxa"/>
              <w:bottom w:w="80" w:type="dxa"/>
              <w:end w:w="80" w:type="dxa"/>
            </w:tcMar>
            <w:vAlign w:val="top"/>
          </w:tcPr>
          <w:p>
            <w:pPr>
              <w:spacing w:after="0" w:line="240" w:lineRule="auto" w:before="0"/>
            </w:pPr>
            <w:r>
              <w:rPr>
                <w:rFonts w:ascii="Arial" w:hAnsi="Arial"/>
                <w:color w:val="000000"/>
                <w:sz w:val="16"/>
              </w:rPr>
              <w:t>Expanding-window stability; sensitivity to windows and likelihoods; concordance with independent timing evidence where available.</w:t>
            </w:r>
          </w:p>
        </w:tc>
        <w:tc>
          <w:tcPr>
            <w:tcW w:type="dxa" w:w="4104"/>
            <w:tcMar>
              <w:top w:w="80" w:type="dxa"/>
              <w:start w:w="80" w:type="dxa"/>
              <w:bottom w:w="80" w:type="dxa"/>
              <w:end w:w="80" w:type="dxa"/>
            </w:tcMar>
            <w:vAlign w:val="top"/>
          </w:tcPr>
          <w:p>
            <w:pPr>
              <w:spacing w:after="0" w:line="240" w:lineRule="auto" w:before="0"/>
            </w:pPr>
            <w:r>
              <w:rPr>
                <w:rFonts w:ascii="Arial" w:hAnsi="Arial"/>
                <w:color w:val="000000"/>
                <w:sz w:val="16"/>
              </w:rPr>
              <w:t>A if r is stable across defensible specifications, the observation regime is sufficiently characterised and independent evidence does not contradict timing. B if informative but materially window/model dependent. C if only assumption-bound. F if plausible observation changes prevent recovery.</w:t>
            </w:r>
          </w:p>
        </w:tc>
        <w:tc>
          <w:tcPr>
            <w:tcW w:type="dxa" w:w="3024"/>
            <w:tcMar>
              <w:top w:w="80" w:type="dxa"/>
              <w:start w:w="80" w:type="dxa"/>
              <w:bottom w:w="80" w:type="dxa"/>
              <w:end w:w="80" w:type="dxa"/>
            </w:tcMar>
            <w:vAlign w:val="top"/>
          </w:tcPr>
          <w:p>
            <w:pPr>
              <w:spacing w:after="0" w:line="240" w:lineRule="auto" w:before="0"/>
            </w:pPr>
            <w:r>
              <w:rPr>
                <w:rFonts w:ascii="Arial" w:hAnsi="Arial"/>
                <w:color w:val="000000"/>
                <w:sz w:val="16"/>
              </w:rPr>
              <w:t>Exact first infection; causal attribution of a reporting jump to transmission; stable final epidemic size from early growth alone.</w:t>
            </w:r>
          </w:p>
        </w:tc>
        <w:tc>
          <w:tcPr>
            <w:tcW w:type="dxa" w:w="3168"/>
            <w:tcMar>
              <w:top w:w="80" w:type="dxa"/>
              <w:start w:w="80" w:type="dxa"/>
              <w:bottom w:w="80" w:type="dxa"/>
              <w:end w:w="80" w:type="dxa"/>
            </w:tcMar>
            <w:vAlign w:val="top"/>
          </w:tcPr>
          <w:p>
            <w:pPr>
              <w:spacing w:after="0" w:line="240" w:lineRule="auto" w:before="0"/>
            </w:pPr>
            <w:r>
              <w:rPr>
                <w:rFonts w:ascii="Arial" w:hAnsi="Arial"/>
                <w:color w:val="000000"/>
                <w:sz w:val="16"/>
              </w:rPr>
              <w:t>Earlier onset investigations; historical data vintages; testing/backlog records; genomic timing; symptom-onset dates.</w:t>
            </w:r>
          </w:p>
        </w:tc>
      </w:tr>
      <w:tr>
        <w:trPr>
          <w:cantSplit/>
        </w:trPr>
        <w:tc>
          <w:tcPr>
            <w:tcW w:type="dxa" w:w="1872"/>
            <w:tcMar>
              <w:top w:w="80" w:type="dxa"/>
              <w:start w:w="80" w:type="dxa"/>
              <w:bottom w:w="80" w:type="dxa"/>
              <w:end w:w="80" w:type="dxa"/>
            </w:tcMar>
            <w:vAlign w:val="top"/>
          </w:tcPr>
          <w:p>
            <w:pPr>
              <w:spacing w:after="0" w:line="240" w:lineRule="auto" w:before="0"/>
            </w:pPr>
            <w:r>
              <w:rPr>
                <w:rFonts w:ascii="Arial" w:hAnsi="Arial"/>
                <w:color w:val="000000"/>
                <w:sz w:val="16"/>
              </w:rPr>
              <w:t>Short-term forecasting / capacity planning</w:t>
            </w:r>
          </w:p>
        </w:tc>
        <w:tc>
          <w:tcPr>
            <w:tcW w:type="dxa" w:w="2951"/>
            <w:tcMar>
              <w:top w:w="80" w:type="dxa"/>
              <w:start w:w="80" w:type="dxa"/>
              <w:bottom w:w="80" w:type="dxa"/>
              <w:end w:w="80" w:type="dxa"/>
            </w:tcMar>
            <w:vAlign w:val="top"/>
          </w:tcPr>
          <w:p>
            <w:pPr>
              <w:spacing w:after="0" w:line="240" w:lineRule="auto" w:before="0"/>
            </w:pPr>
            <w:r>
              <w:rPr>
                <w:rFonts w:ascii="Arial" w:hAnsi="Arial"/>
                <w:color w:val="000000"/>
                <w:sz w:val="16"/>
              </w:rPr>
              <w:t>Absolute error and bias for point forecasts; empirical 50/80/95% coverage and weighted interval score for probabilistic forecasts; optional operational loss.</w:t>
            </w:r>
          </w:p>
        </w:tc>
        <w:tc>
          <w:tcPr>
            <w:tcW w:type="dxa" w:w="4104"/>
            <w:tcMar>
              <w:top w:w="80" w:type="dxa"/>
              <w:start w:w="80" w:type="dxa"/>
              <w:bottom w:w="80" w:type="dxa"/>
              <w:end w:w="80" w:type="dxa"/>
            </w:tcMar>
            <w:vAlign w:val="top"/>
          </w:tcPr>
          <w:p>
            <w:pPr>
              <w:spacing w:after="0" w:line="240" w:lineRule="auto" w:before="0"/>
            </w:pPr>
            <w:r>
              <w:rPr>
                <w:rFonts w:ascii="Arial" w:hAnsi="Arial"/>
                <w:color w:val="000000"/>
                <w:sz w:val="16"/>
              </w:rPr>
              <w:t>A for horizons with acceptable rolling-origin calibration/performance versus baseline under a sufficiently characterised observation regime. B where useful but model/horizon dependent. C where only scenario forecasts are justified. M_T,h ≥ 1 alone never determines class.</w:t>
            </w:r>
          </w:p>
        </w:tc>
        <w:tc>
          <w:tcPr>
            <w:tcW w:type="dxa" w:w="3024"/>
            <w:tcMar>
              <w:top w:w="80" w:type="dxa"/>
              <w:start w:w="80" w:type="dxa"/>
              <w:bottom w:w="80" w:type="dxa"/>
              <w:end w:w="80" w:type="dxa"/>
            </w:tcMar>
            <w:vAlign w:val="top"/>
          </w:tcPr>
          <w:p>
            <w:pPr>
              <w:spacing w:after="0" w:line="240" w:lineRule="auto" w:before="0"/>
            </w:pPr>
            <w:r>
              <w:rPr>
                <w:rFonts w:ascii="Arial" w:hAnsi="Arial"/>
                <w:color w:val="000000"/>
                <w:sz w:val="16"/>
              </w:rPr>
              <w:t>Forecast of latent infections when only future reported burden is modelled; claim that one maturity ratio guarantees accuracy; use of unevaluable future targets as evidence.</w:t>
            </w:r>
          </w:p>
        </w:tc>
        <w:tc>
          <w:tcPr>
            <w:tcW w:type="dxa" w:w="3168"/>
            <w:tcMar>
              <w:top w:w="80" w:type="dxa"/>
              <w:start w:w="80" w:type="dxa"/>
              <w:bottom w:w="80" w:type="dxa"/>
              <w:end w:w="80" w:type="dxa"/>
            </w:tcMar>
            <w:vAlign w:val="top"/>
          </w:tcPr>
          <w:p>
            <w:pPr>
              <w:spacing w:after="0" w:line="240" w:lineRule="auto" w:before="0"/>
            </w:pPr>
            <w:r>
              <w:rPr>
                <w:rFonts w:ascii="Arial" w:hAnsi="Arial"/>
                <w:color w:val="000000"/>
                <w:sz w:val="16"/>
              </w:rPr>
              <w:t>Longer stable history; contemporaneous vintages; additional matured origins; independent ascertainment information if latent incidence is desired.</w:t>
            </w:r>
          </w:p>
        </w:tc>
      </w:tr>
      <w:tr>
        <w:trPr>
          <w:cantSplit/>
        </w:trPr>
        <w:tc>
          <w:tcPr>
            <w:tcW w:type="dxa" w:w="1872"/>
            <w:tcMar>
              <w:top w:w="80" w:type="dxa"/>
              <w:start w:w="80" w:type="dxa"/>
              <w:bottom w:w="80" w:type="dxa"/>
              <w:end w:w="80" w:type="dxa"/>
            </w:tcMar>
            <w:vAlign w:val="top"/>
          </w:tcPr>
          <w:p>
            <w:pPr>
              <w:spacing w:after="0" w:line="240" w:lineRule="auto" w:before="0"/>
            </w:pPr>
            <w:r>
              <w:rPr>
                <w:rFonts w:ascii="Arial" w:hAnsi="Arial"/>
                <w:color w:val="000000"/>
                <w:sz w:val="16"/>
              </w:rPr>
              <w:t>Geographic prioritisation / pre-positioning</w:t>
            </w:r>
          </w:p>
        </w:tc>
        <w:tc>
          <w:tcPr>
            <w:tcW w:type="dxa" w:w="2951"/>
            <w:tcMar>
              <w:top w:w="80" w:type="dxa"/>
              <w:start w:w="80" w:type="dxa"/>
              <w:bottom w:w="80" w:type="dxa"/>
              <w:end w:w="80" w:type="dxa"/>
            </w:tcMar>
            <w:vAlign w:val="top"/>
          </w:tcPr>
          <w:p>
            <w:pPr>
              <w:spacing w:after="0" w:line="240" w:lineRule="auto" w:before="0"/>
            </w:pPr>
            <w:r>
              <w:rPr>
                <w:rFonts w:ascii="Arial" w:hAnsi="Arial"/>
                <w:color w:val="000000"/>
                <w:sz w:val="16"/>
              </w:rPr>
              <w:t>Top-k hit rate and median rank percentile matched to deployment capacity; precision-recall as a global secondary metric; calibration only if absolute hazards are claimed.</w:t>
            </w:r>
          </w:p>
        </w:tc>
        <w:tc>
          <w:tcPr>
            <w:tcW w:type="dxa" w:w="4104"/>
            <w:tcMar>
              <w:top w:w="80" w:type="dxa"/>
              <w:start w:w="80" w:type="dxa"/>
              <w:bottom w:w="80" w:type="dxa"/>
              <w:end w:w="80" w:type="dxa"/>
            </w:tcMar>
            <w:vAlign w:val="top"/>
          </w:tcPr>
          <w:p>
            <w:pPr>
              <w:spacing w:after="0" w:line="240" w:lineRule="auto" w:before="0"/>
            </w:pPr>
            <w:r>
              <w:rPr>
                <w:rFonts w:ascii="Arial" w:hAnsi="Arial"/>
                <w:color w:val="000000"/>
                <w:sz w:val="16"/>
              </w:rPr>
              <w:t>D when ranking is reproducibly better than comparator but absolute probabilities remain uncalibrated. A only if probability/hazard claims are also adequately calibrated for the defined reported-event estimand. B if ranking is materially specification-dependent.</w:t>
            </w:r>
          </w:p>
        </w:tc>
        <w:tc>
          <w:tcPr>
            <w:tcW w:type="dxa" w:w="3024"/>
            <w:tcMar>
              <w:top w:w="80" w:type="dxa"/>
              <w:start w:w="80" w:type="dxa"/>
              <w:bottom w:w="80" w:type="dxa"/>
              <w:end w:w="80" w:type="dxa"/>
            </w:tcMar>
            <w:vAlign w:val="top"/>
          </w:tcPr>
          <w:p>
            <w:pPr>
              <w:spacing w:after="0" w:line="240" w:lineRule="auto" w:before="0"/>
            </w:pPr>
            <w:r>
              <w:rPr>
                <w:rFonts w:ascii="Arial" w:hAnsi="Arial"/>
                <w:color w:val="000000"/>
                <w:sz w:val="16"/>
              </w:rPr>
              <w:t>Date/probability of biological introduction; causal mobility mechanism from a predictive covariate; care/access interpretation of detection covariates without supporting data.</w:t>
            </w:r>
          </w:p>
        </w:tc>
        <w:tc>
          <w:tcPr>
            <w:tcW w:type="dxa" w:w="3168"/>
            <w:tcMar>
              <w:top w:w="80" w:type="dxa"/>
              <w:start w:w="80" w:type="dxa"/>
              <w:bottom w:w="80" w:type="dxa"/>
              <w:end w:w="80" w:type="dxa"/>
            </w:tcMar>
            <w:vAlign w:val="top"/>
          </w:tcPr>
          <w:p>
            <w:pPr>
              <w:spacing w:after="0" w:line="240" w:lineRule="auto" w:before="0"/>
            </w:pPr>
            <w:r>
              <w:rPr>
                <w:rFonts w:ascii="Arial" w:hAnsi="Arial"/>
                <w:color w:val="000000"/>
                <w:sz w:val="16"/>
              </w:rPr>
              <w:t>Historical testing/access data; contemporaneous vintages; genomic/onset information for biological introduction; richer mobility data if causal mobility interpretation is sought.</w:t>
            </w:r>
          </w:p>
        </w:tc>
      </w:tr>
      <w:tr>
        <w:trPr>
          <w:cantSplit/>
        </w:trPr>
        <w:tc>
          <w:tcPr>
            <w:tcW w:type="dxa" w:w="1872"/>
            <w:tcMar>
              <w:top w:w="80" w:type="dxa"/>
              <w:start w:w="80" w:type="dxa"/>
              <w:bottom w:w="80" w:type="dxa"/>
              <w:end w:w="80" w:type="dxa"/>
            </w:tcMar>
            <w:vAlign w:val="top"/>
          </w:tcPr>
          <w:p>
            <w:pPr>
              <w:spacing w:after="0" w:line="240" w:lineRule="auto" w:before="0"/>
            </w:pPr>
            <w:r>
              <w:rPr>
                <w:rFonts w:ascii="Arial" w:hAnsi="Arial"/>
                <w:color w:val="000000"/>
                <w:sz w:val="16"/>
              </w:rPr>
              <w:t>Reported mortality / investigation of heterogeneity</w:t>
            </w:r>
          </w:p>
        </w:tc>
        <w:tc>
          <w:tcPr>
            <w:tcW w:type="dxa" w:w="2951"/>
            <w:tcMar>
              <w:top w:w="80" w:type="dxa"/>
              <w:start w:w="80" w:type="dxa"/>
              <w:bottom w:w="80" w:type="dxa"/>
              <w:end w:w="80" w:type="dxa"/>
            </w:tcMar>
            <w:vAlign w:val="top"/>
          </w:tcPr>
          <w:p>
            <w:pPr>
              <w:spacing w:after="0" w:line="240" w:lineRule="auto" w:before="0"/>
            </w:pPr>
            <w:r>
              <w:rPr>
                <w:rFonts w:ascii="Arial" w:hAnsi="Arial"/>
                <w:color w:val="000000"/>
                <w:sz w:val="16"/>
              </w:rPr>
              <w:t>Stability of reported ratios and partial-pooling estimates; posterior-predictive adequacy for reported quantities; identifiability grid/recovery for latent fatality.</w:t>
            </w:r>
          </w:p>
        </w:tc>
        <w:tc>
          <w:tcPr>
            <w:tcW w:type="dxa" w:w="4104"/>
            <w:tcMar>
              <w:top w:w="80" w:type="dxa"/>
              <w:start w:w="80" w:type="dxa"/>
              <w:bottom w:w="80" w:type="dxa"/>
              <w:end w:w="80" w:type="dxa"/>
            </w:tcMar>
            <w:vAlign w:val="top"/>
          </w:tcPr>
          <w:p>
            <w:pPr>
              <w:spacing w:after="0" w:line="240" w:lineRule="auto" w:before="0"/>
            </w:pPr>
            <w:r>
              <w:rPr>
                <w:rFonts w:ascii="Arial" w:hAnsi="Arial"/>
                <w:color w:val="000000"/>
                <w:sz w:val="16"/>
              </w:rPr>
              <w:t>E when reported ratio is measurable but latent fatality is not identified. C when external ascertainment assumptions bound fatality. A/B for latent fatality only with adequate outcome linkage/ascertainment evidence. F where materially different latent mechanisms remain observationally equivalent.</w:t>
            </w:r>
          </w:p>
        </w:tc>
        <w:tc>
          <w:tcPr>
            <w:tcW w:type="dxa" w:w="3024"/>
            <w:tcMar>
              <w:top w:w="80" w:type="dxa"/>
              <w:start w:w="80" w:type="dxa"/>
              <w:bottom w:w="80" w:type="dxa"/>
              <w:end w:w="80" w:type="dxa"/>
            </w:tcMar>
            <w:vAlign w:val="top"/>
          </w:tcPr>
          <w:p>
            <w:pPr>
              <w:spacing w:after="0" w:line="240" w:lineRule="auto" w:before="0"/>
            </w:pPr>
            <w:r>
              <w:rPr>
                <w:rFonts w:ascii="Arial" w:hAnsi="Arial"/>
                <w:color w:val="000000"/>
                <w:sz w:val="16"/>
              </w:rPr>
              <w:t>Biological fatality or quality-of-care ranking from rCFR alone; patient-level delay distribution from aggregate same-day reporting; causal facility effect from ecological proxies.</w:t>
            </w:r>
          </w:p>
        </w:tc>
        <w:tc>
          <w:tcPr>
            <w:tcW w:type="dxa" w:w="3168"/>
            <w:tcMar>
              <w:top w:w="80" w:type="dxa"/>
              <w:start w:w="80" w:type="dxa"/>
              <w:bottom w:w="80" w:type="dxa"/>
              <w:end w:w="80" w:type="dxa"/>
            </w:tcMar>
            <w:vAlign w:val="top"/>
          </w:tcPr>
          <w:p>
            <w:pPr>
              <w:spacing w:after="0" w:line="240" w:lineRule="auto" w:before="0"/>
            </w:pPr>
            <w:r>
              <w:rPr>
                <w:rFonts w:ascii="Arial" w:hAnsi="Arial"/>
                <w:color w:val="000000"/>
                <w:sz w:val="16"/>
              </w:rPr>
              <w:t>Linked case outcomes; onset/outcome dates; community mortality ascertainment; serology or other denominator evidence; capture-recapture or external case/death ascertainment estimates.</w:t>
            </w:r>
          </w:p>
        </w:tc>
      </w:tr>
    </w:tbl>
    <w:p>
      <w:pPr>
        <w:spacing w:line="312" w:lineRule="auto" w:after="60"/>
        <w:sectPr>
          <w:pgSz w:w="16834" w:h="11909" w:orient="landscape"/>
          <w:pgMar w:top="1247" w:right="1247" w:bottom="1247" w:left="1361" w:header="720" w:footer="720" w:gutter="0"/>
          <w:cols w:space="720"/>
          <w:docGrid w:linePitch="360"/>
          <w:lnNumType w:countBy="1" w:restart="continuous" w:distance="360"/>
        </w:sectPr>
      </w:pPr>
    </w:p>
    <w:p>
      <w:pPr>
        <w:pStyle w:val="Heading1"/>
        <w:keepNext/>
        <w:pageBreakBefore w:val="0"/>
      </w:pPr>
      <w:r>
        <w:rPr>
          <w:rFonts w:ascii="Arial" w:hAnsi="Arial"/>
          <w:color w:val="000000"/>
        </w:rPr>
        <w:t>S3. HISTORICAL DATA PROVENANCE AND SURVEILLANCE-SHOCK RECONSTRUCTION</w:t>
      </w:r>
    </w:p>
    <w:p>
      <w:pPr>
        <w:pStyle w:val="Heading2"/>
        <w:keepNext/>
        <w:pageBreakBefore w:val="0"/>
      </w:pPr>
      <w:r>
        <w:rPr>
          <w:rFonts w:ascii="Arial" w:hAnsi="Arial"/>
          <w:color w:val="000000"/>
        </w:rPr>
        <w:t>S3.1 Evidence hierarchy</w:t>
      </w:r>
    </w:p>
    <w:p>
      <w:pPr>
        <w:spacing w:line="312" w:lineRule="auto" w:after="60"/>
      </w:pPr>
      <w:r>
        <w:rPr>
          <w:rFonts w:ascii="Arial" w:hAnsi="Arial"/>
          <w:color w:val="000000"/>
        </w:rPr>
        <w:t>For each outbreak, information used to assess analytical readiness was assigned to an evidence layer before the corresponding analysis. The highest-priority layer consisted of contemporaneous primary surveillance material, including situation reports, laboratory reports, official line-list aggregates and contemporaneously published operational updates. Digitised repositories derived from those materials formed a second layer and were checked against source reports where discrepancies affected the estimand. Independent contemporaneous sources could corroborate major operational or reporting changes. Retrospective investigations and later publications were used to evaluate or contextualise earlier inference but were not treated as information available prospectively unless they were in fact available at the analytical origin.</w:t>
      </w:r>
    </w:p>
    <w:p>
      <w:pPr>
        <w:spacing w:line="312" w:lineRule="auto" w:after="60"/>
      </w:pPr>
      <w:r>
        <w:rPr>
          <w:rFonts w:ascii="Arial" w:hAnsi="Arial"/>
          <w:color w:val="000000"/>
        </w:rPr>
        <w:t>Conflicting source values were not automatically reconciled into one preferred number. Materially different contemporaneous values were retained in the provenance ledger and either incorporated into sensitivity analysis or treated as uncertainty in the observation process. Surveillance-record uncertainty is analytically distinct from stochastic uncertainty generated by an epidemic model.</w:t>
      </w:r>
    </w:p>
    <w:p>
      <w:pPr>
        <w:pStyle w:val="Heading2"/>
        <w:keepNext/>
        <w:pageBreakBefore w:val="0"/>
      </w:pPr>
      <w:r>
        <w:rPr>
          <w:rFonts w:ascii="Arial" w:hAnsi="Arial"/>
          <w:color w:val="000000"/>
        </w:rPr>
        <w:t>S3.2 DRC disruption window</w:t>
      </w:r>
    </w:p>
    <w:p>
      <w:pPr>
        <w:spacing w:line="312" w:lineRule="auto" w:after="60"/>
      </w:pPr>
      <w:r>
        <w:rPr>
          <w:rFonts w:ascii="Arial" w:hAnsi="Arial"/>
          <w:b w:val="0"/>
          <w:i w:val="0"/>
          <w:color w:val="000000"/>
        </w:rPr>
        <w:t>The principal natural stress test was selected from contemporaneous WHO process evidence documenting disruption after violence and response suspension in late November 2019, followed by partial recovery in early December and a return toward prior operational levels by mid-December [1–4]. The origins specified before the corresponding comparison were 19 November (pre-shock), 26 November (acute shock), 3 December (early recovery) and 17 December (recovery).</w:t>
      </w:r>
    </w:p>
    <w:p>
      <w:pPr>
        <w:spacing w:line="312" w:lineRule="auto" w:after="60"/>
      </w:pPr>
      <w:r>
        <w:rPr>
          <w:rFonts w:ascii="Arial" w:hAnsi="Arial"/>
          <w:color w:val="000000"/>
        </w:rPr>
        <w:t>The process evidence was independent of the forecast error series. On 28 November WHO reported that daily alerts in Beni had fallen from roughly 400 to 120–150, the overall proportion of contacts under surveillance had fallen as low as 59% on 25 November, and only 15% of contacts were under surveillance in Oicha on 26 November. By early December alert investigation and contact surveillance had improved but still fluctuated; by 10–17 December WHO described alert volume and contact follow-up as returning toward pre-incident levels. This sequence was used to define the observation-process phases rather than inferred from smoothness or volatility in the case curve.</w:t>
      </w:r>
    </w:p>
    <w:p>
      <w:pPr>
        <w:pStyle w:val="Heading2"/>
        <w:keepNext/>
        <w:pageBreakBefore w:val="0"/>
      </w:pPr>
      <w:r>
        <w:rPr>
          <w:rFonts w:ascii="Arial" w:hAnsi="Arial"/>
          <w:color w:val="000000"/>
        </w:rPr>
        <w:t>S3.3 Aggregation and geographic-attribution checks</w:t>
      </w:r>
    </w:p>
    <w:p>
      <w:pPr>
        <w:spacing w:line="312" w:lineRule="auto" w:after="60"/>
      </w:pPr>
      <w:r>
        <w:rPr>
          <w:rFonts w:ascii="Arial" w:hAnsi="Arial"/>
          <w:color w:val="000000"/>
        </w:rPr>
        <w:t>The DRC forecast comparator was evaluated at three spatial scopes: Beni–Mabalako–Oicha, a four-zone active core adding Mandima, and an aggregate across all listed health zones. National/all-health-zone cumulative totals were cross-checked against contemporaneous WHO totals where available. Weekly WHO case allocations could differ from arithmetic changes in cumulative health-zone totals because of event-time or geographic attribution. Such discrepancies were retained rather than silently reconciled. This distinction is important because national burden can agree while subnational attribution differs.</w:t>
      </w:r>
    </w:p>
    <w:p>
      <w:pPr>
        <w:pStyle w:val="Heading1"/>
        <w:keepNext/>
        <w:pageBreakBefore w:val="0"/>
      </w:pPr>
      <w:r>
        <w:rPr>
          <w:rFonts w:ascii="Arial" w:hAnsi="Arial"/>
          <w:color w:val="000000"/>
        </w:rPr>
        <w:t>S4. DRC FORECAST AND PARAMETER-STABILITY ANALYSES</w:t>
      </w:r>
    </w:p>
    <w:p>
      <w:pPr>
        <w:pStyle w:val="Heading2"/>
        <w:keepNext/>
        <w:pageBreakBefore w:val="0"/>
      </w:pPr>
      <w:r>
        <w:rPr>
          <w:rFonts w:ascii="Arial" w:hAnsi="Arial"/>
          <w:color w:val="000000"/>
        </w:rPr>
        <w:t>S4.1 Persistence comparator and product-choice rule</w:t>
      </w:r>
    </w:p>
    <w:p>
      <w:pPr>
        <w:spacing w:line="312" w:lineRule="auto" w:after="60"/>
      </w:pPr>
      <w:r>
        <w:rPr>
          <w:rFonts w:ascii="Arial" w:hAnsi="Arial"/>
          <w:color w:val="000000"/>
        </w:rPr>
        <w:t>The seven-day target was future cumulative reported confirmed burden, equivalently the next seven-day reported increment. The fixed comparator was Ĉ(T+7)=C(T)+[C(T)−C(T−7)]. Absolute error was measured against the subsequently reported cumulative total. The comparator was intentionally unchanged across phases so performance differences could not arise from phase-specific tuning.</w:t>
      </w:r>
    </w:p>
    <w:p>
      <w:pPr>
        <w:spacing w:line="312" w:lineRule="auto" w:after="60"/>
      </w:pPr>
      <w:r>
        <w:rPr>
          <w:rFonts w:ascii="Arial" w:hAnsi="Arial"/>
          <w:color w:val="000000"/>
        </w:rPr>
        <w:t>The observation-aware product-choice rule altered the permissible analytical product rather than imputing a corrected epidemic curve. A numerical forecast was eligible before the disruption; during acute disruption the output was downgraded to descriptive or scenario-based; during early recovery a point forecast remained withheld until the observation regime demonstrated renewed stability; at the recovery origin numerical forecasting could resume but remained explicitly model-dependent. These rules were determined from contemporaneous process evidence before forecast performance was interpreted.</w:t>
      </w:r>
    </w:p>
    <w:p>
      <w:pPr>
        <w:pStyle w:val="Heading2"/>
        <w:keepNext/>
        <w:pageBreakBefore w:val="0"/>
      </w:pPr>
      <w:r>
        <w:rPr>
          <w:rFonts w:ascii="Arial" w:hAnsi="Arial"/>
          <w:color w:val="000000"/>
        </w:rPr>
        <w:t>S4.2 Rolling trend model and dispersion adjustment</w:t>
      </w:r>
    </w:p>
    <w:p>
      <w:pPr>
        <w:spacing w:line="312" w:lineRule="auto" w:after="60"/>
      </w:pPr>
      <w:r>
        <w:rPr>
          <w:rFonts w:ascii="Arial" w:hAnsi="Arial"/>
          <w:b w:val="0"/>
          <w:i w:val="0"/>
          <w:color w:val="000000"/>
        </w:rPr>
        <w:t>At the same origins, the four most recent completed WHO reporting weeks were fit with Y_w~Poisson(μ_w), log(μ_w)=α+βw. The estimand was m=exp(β), the weekly multiplier in reported confirmed cases. It was not interpreted as R_t or a latent transmission growth rate. Pearson dispersion φ was calculated from the four observations. Standard errors were not reduced when φ&lt;1; when φ&gt;1 they were multiplied by sqrt(φ). A three-week fitting window was specified as the sensitivity analysis before cross-module synthesis. This conservative adjustment was preferred to estimating an additional negative-binomial dispersion parameter from four observations.</w:t>
      </w:r>
    </w:p>
    <w:p>
      <w:pPr>
        <w:pStyle w:val="Heading2"/>
        <w:keepNext/>
        <w:pageBreakBefore w:val="0"/>
      </w:pPr>
      <w:r>
        <w:rPr>
          <w:rFonts w:ascii="Arial" w:hAnsi="Arial"/>
          <w:color w:val="000000"/>
        </w:rPr>
        <w:t>S4.3 Interpretation boundary</w:t>
      </w:r>
    </w:p>
    <w:p>
      <w:pPr>
        <w:spacing w:line="312" w:lineRule="auto" w:after="60"/>
      </w:pPr>
      <w:r>
        <w:rPr>
          <w:rFonts w:ascii="Arial" w:hAnsi="Arial"/>
          <w:color w:val="000000"/>
        </w:rPr>
        <w:t>The shock window contains both changes in the observation process and genuine epidemic-process changes. It therefore functions as a natural stress test rather than a causal instrument for surveillance quality. The largest forecast miss occurred at early recovery O2, while the strongest trend overdispersion occurred at O3; the asynchronous pattern is informative about estimand-specific readiness but cannot be decomposed causally into surveillance recovery versus transmission change from aggregate report-date data alone.</w:t>
      </w:r>
    </w:p>
    <w:p>
      <w:pPr>
        <w:pStyle w:val="Heading1"/>
        <w:keepNext/>
        <w:pageBreakBefore w:val="0"/>
      </w:pPr>
      <w:r>
        <w:rPr>
          <w:rFonts w:ascii="Arial" w:hAnsi="Arial"/>
          <w:color w:val="000000"/>
        </w:rPr>
        <w:t>S5. GEOGRAPHIC-PRIORITISATION STRESS TEST AND EXTENSION TEMPLATE</w:t>
      </w:r>
    </w:p>
    <w:p>
      <w:pPr>
        <w:pStyle w:val="Heading2"/>
        <w:keepNext/>
        <w:pageBreakBefore w:val="0"/>
      </w:pPr>
      <w:r>
        <w:rPr>
          <w:rFonts w:ascii="Arial" w:hAnsi="Arial"/>
          <w:color w:val="000000"/>
        </w:rPr>
        <w:t>S5.1 Archived December 2019 target</w:t>
      </w:r>
    </w:p>
    <w:p>
      <w:pPr>
        <w:spacing w:line="312" w:lineRule="auto" w:after="60"/>
      </w:pPr>
      <w:r>
        <w:rPr>
          <w:rFonts w:ascii="Arial" w:hAnsi="Arial"/>
          <w:color w:val="000000"/>
        </w:rPr>
        <w:t>The empirical stress test used a calendar-month reported-burden target: whether a surveyed health zone accumulated at least two reported cases during December 2019. This target is distinct from first biological introduction and from the generic first-reported-case hazard estimand discussed below. Six zones were evaluated, with plain and adjacency-interaction archived forecasts at four dates and cumulative reported burden as a transparent comparator. Top-3 and Top-4 capture were primary; Brier score was secondary because only six zones and one target month were available.</w:t>
      </w:r>
    </w:p>
    <w:p>
      <w:pPr>
        <w:pStyle w:val="Heading2"/>
        <w:keepNext/>
        <w:pageBreakBefore w:val="0"/>
      </w:pPr>
      <w:r>
        <w:rPr>
          <w:rFonts w:ascii="Arial" w:hAnsi="Arial"/>
          <w:color w:val="000000"/>
        </w:rPr>
        <w:t>S5.2 Code-provenance correction</w:t>
      </w:r>
    </w:p>
    <w:p>
      <w:pPr>
        <w:spacing w:line="312" w:lineRule="auto" w:after="60"/>
      </w:pPr>
      <w:r>
        <w:rPr>
          <w:rFonts w:ascii="Arial" w:hAnsi="Arial"/>
          <w:color w:val="000000"/>
        </w:rPr>
        <w:t>The archived scoring code loaded the plain nominal-date forecast using nominal_forecast_date but indexed the corresponding adjacency line using expert_date. The 1 December adjacency probabilities used in the study were therefore read directly from the committed ebola_risks_adj_December_2019_2019-12-01.csv file. This was treated as a provenance correction, not as a performance-driven modification.</w:t>
      </w:r>
    </w:p>
    <w:p>
      <w:pPr>
        <w:pStyle w:val="Heading2"/>
        <w:keepNext/>
        <w:pageBreakBefore w:val="0"/>
      </w:pPr>
      <w:r>
        <w:rPr>
          <w:rFonts w:ascii="Arial" w:hAnsi="Arial"/>
          <w:color w:val="000000"/>
        </w:rPr>
        <w:t>S5.3 Extension template: first-reported-case prioritisation</w:t>
      </w:r>
    </w:p>
    <w:p>
      <w:pPr>
        <w:spacing w:line="312" w:lineRule="auto" w:after="60"/>
      </w:pPr>
      <w:r>
        <w:rPr>
          <w:rFonts w:ascii="Arial" w:hAnsi="Arial"/>
          <w:b w:val="0"/>
          <w:i w:val="0"/>
          <w:color w:val="000000"/>
        </w:rPr>
        <w:t>For applications in which sufficient risk-set data exist, a distinct geographic estimand is the rank or hazard that a currently unaffected reporting unit records its first reported confirmed case within a defined future period. First report must remain distinct from biological introduction. Matched discrete-time hazard models can compare connectivity specifications such as no dynamic connectivity, geographic or road-network distance, population-weighted gravity and incidence-weighted connectivity. A complementary log-log formulation is compatible with grouped survival analysis [5].</w:t>
      </w:r>
    </w:p>
    <w:p>
      <w:pPr>
        <w:spacing w:line="312" w:lineRule="auto" w:after="60"/>
      </w:pPr>
      <w:r>
        <w:rPr>
          <w:rFonts w:ascii="Arial" w:hAnsi="Arial"/>
          <w:b w:val="0"/>
          <w:i w:val="0"/>
          <w:color w:val="000000"/>
        </w:rPr>
        <w:t>Because prioritisation is commonly a constrained allocation problem, Top-k hit rate and rank percentile should be matched to operational capacity. Precision–recall can provide a broader discrimination measure when events are sparse [6]. Absolute probabilities should be claimed only if calibrated for the defined reported-event estimand. This extension template was not itself evaluated as a separate empirical module in the main manuscript.</w:t>
      </w:r>
    </w:p>
    <w:p>
      <w:pPr>
        <w:pStyle w:val="Heading1"/>
        <w:keepNext/>
        <w:pageBreakBefore w:val="0"/>
      </w:pPr>
      <w:r>
        <w:rPr>
          <w:rFonts w:ascii="Arial" w:hAnsi="Arial"/>
          <w:color w:val="000000"/>
        </w:rPr>
        <w:t>S6. WESTERN AREA EXTERNAL FORECAST VALIDATION</w:t>
      </w:r>
    </w:p>
    <w:p>
      <w:pPr>
        <w:pStyle w:val="Heading2"/>
        <w:keepNext/>
        <w:pageBreakBefore w:val="0"/>
      </w:pPr>
      <w:r>
        <w:rPr>
          <w:rFonts w:ascii="Arial" w:hAnsi="Arial"/>
          <w:color w:val="000000"/>
        </w:rPr>
        <w:t>S6.1 Observation-process context and forecast origins</w:t>
      </w:r>
    </w:p>
    <w:p>
      <w:pPr>
        <w:spacing w:line="312" w:lineRule="auto" w:after="60"/>
      </w:pPr>
      <w:r>
        <w:rPr>
          <w:rFonts w:ascii="Arial" w:hAnsi="Arial"/>
          <w:b w:val="0"/>
          <w:i w:val="0"/>
          <w:color w:val="000000"/>
        </w:rPr>
        <w:t>The preserved Funk et al. [7] package contains the 27-week Western Area reported-incidence series used in the published analysis. The epidemic series begins in the week ending 10 August 2014; retrospective forecast assessment begins at week 3, ending 24 August. This differs from the later start of publicly posted real-time forecasts. Recent observations were drawn from timely Ministry situation reports, while older observations were drawn from the WHO patient database after cleaning and reclassification; the latter was more curated but delayed near the reporting date.</w:t>
      </w:r>
    </w:p>
    <w:p>
      <w:pPr>
        <w:pStyle w:val="Heading2"/>
        <w:keepNext/>
        <w:pageBreakBefore w:val="0"/>
      </w:pPr>
      <w:r>
        <w:rPr>
          <w:rFonts w:ascii="Arial" w:hAnsi="Arial"/>
          <w:color w:val="000000"/>
        </w:rPr>
        <w:t>S6.2 Persistence baseline and history-to-horizon descriptor</w:t>
      </w:r>
    </w:p>
    <w:p>
      <w:pPr>
        <w:spacing w:line="312" w:lineRule="auto" w:after="60"/>
      </w:pPr>
      <w:r>
        <w:rPr>
          <w:rFonts w:ascii="Arial" w:hAnsi="Arial"/>
          <w:color w:val="000000"/>
        </w:rPr>
        <w:t>At each eligible origin, the persistence baseline forecast future reported weekly incidence as the incidence observed at origin T. Forecasts were generated at horizons h=1,2,3,4 weeks. H_T was defined as the number of completed weekly observations available at T and M_T,h=H_T/h. Absolute error and symmetric absolute percentage error were evaluated against subsequently reported incidence. M was retained as a descriptor and summarised in bins &lt;1, 1–&lt;2, 2–&lt;4, 4–&lt;8 and &gt;=8 without treating any bin as a threshold.</w:t>
      </w:r>
    </w:p>
    <w:p>
      <w:pPr>
        <w:pStyle w:val="Heading2"/>
        <w:keepNext/>
        <w:pageBreakBefore w:val="0"/>
      </w:pPr>
      <w:r>
        <w:rPr>
          <w:rFonts w:ascii="Arial" w:hAnsi="Arial"/>
          <w:color w:val="000000"/>
        </w:rPr>
        <w:t>S6.3 Comparison with published model evaluation</w:t>
      </w:r>
    </w:p>
    <w:p>
      <w:pPr>
        <w:spacing w:line="312" w:lineRule="auto" w:after="60"/>
      </w:pPr>
      <w:r>
        <w:rPr>
          <w:rFonts w:ascii="Arial" w:hAnsi="Arial"/>
          <w:color w:val="000000"/>
        </w:rPr>
        <w:t>The reconstructed persistence results were compared with the published calibration assessment and mean absolute error of the median forecast for the best semi-mechanistic model and the autoregressive, deterministic and unfocused null models. The comparison was not intended to re-estimate the original semi-mechanistic model or claim that persistence was globally superior; it tested horizon dependence, the need for transparent baselines and the inadequacy of M&gt;=1 as a universal readiness rule.</w:t>
      </w:r>
    </w:p>
    <w:p>
      <w:pPr>
        <w:pStyle w:val="Heading1"/>
        <w:keepNext/>
        <w:pageBreakBefore w:val="0"/>
      </w:pPr>
      <w:r>
        <w:rPr>
          <w:rFonts w:ascii="Arial" w:hAnsi="Arial"/>
          <w:color w:val="000000"/>
        </w:rPr>
        <w:t>S7. MORTALITY-IDENTIFIABILITY EXPERIMENT</w:t>
      </w:r>
    </w:p>
    <w:p>
      <w:pPr>
        <w:pStyle w:val="Heading2"/>
        <w:keepNext/>
        <w:pageBreakBefore w:val="0"/>
      </w:pPr>
      <w:r>
        <w:rPr>
          <w:rFonts w:ascii="Arial" w:hAnsi="Arial"/>
          <w:color w:val="000000"/>
        </w:rPr>
        <w:t>S7.1 Observation-level and latent quantities</w:t>
      </w:r>
    </w:p>
    <w:p>
      <w:pPr>
        <w:spacing w:line="312" w:lineRule="auto" w:after="60"/>
      </w:pPr>
      <w:r>
        <w:rPr>
          <w:rFonts w:ascii="Arial" w:hAnsi="Arial"/>
          <w:color w:val="000000"/>
        </w:rPr>
        <w:t>For geographic unit z and origin T, rCFR_z,T=Dreport_z,T/Creport_z,T is directly observable but is not assumed to be a patient-level probability of death. Reporting synchronisation can arise from administrative batching, reconciliation or common report dates; aggregate synchronisation does not identify a patient-level case-to-death distribution. An outcome-maturity parameter u therefore represents the proportion of eventual fatal outcomes observable by the analytical origin.</w:t>
      </w:r>
    </w:p>
    <w:p>
      <w:pPr>
        <w:pStyle w:val="Heading2"/>
        <w:keepNext/>
        <w:pageBreakBefore w:val="0"/>
      </w:pPr>
      <w:r>
        <w:rPr>
          <w:rFonts w:ascii="Arial" w:hAnsi="Arial"/>
          <w:color w:val="000000"/>
        </w:rPr>
        <w:t>S7.2 Structural equivalence experiment</w:t>
      </w:r>
    </w:p>
    <w:p>
      <w:pPr>
        <w:spacing w:line="312" w:lineRule="auto" w:after="60"/>
      </w:pPr>
      <w:r>
        <w:rPr>
          <w:rFonts w:ascii="Arial" w:hAnsi="Arial"/>
          <w:color w:val="000000"/>
        </w:rPr>
        <w:t>Let N denote true infections or relevant clinical cases, p latent fatality, qC case ascertainment and qD death ascertainment. With Creport≈NqC and Dreport≈NpqDu, the observed ratio identifies p(qDu/qC), not p separately. The structural illustration fixed Creport=1,000 and Dreport=400 and evaluated qC and qD from 0.25 to 1.00, with u from 1.0 to 0.4. Five explicit mechanisms produced the same expected observation while p ranged from 0.10 to 0.80.</w:t>
      </w:r>
    </w:p>
    <w:p>
      <w:pPr>
        <w:pStyle w:val="Heading2"/>
        <w:keepNext/>
        <w:pageBreakBefore w:val="0"/>
      </w:pPr>
      <w:r>
        <w:rPr>
          <w:rFonts w:ascii="Arial" w:hAnsi="Arial"/>
          <w:color w:val="000000"/>
        </w:rPr>
        <w:t>S7.3 Stochastic and precision experiments</w:t>
      </w:r>
    </w:p>
    <w:p>
      <w:pPr>
        <w:spacing w:line="312" w:lineRule="auto" w:after="60"/>
      </w:pPr>
      <w:r>
        <w:rPr>
          <w:rFonts w:ascii="Arial" w:hAnsi="Arial"/>
          <w:b w:val="0"/>
          <w:i w:val="0"/>
          <w:color w:val="000000"/>
        </w:rPr>
        <w:t>For each mechanism, 5,000 stochastic replicates used seed 260810. Reported cases were drawn from Binomial(N,qC), true deaths from Binomial(N,p) and observed deaths from Binomial(true deaths,qDu). A second experiment held rCFR at 0.40 while increasing reported cases from 100 to 25,000. A Wilson interval represented finite-sample precision of the reported ratio only. Under the predefined relative-ascertainment range ρ=qDu/qC in [0.5,2], the compatible latent fatality range remained [0.20,0.80] regardless of denominator. The experiment therefore distinguishes precision in an observed statistic from identification of a latent parameter.</w:t>
      </w:r>
    </w:p>
    <w:p>
      <w:pPr>
        <w:pStyle w:val="Heading1"/>
        <w:keepNext/>
        <w:pageBreakBefore w:val="0"/>
      </w:pPr>
      <w:r>
        <w:rPr>
          <w:rFonts w:ascii="Arial" w:hAnsi="Arial"/>
          <w:color w:val="000000"/>
        </w:rPr>
        <w:t>S8. REPRODUCIBILITY, AUDIT RULES AND APPLICATION TEMPLATE</w:t>
      </w:r>
    </w:p>
    <w:p>
      <w:pPr>
        <w:pStyle w:val="Heading2"/>
        <w:keepNext/>
        <w:pageBreakBefore w:val="0"/>
      </w:pPr>
      <w:r>
        <w:rPr>
          <w:rFonts w:ascii="Arial" w:hAnsi="Arial"/>
          <w:color w:val="000000"/>
        </w:rPr>
        <w:t>S8.1 Extended analytical-readiness audit rules</w:t>
      </w:r>
    </w:p>
    <w:p>
      <w:pPr>
        <w:spacing w:line="312" w:lineRule="auto" w:after="60"/>
      </w:pPr>
      <w:r>
        <w:rPr>
          <w:rFonts w:ascii="Arial" w:hAnsi="Arial"/>
          <w:color w:val="000000"/>
        </w:rPr>
        <w:t>Quality-control flags are retained as analytical information. Examples include conflicting values between report sections, discrepancies between aggregate and disaggregated denominators, malformed source entries, duplicate report identifiers, retrospective harmonisation language and uncertainty about whether absence represents zero or unreported data. A flag does not automatically exclude an observation; exclusion depends on whether the anomaly makes the observation unusable for the estimand. Where the observation remains usable but uncertain, plausible interpretations should be retained in sensitivity analysis where possible.</w:t>
      </w:r>
    </w:p>
    <w:p>
      <w:pPr>
        <w:spacing w:line="312" w:lineRule="auto" w:after="60"/>
      </w:pPr>
      <w:r>
        <w:rPr>
          <w:rFonts w:ascii="Arial" w:hAnsi="Arial"/>
          <w:color w:val="000000"/>
        </w:rPr>
        <w:t>Task-specific validation is preferred to generic goodness-of-fit. Forecasting uses time-respecting predictive evaluation; prioritisation uses a decision-matched ranking metric; latent clinical quantities require identification and ascertainment sensitivity. Repeated origins from one outbreak are longitudinal observations, not independent replicates. Multiple metrics that answer different operational questions should be allowed to disagree rather than being collapsed post hoc.</w:t>
      </w:r>
    </w:p>
    <w:p>
      <w:pPr>
        <w:pStyle w:val="Heading2"/>
        <w:keepNext/>
        <w:pageBreakBefore w:val="0"/>
      </w:pPr>
      <w:r>
        <w:rPr>
          <w:rFonts w:ascii="Arial" w:hAnsi="Arial"/>
          <w:color w:val="000000"/>
        </w:rPr>
        <w:t>S8.2 Generic application templates retained from framework development</w:t>
      </w:r>
    </w:p>
    <w:p>
      <w:pPr>
        <w:spacing w:line="312" w:lineRule="auto" w:after="60"/>
      </w:pPr>
      <w:r>
        <w:rPr>
          <w:rFonts w:ascii="Arial" w:hAnsi="Arial"/>
          <w:color w:val="000000"/>
        </w:rPr>
        <w:t>The following templates describe how the architecture can be extended beyond the demonstrations reported in the main manuscript. They are not additional analyses claimed in the study.</w:t>
      </w:r>
    </w:p>
    <w:p>
      <w:pPr>
        <w:pStyle w:val="Heading3"/>
        <w:keepNext/>
        <w:pageBreakBefore w:val="0"/>
      </w:pPr>
      <w:r>
        <w:rPr>
          <w:rFonts w:ascii="Arial" w:hAnsi="Arial"/>
          <w:color w:val="000000"/>
        </w:rPr>
        <w:t>Early growth / response timing</w:t>
      </w:r>
    </w:p>
    <w:p>
      <w:pPr>
        <w:spacing w:line="312" w:lineRule="auto" w:after="60"/>
      </w:pPr>
      <w:r>
        <w:rPr>
          <w:rFonts w:ascii="Arial" w:hAnsi="Arial"/>
          <w:color w:val="000000"/>
        </w:rPr>
        <w:t>An application may estimate early local growth r, doubling time or model-compatible onset from contemporaneous national or subnational case series, source-vintage ledgers and independent timing anchors. Expanding-window stability, alternative likelihoods and windows, and independent epidemiological or genomic timing can distinguish supported from model-dependent onset. Exact first infection should not be claimed without external evidence.</w:t>
      </w:r>
    </w:p>
    <w:p>
      <w:pPr>
        <w:pStyle w:val="Heading3"/>
        <w:keepNext/>
        <w:pageBreakBefore w:val="0"/>
      </w:pPr>
      <w:r>
        <w:rPr>
          <w:rFonts w:ascii="Arial" w:hAnsi="Arial"/>
          <w:color w:val="000000"/>
        </w:rPr>
        <w:t>Short-term probabilistic forecasting</w:t>
      </w:r>
    </w:p>
    <w:p>
      <w:pPr>
        <w:spacing w:line="312" w:lineRule="auto" w:after="60"/>
      </w:pPr>
      <w:r>
        <w:rPr>
          <w:rFonts w:ascii="Arial" w:hAnsi="Arial"/>
          <w:b w:val="0"/>
          <w:i w:val="0"/>
          <w:color w:val="000000"/>
        </w:rPr>
        <w:t>An application may evaluate future reported cases or deaths at predefined 7/14/21/28-day horizons using rolling-origin recent-trend baselines and overdispersed probabilistic models. Absolute error and bias assess point forecasts; empirical interval coverage and weighted interval score assess probabilistic calibration and sharpness [8,9]. Exact target dates should be used and final-vintage inputs should not be treated as contemporaneous without caveat. M_T,h is diagnostic only and cannot determine the class by itself.</w:t>
      </w:r>
    </w:p>
    <w:p>
      <w:pPr>
        <w:pStyle w:val="Heading3"/>
        <w:keepNext/>
        <w:pageBreakBefore w:val="0"/>
      </w:pPr>
      <w:r>
        <w:rPr>
          <w:rFonts w:ascii="Arial" w:hAnsi="Arial"/>
          <w:color w:val="000000"/>
        </w:rPr>
        <w:t>Geographic first-report prioritisation</w:t>
      </w:r>
    </w:p>
    <w:p>
      <w:pPr>
        <w:spacing w:line="312" w:lineRule="auto" w:after="60"/>
      </w:pPr>
      <w:r>
        <w:rPr>
          <w:rFonts w:ascii="Arial" w:hAnsi="Arial"/>
          <w:b w:val="0"/>
          <w:i w:val="0"/>
          <w:color w:val="000000"/>
        </w:rPr>
        <w:t>Where adequate risk-set histories exist, matched discrete-time hazard models can compare predefined connectivity alternatives. Top-k hit rate and rank percentile should match deployment capacity; precision–recall is useful under class imbalance. First report cannot be equated with biological introduction without independent onset, testing or genomic information.</w:t>
      </w:r>
    </w:p>
    <w:p>
      <w:pPr>
        <w:pStyle w:val="Heading3"/>
        <w:keepNext/>
        <w:pageBreakBefore w:val="0"/>
      </w:pPr>
      <w:r>
        <w:rPr>
          <w:rFonts w:ascii="Arial" w:hAnsi="Arial"/>
          <w:color w:val="000000"/>
        </w:rPr>
        <w:t>Reported mortality and latent fatality</w:t>
      </w:r>
    </w:p>
    <w:p>
      <w:pPr>
        <w:spacing w:line="312" w:lineRule="auto" w:after="60"/>
      </w:pPr>
      <w:r>
        <w:rPr>
          <w:rFonts w:ascii="Arial" w:hAnsi="Arial"/>
          <w:color w:val="000000"/>
        </w:rPr>
        <w:t>Reported rCFR can be described with finite-denominator uncertainty and, where appropriate, partial pooling. Latent fatality requires linked outcomes, ascertainment evidence, mature follow-up or externally justified scenario bounds. Same-day administrative reporting cannot identify the patient-level delay distribution, and rCFR alone cannot rank quality of care.</w:t>
      </w:r>
    </w:p>
    <w:p>
      <w:pPr>
        <w:pStyle w:val="Heading2"/>
        <w:keepNext/>
        <w:pageBreakBefore w:val="0"/>
      </w:pPr>
      <w:r>
        <w:rPr>
          <w:rFonts w:ascii="Arial" w:hAnsi="Arial"/>
          <w:color w:val="000000"/>
        </w:rPr>
        <w:t>S8.3 Reproducibility archive</w:t>
      </w:r>
    </w:p>
    <w:p>
      <w:pPr>
        <w:spacing w:line="312" w:lineRule="auto" w:after="60"/>
      </w:pPr>
      <w:r>
        <w:rPr>
          <w:rFonts w:ascii="Arial" w:hAnsi="Arial"/>
          <w:color w:val="000000"/>
        </w:rPr>
        <w:t>The accompanying archive contains compact analysis-ready inputs, source manifests, deterministic analysis rules, Python and R implementations, expected key outputs, figure-generation scripts and SHA-256 checksums. Each empirical module preserves the analytical origin, observations used for the published calculation, source lineage and transformation rules. Compact redistributed files contain only variables needed to reproduce the manuscript calculations and are not replacements for upstream surveillance archives. Monte Carlo draws need not be bit-for-bit identical between Python and R because random-number and binomial-generation implementations differ, but the generating design and expected summaries are preserved.</w:t>
      </w:r>
    </w:p>
    <w:p>
      <w:pPr>
        <w:pStyle w:val="Heading2"/>
        <w:keepNext/>
        <w:pageBreakBefore w:val="0"/>
      </w:pPr>
      <w:r>
        <w:rPr>
          <w:rFonts w:ascii="Arial" w:hAnsi="Arial"/>
          <w:color w:val="000000"/>
        </w:rPr>
        <w:t>S8.4 Analytical specification and amendments</w:t>
      </w:r>
    </w:p>
    <w:p>
      <w:pPr>
        <w:spacing w:line="312" w:lineRule="auto" w:after="60"/>
      </w:pPr>
      <w:r>
        <w:rPr>
          <w:rFonts w:ascii="Arial" w:hAnsi="Arial"/>
          <w:b w:val="0"/>
          <w:i w:val="0"/>
          <w:color w:val="000000"/>
        </w:rPr>
        <w:t>The study was not prospectively preregistered. For the historical surveillance-shock experiment, analytical origins, target estimand, persistence comparator and observation-aware product rule were specified before the corresponding forecast-error comparison was interpreted. Class definitions and validation logic were fixed before cross-module synthesis. Post-specification changes were retained as explicit analytical amendments, including the nominal-date spatial provenance correction.</w:t>
      </w:r>
    </w:p>
    <w:p>
      <w:pPr>
        <w:pStyle w:val="Heading2"/>
        <w:keepNext/>
        <w:pageBreakBefore w:val="0"/>
      </w:pPr>
      <w:r>
        <w:rPr>
          <w:rFonts w:ascii="Arial" w:hAnsi="Arial"/>
          <w:color w:val="000000"/>
        </w:rPr>
        <w:t>S8.5 Ethics and data governance</w:t>
      </w:r>
    </w:p>
    <w:p>
      <w:pPr>
        <w:spacing w:line="312" w:lineRule="auto" w:after="60"/>
      </w:pPr>
      <w:r>
        <w:rPr>
          <w:rFonts w:ascii="Arial" w:hAnsi="Arial"/>
          <w:color w:val="000000"/>
        </w:rPr>
        <w:t>The empirical analyses use aggregated, de-identified outbreak surveillance information and public historical archives. No identifiable individual-level information is required for the analyses reported in the manuscript. The targeted simulation contains no human-subject data. Any future application to restricted surveillance material should follow the source conditions and applicable secondary-analysis governance requirements.</w:t>
      </w:r>
    </w:p>
    <w:p>
      <w:pPr>
        <w:pStyle w:val="Heading1"/>
        <w:keepNext/>
        <w:pageBreakBefore w:val="0"/>
      </w:pPr>
      <w:r>
        <w:rPr>
          <w:rFonts w:ascii="Arial" w:hAnsi="Arial"/>
          <w:color w:val="000000"/>
        </w:rPr>
        <w:t>References cited in Supporting Information</w:t>
      </w:r>
    </w:p>
    <w:p>
      <w:pPr>
        <w:spacing w:line="312" w:lineRule="auto" w:after="60"/>
        <w:ind w:left="283" w:hanging="283"/>
      </w:pPr>
      <w:r>
        <w:rPr>
          <w:rFonts w:ascii="Arial" w:hAnsi="Arial"/>
          <w:color w:val="000000"/>
        </w:rPr>
        <w:t>1. World Health Organization. Ebola virus disease – Democratic Republic of the Congo. Disease Outbreak News; 28 Nov 2019. https://www.who.int/emergencies/disease-outbreak-news/item/2019-DON215. Accessed 12 Aug 2026.</w:t>
      </w:r>
    </w:p>
    <w:p>
      <w:pPr>
        <w:spacing w:line="312" w:lineRule="auto" w:after="60"/>
        <w:ind w:left="283" w:hanging="283"/>
      </w:pPr>
      <w:r>
        <w:rPr>
          <w:rFonts w:ascii="Arial" w:hAnsi="Arial"/>
          <w:color w:val="000000"/>
        </w:rPr>
        <w:t>2. World Health Organization. Ebola virus disease – Democratic Republic of the Congo. Disease Outbreak News; 5 Dec 2019. https://www.who.int/emergencies/disease-outbreak-news/item/2019-DON224. Accessed 12 Aug 2026.</w:t>
      </w:r>
    </w:p>
    <w:p>
      <w:pPr>
        <w:spacing w:line="312" w:lineRule="auto" w:after="60"/>
        <w:ind w:left="283" w:hanging="283"/>
      </w:pPr>
      <w:r>
        <w:rPr>
          <w:rFonts w:ascii="Arial" w:hAnsi="Arial"/>
          <w:color w:val="000000"/>
        </w:rPr>
        <w:t>3. World Health Organization. Ebola virus disease – Democratic Republic of the Congo. Disease Outbreak News; 12 Dec 2019. https://www.who.int/emergencies/disease-outbreak-news/item/2019-DON225. Accessed 12 Aug 2026.</w:t>
      </w:r>
    </w:p>
    <w:p>
      <w:pPr>
        <w:spacing w:line="312" w:lineRule="auto" w:after="60"/>
        <w:ind w:left="283" w:hanging="283"/>
      </w:pPr>
      <w:r>
        <w:rPr>
          <w:rFonts w:ascii="Arial" w:hAnsi="Arial"/>
          <w:color w:val="000000"/>
        </w:rPr>
        <w:t>4. World Health Organization. Ebola virus disease – Democratic Republic of the Congo. Disease Outbreak News; 19 Dec 2019. https://www.who.int/emergencies/disease-outbreak-news/item/2019-DON226. Accessed 12 Aug 2026.</w:t>
      </w:r>
    </w:p>
    <w:p>
      <w:pPr>
        <w:spacing w:line="312" w:lineRule="auto" w:after="60"/>
        <w:ind w:left="283" w:hanging="283"/>
      </w:pPr>
      <w:r>
        <w:rPr>
          <w:rFonts w:ascii="Arial" w:hAnsi="Arial"/>
          <w:color w:val="000000"/>
        </w:rPr>
        <w:t>5. Prentice RL, Gloeckler LA. Regression analysis of grouped survival data with application to breast cancer data. Biometrics. 1978;34(1):57–67.</w:t>
      </w:r>
    </w:p>
    <w:p>
      <w:pPr>
        <w:spacing w:line="312" w:lineRule="auto" w:after="60"/>
        <w:ind w:left="283" w:hanging="283"/>
      </w:pPr>
      <w:r>
        <w:rPr>
          <w:rFonts w:ascii="Arial" w:hAnsi="Arial"/>
          <w:color w:val="000000"/>
        </w:rPr>
        <w:t>6. Saito T, Rehmsmeier M. The precision–recall plot is more informative than the ROC plot when evaluating binary classifiers on imbalanced datasets. PLoS One. 2015;10(3):e0118432. doi:10.1371/journal.pone.0118432.</w:t>
      </w:r>
    </w:p>
    <w:p>
      <w:pPr>
        <w:spacing w:line="312" w:lineRule="auto" w:after="60"/>
        <w:ind w:left="283" w:hanging="283"/>
      </w:pPr>
      <w:r>
        <w:rPr>
          <w:rFonts w:ascii="Arial" w:hAnsi="Arial"/>
          <w:color w:val="000000"/>
        </w:rPr>
        <w:t>7. Funk S, Camacho A, Kucharski AJ, Lowe R, Eggo RM, Edmunds WJ. Assessing the performance of real-time epidemic forecasts: a case study of Ebola in the Western Area region of Sierra Leone, 2014–15. PLoS Comput Biol. 2019;15(2):e1006785. doi:10.1371/journal.pcbi.1006785.</w:t>
      </w:r>
    </w:p>
    <w:p>
      <w:pPr>
        <w:spacing w:line="312" w:lineRule="auto" w:after="60"/>
        <w:ind w:left="283" w:hanging="283"/>
      </w:pPr>
      <w:r>
        <w:rPr>
          <w:rFonts w:ascii="Arial" w:hAnsi="Arial"/>
          <w:color w:val="000000"/>
        </w:rPr>
        <w:t>8. Bracher J, Ray EL, Gneiting T, Reich NG. Evaluating epidemic forecasts in an interval format. PLoS Comput Biol. 2021;17(2):e1008618. doi:10.1371/journal.pcbi.1008618.</w:t>
      </w:r>
    </w:p>
    <w:p>
      <w:pPr>
        <w:spacing w:line="312" w:lineRule="auto" w:after="60"/>
        <w:ind w:left="283" w:hanging="283"/>
      </w:pPr>
      <w:r>
        <w:rPr>
          <w:rFonts w:ascii="Arial" w:hAnsi="Arial"/>
          <w:color w:val="000000"/>
        </w:rPr>
        <w:t>9. Gneiting T, Raftery AE. Strictly proper scoring rules, prediction, and estimation. J Am Stat Assoc. 2007;102(477):359–378. doi:10.1198/016214506000001437.</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312"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160" w:after="60" w:line="252"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pageBreakBefore w:val="0"/>
      <w:spacing w:before="160" w:after="60" w:line="252" w:lineRule="auto"/>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pageBreakBefore w:val="0"/>
      <w:spacing w:before="160" w:after="60" w:line="252" w:lineRule="auto"/>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pBdr>
        <w:bottom w:val="single" w:sz="8" w:space="4" w:color="4F81BD" w:themeColor="accent1"/>
      </w:pBdr>
      <w:spacing w:after="60" w:line="252" w:lineRule="auto" w:before="160"/>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nuscriptSubtitle">
    <w:name w:val="Manuscript Subtitle"/>
    <w:pPr>
      <w:spacing w:after="160"/>
    </w:pPr>
    <w:rPr>
      <w:rFonts w:ascii="Arial" w:hAnsi="Arial"/>
      <w:i/>
      <w:sz w:val="22"/>
    </w:rPr>
  </w:style>
  <w:style w:type="paragraph" w:customStyle="1" w:styleId="Reference">
    <w:name w:val="Reference"/>
    <w:pPr>
      <w:spacing w:after="80" w:line="240" w:lineRule="auto"/>
      <w:ind w:left="360" w:hanging="360"/>
    </w:pPr>
    <w:rPr>
      <w:rFonts w:ascii="Arial" w:hAnsi="Arial"/>
      <w:sz w:val="19"/>
    </w:rPr>
  </w:style>
  <w:style w:type="paragraph" w:customStyle="1" w:styleId="Equation">
    <w:name w:val="Equation"/>
    <w:pPr>
      <w:spacing w:before="80" w:after="80" w:line="288" w:lineRule="auto"/>
      <w:jc w:val="center"/>
    </w:pPr>
    <w:rPr>
      <w:rFonts w:ascii="Arial" w:hAnsi="Arial"/>
      <w:sz w:val="20"/>
    </w:rPr>
  </w:style>
  <w:style w:type="paragraph" w:customStyle="1" w:styleId="FigureText">
    <w:name w:val="FigureText"/>
    <w:pPr>
      <w:spacing w:after="40"/>
      <w:ind w:left="504" w:right="504"/>
    </w:pPr>
    <w:rPr>
      <w:rFonts w:ascii="Consolas" w:hAnsi="Consolas"/>
      <w:sz w:val="17"/>
    </w:rPr>
  </w:style>
  <w:style w:type="paragraph" w:customStyle="1" w:styleId="SmallNote">
    <w:name w:val="SmallNote"/>
    <w:pPr>
      <w:spacing w:after="120" w:line="240" w:lineRule="auto"/>
    </w:pPr>
    <w:rPr>
      <w:rFonts w:ascii="Arial" w:hAnsi="Arial"/>
      <w:i/>
      <w:color w:val="000000"/>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Information: From surveillance maturity to analytical readiness</dc:title>
  <dc:subject/>
  <dc:creator>Johan G. L. Verheyden; Célestin Nzanzu Mudogo; Wolfgang Jacquet</dc:creator>
  <cp:keywords/>
  <dc:description>generated by python-docx</dc:description>
  <cp:lastModifiedBy/>
  <cp:revision>1</cp:revision>
  <dcterms:created xsi:type="dcterms:W3CDTF">2013-12-23T23:15:00Z</dcterms:created>
  <dcterms:modified xsi:type="dcterms:W3CDTF">2013-12-23T23:15:00Z</dcterms:modified>
  <cp:category/>
</cp:coreProperties>
</file>