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F92" w:rsidRDefault="00996F92" w:rsidP="00996F92">
      <w:pPr>
        <w:spacing w:beforeLines="50" w:before="156"/>
        <w:rPr>
          <w:rFonts w:ascii="Times New Roman" w:hAnsi="Times New Roman" w:cs="Times New Roman"/>
          <w:sz w:val="20"/>
          <w:szCs w:val="20"/>
        </w:rPr>
        <w:sectPr w:rsidR="00996F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6FF3499" wp14:editId="7791AC18">
            <wp:simplePos x="0" y="0"/>
            <wp:positionH relativeFrom="page">
              <wp:posOffset>1205230</wp:posOffset>
            </wp:positionH>
            <wp:positionV relativeFrom="paragraph">
              <wp:posOffset>5080</wp:posOffset>
            </wp:positionV>
            <wp:extent cx="5147945" cy="6581140"/>
            <wp:effectExtent l="0" t="0" r="0" b="0"/>
            <wp:wrapTopAndBottom/>
            <wp:docPr id="10516359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635914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658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0F2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1. </w:t>
      </w:r>
      <w:r w:rsidRPr="00EF60F2">
        <w:rPr>
          <w:rFonts w:ascii="Times New Roman" w:hAnsi="Times New Roman" w:cs="Times New Roman"/>
          <w:sz w:val="20"/>
          <w:szCs w:val="20"/>
        </w:rPr>
        <w:t>Identification of DEGs between two clusters and functional enrichment analysis. (</w:t>
      </w:r>
      <w:r w:rsidRPr="00A31821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EF60F2">
        <w:rPr>
          <w:rFonts w:ascii="Times New Roman" w:hAnsi="Times New Roman" w:cs="Times New Roman"/>
          <w:sz w:val="20"/>
          <w:szCs w:val="20"/>
        </w:rPr>
        <w:t>) Exhibition of DEGs in the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F60F2">
        <w:rPr>
          <w:rFonts w:ascii="Times New Roman" w:hAnsi="Times New Roman" w:cs="Times New Roman"/>
          <w:sz w:val="20"/>
          <w:szCs w:val="20"/>
        </w:rPr>
        <w:t>TCGA-GBMLGG dataset between two clusters using volcano plot. (</w:t>
      </w:r>
      <w:r w:rsidRPr="00A31821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EF60F2">
        <w:rPr>
          <w:rFonts w:ascii="Times New Roman" w:hAnsi="Times New Roman" w:cs="Times New Roman"/>
          <w:sz w:val="20"/>
          <w:szCs w:val="20"/>
        </w:rPr>
        <w:t>) The heatmap displaying the expression of DEGs. (</w:t>
      </w:r>
      <w:r w:rsidRPr="00A31821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EF60F2">
        <w:rPr>
          <w:rFonts w:ascii="Times New Roman" w:hAnsi="Times New Roman" w:cs="Times New Roman"/>
          <w:sz w:val="20"/>
          <w:szCs w:val="20"/>
        </w:rPr>
        <w:t>) GO and (</w:t>
      </w:r>
      <w:r w:rsidRPr="00A31821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EF60F2">
        <w:rPr>
          <w:rFonts w:ascii="Times New Roman" w:hAnsi="Times New Roman" w:cs="Times New Roman"/>
          <w:sz w:val="20"/>
          <w:szCs w:val="20"/>
        </w:rPr>
        <w:t>) KEGG pathway enrichment results for differentially upregulated genes, as well as (</w:t>
      </w:r>
      <w:r w:rsidRPr="00A31821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EF60F2">
        <w:rPr>
          <w:rFonts w:ascii="Times New Roman" w:hAnsi="Times New Roman" w:cs="Times New Roman"/>
          <w:sz w:val="20"/>
          <w:szCs w:val="20"/>
        </w:rPr>
        <w:t>) GO and (</w:t>
      </w:r>
      <w:r w:rsidRPr="00A31821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EF60F2">
        <w:rPr>
          <w:rFonts w:ascii="Times New Roman" w:hAnsi="Times New Roman" w:cs="Times New Roman"/>
          <w:sz w:val="20"/>
          <w:szCs w:val="20"/>
        </w:rPr>
        <w:t>) KEGG pathway enrichment results for differentially downregulated genes.</w:t>
      </w:r>
    </w:p>
    <w:p w:rsidR="00AE3557" w:rsidRDefault="00996F92" w:rsidP="00996F9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2A83FEBE" wp14:editId="24D099C3">
            <wp:simplePos x="0" y="0"/>
            <wp:positionH relativeFrom="page">
              <wp:align>center</wp:align>
            </wp:positionH>
            <wp:positionV relativeFrom="paragraph">
              <wp:posOffset>181</wp:posOffset>
            </wp:positionV>
            <wp:extent cx="4510405" cy="8056245"/>
            <wp:effectExtent l="0" t="0" r="0" b="0"/>
            <wp:wrapTopAndBottom/>
            <wp:docPr id="5181288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128899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638" cy="805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60F2">
        <w:rPr>
          <w:rFonts w:ascii="Times New Roman" w:hAnsi="Times New Roman" w:cs="Times New Roman"/>
          <w:b/>
          <w:bCs/>
          <w:sz w:val="20"/>
          <w:szCs w:val="20"/>
        </w:rPr>
        <w:t>Supplementary Figure 2.</w:t>
      </w:r>
      <w:r w:rsidRPr="00EF60F2">
        <w:rPr>
          <w:rFonts w:ascii="Times New Roman" w:hAnsi="Times New Roman" w:cs="Times New Roman"/>
          <w:sz w:val="20"/>
          <w:szCs w:val="20"/>
        </w:rPr>
        <w:t xml:space="preserve"> (</w:t>
      </w:r>
      <w:r w:rsidRPr="00EF60F2">
        <w:rPr>
          <w:rFonts w:ascii="Times New Roman" w:hAnsi="Times New Roman" w:cs="Times New Roman"/>
          <w:b/>
          <w:bCs/>
          <w:sz w:val="20"/>
          <w:szCs w:val="20"/>
        </w:rPr>
        <w:t>A-B</w:t>
      </w:r>
      <w:r w:rsidRPr="00EF60F2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41D39">
        <w:rPr>
          <w:rFonts w:ascii="Times New Roman" w:hAnsi="Times New Roman" w:cs="Times New Roman"/>
          <w:sz w:val="20"/>
          <w:szCs w:val="20"/>
        </w:rPr>
        <w:t>Cohort summary plot portraying the distribution of variants according to their classification, variant type, and single-nucleotide variant (SNV) category. The lower part (progressing from left to right) denotes the mutation load for each sample as well as the type of variant classification. Moreover, a stacked bar plot demonstrates the 10 genes with the highest mutation counts.</w:t>
      </w:r>
    </w:p>
    <w:p w:rsidR="00AE3557" w:rsidRDefault="00AE3557" w:rsidP="00AE355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-82194</wp:posOffset>
            </wp:positionH>
            <wp:positionV relativeFrom="paragraph">
              <wp:posOffset>73054</wp:posOffset>
            </wp:positionV>
            <wp:extent cx="5274000" cy="2581200"/>
            <wp:effectExtent l="0" t="0" r="0" b="0"/>
            <wp:wrapTopAndBottom/>
            <wp:docPr id="1352441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4160" name="图片 1352441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5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60DF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3. </w:t>
      </w:r>
      <w:r w:rsidR="006168D8" w:rsidRPr="00155EE0">
        <w:rPr>
          <w:rFonts w:ascii="Times New Roman" w:hAnsi="Times New Roman" w:cs="Times New Roman" w:hint="eastAsia"/>
          <w:sz w:val="20"/>
          <w:szCs w:val="20"/>
        </w:rPr>
        <w:t>SHAP interpretability analysis. (</w:t>
      </w:r>
      <w:r w:rsidR="006168D8" w:rsidRPr="00155EE0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="006168D8" w:rsidRPr="00155EE0">
        <w:rPr>
          <w:rFonts w:ascii="Times New Roman" w:hAnsi="Times New Roman" w:cs="Times New Roman" w:hint="eastAsia"/>
          <w:sz w:val="20"/>
          <w:szCs w:val="20"/>
        </w:rPr>
        <w:t xml:space="preserve">) Bar graph presenting the relative importance of </w:t>
      </w:r>
      <w:r w:rsidR="006168D8">
        <w:rPr>
          <w:rFonts w:ascii="Times New Roman" w:hAnsi="Times New Roman" w:cs="Times New Roman"/>
          <w:sz w:val="20"/>
          <w:szCs w:val="20"/>
        </w:rPr>
        <w:t>10</w:t>
      </w:r>
      <w:r w:rsidR="006168D8" w:rsidRPr="00DA70EB">
        <w:rPr>
          <w:rFonts w:ascii="Times New Roman" w:hAnsi="Times New Roman" w:cs="Times New Roman"/>
          <w:sz w:val="20"/>
          <w:szCs w:val="20"/>
        </w:rPr>
        <w:t xml:space="preserve"> </w:t>
      </w:r>
      <w:r w:rsidR="006168D8" w:rsidRPr="0031453B">
        <w:rPr>
          <w:rFonts w:ascii="Times New Roman" w:hAnsi="Times New Roman" w:cs="Times New Roman"/>
          <w:color w:val="000000"/>
          <w:sz w:val="20"/>
          <w:szCs w:val="20"/>
        </w:rPr>
        <w:t>CRF-associated genes (CAGs)</w:t>
      </w:r>
      <w:r w:rsidR="006168D8" w:rsidRPr="00155EE0">
        <w:rPr>
          <w:rFonts w:ascii="Times New Roman" w:hAnsi="Times New Roman" w:cs="Times New Roman" w:hint="eastAsia"/>
          <w:sz w:val="20"/>
          <w:szCs w:val="20"/>
        </w:rPr>
        <w:t>.</w:t>
      </w:r>
      <w:r w:rsidR="006168D8" w:rsidRPr="006168D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168D8" w:rsidRPr="00155EE0">
        <w:rPr>
          <w:rFonts w:ascii="Times New Roman" w:hAnsi="Times New Roman" w:cs="Times New Roman" w:hint="eastAsia"/>
          <w:sz w:val="20"/>
          <w:szCs w:val="20"/>
        </w:rPr>
        <w:t>(</w:t>
      </w:r>
      <w:r w:rsidR="006168D8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6168D8" w:rsidRPr="00155EE0">
        <w:rPr>
          <w:rFonts w:ascii="Times New Roman" w:hAnsi="Times New Roman" w:cs="Times New Roman" w:hint="eastAsia"/>
          <w:sz w:val="20"/>
          <w:szCs w:val="20"/>
        </w:rPr>
        <w:t xml:space="preserve">) The </w:t>
      </w:r>
      <w:proofErr w:type="spellStart"/>
      <w:r w:rsidR="006168D8" w:rsidRPr="00155EE0">
        <w:rPr>
          <w:rFonts w:ascii="Times New Roman" w:hAnsi="Times New Roman" w:cs="Times New Roman" w:hint="eastAsia"/>
          <w:sz w:val="20"/>
          <w:szCs w:val="20"/>
        </w:rPr>
        <w:t>beeswarm</w:t>
      </w:r>
      <w:proofErr w:type="spellEnd"/>
      <w:r w:rsidR="006168D8" w:rsidRPr="00155EE0">
        <w:rPr>
          <w:rFonts w:ascii="Times New Roman" w:hAnsi="Times New Roman" w:cs="Times New Roman" w:hint="eastAsia"/>
          <w:sz w:val="20"/>
          <w:szCs w:val="20"/>
        </w:rPr>
        <w:t xml:space="preserve"> plot showing gene expression distributions across conditions.</w:t>
      </w:r>
    </w:p>
    <w:p w:rsidR="00AE3557" w:rsidRDefault="00AE355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AE3557" w:rsidRDefault="00AE3557" w:rsidP="00AE3557">
      <w:pPr>
        <w:rPr>
          <w:rFonts w:ascii="Times New Roman" w:hAnsi="Times New Roman" w:cs="Times New Roman"/>
          <w:sz w:val="20"/>
          <w:szCs w:val="20"/>
        </w:rPr>
      </w:pPr>
      <w:r w:rsidRPr="001B35FB">
        <w:rPr>
          <w:rFonts w:ascii="Times New Roman" w:hAnsi="Times New Roman" w:cs="Times New Roman" w:hint="eastAsia"/>
          <w:noProof/>
          <w:sz w:val="20"/>
          <w:szCs w:val="20"/>
          <w:highlight w:val="yellow"/>
        </w:rPr>
        <w:lastRenderedPageBreak/>
        <w:drawing>
          <wp:anchor distT="0" distB="0" distL="114300" distR="114300" simplePos="0" relativeHeight="251673600" behindDoc="0" locked="0" layoutInCell="1" allowOverlap="1" wp14:anchorId="435E2D9A" wp14:editId="0F0856AC">
            <wp:simplePos x="0" y="0"/>
            <wp:positionH relativeFrom="page">
              <wp:align>center</wp:align>
            </wp:positionH>
            <wp:positionV relativeFrom="paragraph">
              <wp:posOffset>139</wp:posOffset>
            </wp:positionV>
            <wp:extent cx="4585335" cy="7077075"/>
            <wp:effectExtent l="0" t="0" r="0" b="0"/>
            <wp:wrapTopAndBottom/>
            <wp:docPr id="18413887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88771" name="图片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624" cy="70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60DF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3B60DF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A9480D">
        <w:rPr>
          <w:rFonts w:ascii="Times New Roman" w:hAnsi="Times New Roman" w:cs="Times New Roman"/>
          <w:sz w:val="20"/>
          <w:szCs w:val="20"/>
        </w:rPr>
        <w:t>The CRRS exhibited a correlation with the clinicopathological features of glioma patients in the TCGA-GBMLGG dataset.</w:t>
      </w:r>
      <w:r w:rsidRPr="00973787">
        <w:rPr>
          <w:rFonts w:ascii="Times New Roman" w:hAnsi="Times New Roman" w:cs="Times New Roman"/>
          <w:sz w:val="20"/>
          <w:szCs w:val="20"/>
        </w:rPr>
        <w:t xml:space="preserve"> (</w:t>
      </w:r>
      <w:r w:rsidRPr="00D40CD7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973787">
        <w:rPr>
          <w:rFonts w:ascii="Times New Roman" w:hAnsi="Times New Roman" w:cs="Times New Roman"/>
          <w:sz w:val="20"/>
          <w:szCs w:val="20"/>
        </w:rPr>
        <w:t xml:space="preserve">) Heatmap for the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973787">
        <w:rPr>
          <w:rFonts w:ascii="Times New Roman" w:hAnsi="Times New Roman" w:cs="Times New Roman"/>
          <w:sz w:val="20"/>
          <w:szCs w:val="20"/>
        </w:rPr>
        <w:t xml:space="preserve">RRS and clinicopathological manifestation. Boxplot of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973787">
        <w:rPr>
          <w:rFonts w:ascii="Times New Roman" w:hAnsi="Times New Roman" w:cs="Times New Roman"/>
          <w:sz w:val="20"/>
          <w:szCs w:val="20"/>
        </w:rPr>
        <w:t xml:space="preserve">RRS in glioma patients with different ages, WHO grades, IDH mutation status,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973787">
        <w:rPr>
          <w:rFonts w:ascii="Times New Roman" w:hAnsi="Times New Roman" w:cs="Times New Roman"/>
          <w:sz w:val="20"/>
          <w:szCs w:val="20"/>
        </w:rPr>
        <w:t>1p/19q codeletion status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73787">
        <w:rPr>
          <w:rFonts w:ascii="Times New Roman" w:hAnsi="Times New Roman" w:cs="Times New Roman"/>
          <w:sz w:val="20"/>
          <w:szCs w:val="20"/>
        </w:rPr>
        <w:t>among (</w:t>
      </w:r>
      <w:r w:rsidRPr="00D40CD7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973787">
        <w:rPr>
          <w:rFonts w:ascii="Times New Roman" w:hAnsi="Times New Roman" w:cs="Times New Roman"/>
          <w:sz w:val="20"/>
          <w:szCs w:val="20"/>
        </w:rPr>
        <w:t>) TCGA-GBMLGG, (</w:t>
      </w:r>
      <w:r w:rsidRPr="00D40CD7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973787">
        <w:rPr>
          <w:rFonts w:ascii="Times New Roman" w:hAnsi="Times New Roman" w:cs="Times New Roman"/>
          <w:sz w:val="20"/>
          <w:szCs w:val="20"/>
        </w:rPr>
        <w:t>) CGGA_3</w:t>
      </w:r>
      <w:r>
        <w:rPr>
          <w:rFonts w:ascii="Times New Roman" w:hAnsi="Times New Roman" w:cs="Times New Roman"/>
          <w:sz w:val="20"/>
          <w:szCs w:val="20"/>
        </w:rPr>
        <w:t>01</w:t>
      </w:r>
      <w:r w:rsidRPr="00973787">
        <w:rPr>
          <w:rFonts w:ascii="Times New Roman" w:hAnsi="Times New Roman" w:cs="Times New Roman"/>
          <w:sz w:val="20"/>
          <w:szCs w:val="20"/>
        </w:rPr>
        <w:t>, and (</w:t>
      </w:r>
      <w:r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973787">
        <w:rPr>
          <w:rFonts w:ascii="Times New Roman" w:hAnsi="Times New Roman" w:cs="Times New Roman"/>
          <w:sz w:val="20"/>
          <w:szCs w:val="20"/>
        </w:rPr>
        <w:t xml:space="preserve">) CGGA_693 datasets. * </w:t>
      </w:r>
      <w:r w:rsidRPr="009818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973787">
        <w:rPr>
          <w:rFonts w:ascii="Times New Roman" w:hAnsi="Times New Roman" w:cs="Times New Roman"/>
          <w:sz w:val="20"/>
          <w:szCs w:val="20"/>
        </w:rPr>
        <w:t xml:space="preserve"> &lt; 0.05, ** </w:t>
      </w:r>
      <w:r w:rsidRPr="009818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973787">
        <w:rPr>
          <w:rFonts w:ascii="Times New Roman" w:hAnsi="Times New Roman" w:cs="Times New Roman"/>
          <w:sz w:val="20"/>
          <w:szCs w:val="20"/>
        </w:rPr>
        <w:t xml:space="preserve"> &lt; 0.01, *** </w:t>
      </w:r>
      <w:r w:rsidRPr="0098186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973787">
        <w:rPr>
          <w:rFonts w:ascii="Times New Roman" w:hAnsi="Times New Roman" w:cs="Times New Roman"/>
          <w:sz w:val="20"/>
          <w:szCs w:val="20"/>
        </w:rPr>
        <w:t xml:space="preserve"> &lt; 0.001</w:t>
      </w:r>
      <w:r w:rsidRPr="00C31C0B">
        <w:rPr>
          <w:rFonts w:ascii="Times New Roman" w:hAnsi="Times New Roman" w:cs="Times New Roman"/>
          <w:sz w:val="20"/>
          <w:szCs w:val="20"/>
        </w:rPr>
        <w:t>.</w:t>
      </w:r>
    </w:p>
    <w:p w:rsidR="00996F92" w:rsidRPr="00AE3557" w:rsidRDefault="00996F92" w:rsidP="00AE3557">
      <w:pPr>
        <w:widowControl/>
        <w:jc w:val="left"/>
        <w:rPr>
          <w:rFonts w:ascii="Times New Roman" w:hAnsi="Times New Roman" w:cs="Times New Roman"/>
          <w:sz w:val="20"/>
          <w:szCs w:val="20"/>
        </w:rPr>
        <w:sectPr w:rsidR="00996F92" w:rsidRPr="00AE355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96F92" w:rsidRDefault="00996F92" w:rsidP="00996F9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71A7A667" wp14:editId="47A7B215">
            <wp:simplePos x="0" y="0"/>
            <wp:positionH relativeFrom="page">
              <wp:align>center</wp:align>
            </wp:positionH>
            <wp:positionV relativeFrom="paragraph">
              <wp:posOffset>91</wp:posOffset>
            </wp:positionV>
            <wp:extent cx="5781040" cy="5703570"/>
            <wp:effectExtent l="0" t="0" r="0" b="0"/>
            <wp:wrapTopAndBottom/>
            <wp:docPr id="17559544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95445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00" cy="5704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60DF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AE3557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3B60DF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3B60DF">
        <w:rPr>
          <w:rFonts w:ascii="Times New Roman" w:hAnsi="Times New Roman" w:cs="Times New Roman"/>
          <w:sz w:val="20"/>
          <w:szCs w:val="20"/>
        </w:rPr>
        <w:t xml:space="preserve">Kaplan–Meier survival and differential expression analysis of </w:t>
      </w:r>
      <w:r>
        <w:rPr>
          <w:rFonts w:ascii="Times New Roman" w:hAnsi="Times New Roman" w:cs="Times New Roman"/>
          <w:sz w:val="20"/>
          <w:szCs w:val="20"/>
        </w:rPr>
        <w:t>10 CA</w:t>
      </w:r>
      <w:r w:rsidRPr="003B60DF">
        <w:rPr>
          <w:rFonts w:ascii="Times New Roman" w:hAnsi="Times New Roman" w:cs="Times New Roman"/>
          <w:sz w:val="20"/>
          <w:szCs w:val="20"/>
        </w:rPr>
        <w:t>Gs. (</w:t>
      </w:r>
      <w:r w:rsidRPr="003B60DF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3B60DF">
        <w:rPr>
          <w:rFonts w:ascii="Times New Roman" w:hAnsi="Times New Roman" w:cs="Times New Roman"/>
          <w:sz w:val="20"/>
          <w:szCs w:val="20"/>
        </w:rPr>
        <w:t xml:space="preserve">) A Kaplan–Meier survival analysis of the 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3B60DF">
        <w:rPr>
          <w:rFonts w:ascii="Times New Roman" w:hAnsi="Times New Roman" w:cs="Times New Roman"/>
          <w:sz w:val="20"/>
          <w:szCs w:val="20"/>
        </w:rPr>
        <w:t xml:space="preserve"> genes, showing significant associations with overall survival in the TCGA-GBMLGG cohort. (</w:t>
      </w:r>
      <w:r w:rsidRPr="003B60DF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3B60DF">
        <w:rPr>
          <w:rFonts w:ascii="Times New Roman" w:hAnsi="Times New Roman" w:cs="Times New Roman"/>
          <w:sz w:val="20"/>
          <w:szCs w:val="20"/>
        </w:rPr>
        <w:t xml:space="preserve">) Comparison of mRNA expression levels of 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3B60D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CA</w:t>
      </w:r>
      <w:r w:rsidRPr="003B60DF">
        <w:rPr>
          <w:rFonts w:ascii="Times New Roman" w:hAnsi="Times New Roman" w:cs="Times New Roman"/>
          <w:sz w:val="20"/>
          <w:szCs w:val="20"/>
        </w:rPr>
        <w:t>Gs in glioma. (</w:t>
      </w:r>
      <w:r w:rsidRPr="003B60DF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3B60DF">
        <w:rPr>
          <w:rFonts w:ascii="Times New Roman" w:hAnsi="Times New Roman" w:cs="Times New Roman"/>
          <w:sz w:val="20"/>
          <w:szCs w:val="20"/>
        </w:rPr>
        <w:t>) Comparison of protein expression levels of</w:t>
      </w:r>
      <w:r>
        <w:rPr>
          <w:rFonts w:ascii="Times New Roman" w:hAnsi="Times New Roman" w:cs="Times New Roman"/>
          <w:sz w:val="20"/>
          <w:szCs w:val="20"/>
        </w:rPr>
        <w:t xml:space="preserve"> CA</w:t>
      </w:r>
      <w:r w:rsidRPr="003B60DF">
        <w:rPr>
          <w:rFonts w:ascii="Times New Roman" w:hAnsi="Times New Roman" w:cs="Times New Roman"/>
          <w:sz w:val="20"/>
          <w:szCs w:val="20"/>
        </w:rPr>
        <w:t xml:space="preserve">Gs in GBM. *** </w:t>
      </w:r>
      <w:r w:rsidRPr="003B60D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B60DF">
        <w:rPr>
          <w:rFonts w:ascii="Times New Roman" w:hAnsi="Times New Roman" w:cs="Times New Roman"/>
          <w:sz w:val="20"/>
          <w:szCs w:val="20"/>
        </w:rPr>
        <w:t xml:space="preserve"> &lt; 0.001.</w:t>
      </w:r>
    </w:p>
    <w:p w:rsidR="00996F92" w:rsidRDefault="00996F92" w:rsidP="00996F9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96F92" w:rsidRDefault="00996F92" w:rsidP="00996F92">
      <w:pPr>
        <w:rPr>
          <w:rFonts w:ascii="Times New Roman" w:hAnsi="Times New Roman" w:cs="Times New Roman"/>
          <w:sz w:val="20"/>
          <w:szCs w:val="20"/>
        </w:rPr>
        <w:sectPr w:rsidR="00996F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91D4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Figure </w:t>
      </w:r>
      <w:r w:rsidR="00AE3557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3B60D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3B60DF">
        <w:rPr>
          <w:rFonts w:ascii="Times New Roman" w:hAnsi="Times New Roman" w:cs="Times New Roman"/>
          <w:sz w:val="20"/>
          <w:szCs w:val="20"/>
        </w:rPr>
        <w:t xml:space="preserve"> Immunohistochemistry revealed differential expression of </w:t>
      </w:r>
      <w:r>
        <w:rPr>
          <w:rFonts w:ascii="Times New Roman" w:hAnsi="Times New Roman" w:cs="Times New Roman"/>
          <w:sz w:val="20"/>
          <w:szCs w:val="20"/>
        </w:rPr>
        <w:t>CA</w:t>
      </w:r>
      <w:r w:rsidRPr="003B60DF">
        <w:rPr>
          <w:rFonts w:ascii="Times New Roman" w:hAnsi="Times New Roman" w:cs="Times New Roman"/>
          <w:sz w:val="20"/>
          <w:szCs w:val="20"/>
        </w:rPr>
        <w:t>Gs-corresponding proteins in normal brain tissue, lower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3B60DF">
        <w:rPr>
          <w:rFonts w:ascii="Times New Roman" w:hAnsi="Times New Roman" w:cs="Times New Roman"/>
          <w:sz w:val="20"/>
          <w:szCs w:val="20"/>
        </w:rPr>
        <w:t>grade glioma (LGG), and high-grade glioma (HGG)</w:t>
      </w: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0767A26E" wp14:editId="2DCEFE6C">
            <wp:simplePos x="0" y="0"/>
            <wp:positionH relativeFrom="page">
              <wp:align>center</wp:align>
            </wp:positionH>
            <wp:positionV relativeFrom="paragraph">
              <wp:posOffset>438</wp:posOffset>
            </wp:positionV>
            <wp:extent cx="4500000" cy="7473600"/>
            <wp:effectExtent l="0" t="0" r="0" b="0"/>
            <wp:wrapTopAndBottom/>
            <wp:docPr id="2050550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550328" name="图片 20505503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747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6F92" w:rsidRDefault="00996F92" w:rsidP="00996F92">
      <w:pPr>
        <w:spacing w:afterLines="100" w:after="312"/>
        <w:rPr>
          <w:rFonts w:ascii="Times New Roman" w:hAnsi="Times New Roman" w:cs="Times New Roman"/>
          <w:sz w:val="20"/>
          <w:szCs w:val="20"/>
        </w:rPr>
        <w:sectPr w:rsidR="00996F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7903525E" wp14:editId="0F7BD7E3">
            <wp:simplePos x="0" y="0"/>
            <wp:positionH relativeFrom="page">
              <wp:posOffset>864235</wp:posOffset>
            </wp:positionH>
            <wp:positionV relativeFrom="paragraph">
              <wp:posOffset>0</wp:posOffset>
            </wp:positionV>
            <wp:extent cx="5825490" cy="3966845"/>
            <wp:effectExtent l="0" t="0" r="3810" b="0"/>
            <wp:wrapTopAndBottom/>
            <wp:docPr id="115061597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15972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5490" cy="396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1D4A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AE3557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D91D4A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D91D4A">
        <w:rPr>
          <w:rFonts w:ascii="Times New Roman" w:hAnsi="Times New Roman" w:cs="Times New Roman"/>
          <w:sz w:val="20"/>
          <w:szCs w:val="20"/>
        </w:rPr>
        <w:t xml:space="preserve">Differential expression analysis of immune checkpoint genes between low- and </w:t>
      </w:r>
      <w:r>
        <w:rPr>
          <w:rFonts w:ascii="Times New Roman" w:hAnsi="Times New Roman" w:cs="Times New Roman"/>
          <w:sz w:val="20"/>
          <w:szCs w:val="20"/>
        </w:rPr>
        <w:t>high</w:t>
      </w:r>
      <w:r w:rsidRPr="00D91D4A">
        <w:rPr>
          <w:rFonts w:ascii="Times New Roman" w:hAnsi="Times New Roman" w:cs="Times New Roman"/>
          <w:sz w:val="20"/>
          <w:szCs w:val="20"/>
        </w:rPr>
        <w:t>-risk groups based on the (</w:t>
      </w:r>
      <w:r w:rsidRPr="00D91D4A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D91D4A">
        <w:rPr>
          <w:rFonts w:ascii="Times New Roman" w:hAnsi="Times New Roman" w:cs="Times New Roman"/>
          <w:sz w:val="20"/>
          <w:szCs w:val="20"/>
        </w:rPr>
        <w:t>) TCGA-GBMLGG, (</w:t>
      </w:r>
      <w:r w:rsidRPr="00D91D4A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D91D4A">
        <w:rPr>
          <w:rFonts w:ascii="Times New Roman" w:hAnsi="Times New Roman" w:cs="Times New Roman"/>
          <w:sz w:val="20"/>
          <w:szCs w:val="20"/>
        </w:rPr>
        <w:t>) CGGA_301, and (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D91D4A">
        <w:rPr>
          <w:rFonts w:ascii="Times New Roman" w:hAnsi="Times New Roman" w:cs="Times New Roman"/>
          <w:sz w:val="20"/>
          <w:szCs w:val="20"/>
        </w:rPr>
        <w:t xml:space="preserve">) CGGA_693 cohorts. Differential expression analysis of MHC between low- and </w:t>
      </w:r>
      <w:r>
        <w:rPr>
          <w:rFonts w:ascii="Times New Roman" w:hAnsi="Times New Roman" w:cs="Times New Roman"/>
          <w:sz w:val="20"/>
          <w:szCs w:val="20"/>
        </w:rPr>
        <w:t>high</w:t>
      </w:r>
      <w:r w:rsidRPr="00D91D4A">
        <w:rPr>
          <w:rFonts w:ascii="Times New Roman" w:hAnsi="Times New Roman" w:cs="Times New Roman"/>
          <w:sz w:val="20"/>
          <w:szCs w:val="20"/>
        </w:rPr>
        <w:t>-risk groups based on the (</w:t>
      </w:r>
      <w:r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D91D4A">
        <w:rPr>
          <w:rFonts w:ascii="Times New Roman" w:hAnsi="Times New Roman" w:cs="Times New Roman"/>
          <w:sz w:val="20"/>
          <w:szCs w:val="20"/>
        </w:rPr>
        <w:t>) TCGA-GBMLGG, (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D91D4A">
        <w:rPr>
          <w:rFonts w:ascii="Times New Roman" w:hAnsi="Times New Roman" w:cs="Times New Roman"/>
          <w:sz w:val="20"/>
          <w:szCs w:val="20"/>
        </w:rPr>
        <w:t>) CGGA_301, and (</w:t>
      </w:r>
      <w:r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D91D4A">
        <w:rPr>
          <w:rFonts w:ascii="Times New Roman" w:hAnsi="Times New Roman" w:cs="Times New Roman"/>
          <w:sz w:val="20"/>
          <w:szCs w:val="20"/>
        </w:rPr>
        <w:t xml:space="preserve">) CGGA_693 cohorts. Differential expression analysis of T-cell stimulators between low- and </w:t>
      </w:r>
      <w:r>
        <w:rPr>
          <w:rFonts w:ascii="Times New Roman" w:hAnsi="Times New Roman" w:cs="Times New Roman"/>
          <w:sz w:val="20"/>
          <w:szCs w:val="20"/>
        </w:rPr>
        <w:t>high</w:t>
      </w:r>
      <w:r w:rsidRPr="00D91D4A">
        <w:rPr>
          <w:rFonts w:ascii="Times New Roman" w:hAnsi="Times New Roman" w:cs="Times New Roman"/>
          <w:sz w:val="20"/>
          <w:szCs w:val="20"/>
        </w:rPr>
        <w:t>-risk groups based on the (</w:t>
      </w:r>
      <w:r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Pr="00D91D4A">
        <w:rPr>
          <w:rFonts w:ascii="Times New Roman" w:hAnsi="Times New Roman" w:cs="Times New Roman"/>
          <w:sz w:val="20"/>
          <w:szCs w:val="20"/>
        </w:rPr>
        <w:t>) TCGA-GBMLGG, (</w:t>
      </w:r>
      <w:r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Pr="00D91D4A">
        <w:rPr>
          <w:rFonts w:ascii="Times New Roman" w:hAnsi="Times New Roman" w:cs="Times New Roman"/>
          <w:sz w:val="20"/>
          <w:szCs w:val="20"/>
        </w:rPr>
        <w:t>) CGGA_301, and (</w:t>
      </w:r>
      <w:r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D91D4A">
        <w:rPr>
          <w:rFonts w:ascii="Times New Roman" w:hAnsi="Times New Roman" w:cs="Times New Roman"/>
          <w:sz w:val="20"/>
          <w:szCs w:val="20"/>
        </w:rPr>
        <w:t xml:space="preserve">) CGGA_693 cohorts. * </w:t>
      </w:r>
      <w:r w:rsidRPr="00D91D4A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D91D4A">
        <w:rPr>
          <w:rFonts w:ascii="Times New Roman" w:hAnsi="Times New Roman" w:cs="Times New Roman"/>
          <w:sz w:val="20"/>
          <w:szCs w:val="20"/>
        </w:rPr>
        <w:t xml:space="preserve"> &lt; 0.05, ** </w:t>
      </w:r>
      <w:r w:rsidRPr="00D91D4A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D91D4A">
        <w:rPr>
          <w:rFonts w:ascii="Times New Roman" w:hAnsi="Times New Roman" w:cs="Times New Roman"/>
          <w:sz w:val="20"/>
          <w:szCs w:val="20"/>
        </w:rPr>
        <w:t xml:space="preserve"> &lt; 0.01, *** </w:t>
      </w:r>
      <w:r w:rsidRPr="00D91D4A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D91D4A">
        <w:rPr>
          <w:rFonts w:ascii="Times New Roman" w:hAnsi="Times New Roman" w:cs="Times New Roman"/>
          <w:sz w:val="20"/>
          <w:szCs w:val="20"/>
        </w:rPr>
        <w:t xml:space="preserve"> &lt; 0.001, NS, not significant.</w:t>
      </w:r>
    </w:p>
    <w:p w:rsidR="00996F92" w:rsidRDefault="00996F92" w:rsidP="00996F92">
      <w:pPr>
        <w:spacing w:afterLines="100" w:after="3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0" locked="0" layoutInCell="1" allowOverlap="1" wp14:anchorId="1D15DD22" wp14:editId="6AD127A2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864400" cy="2977200"/>
            <wp:effectExtent l="0" t="0" r="3175" b="0"/>
            <wp:wrapTopAndBottom/>
            <wp:docPr id="3983870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387040" name="图片 39838704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400" cy="29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1D4A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AE3557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D91D4A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D91D4A">
        <w:rPr>
          <w:rFonts w:ascii="Times New Roman" w:hAnsi="Times New Roman" w:cs="Times New Roman"/>
          <w:sz w:val="20"/>
          <w:szCs w:val="20"/>
        </w:rPr>
        <w:t xml:space="preserve">Relationships between </w:t>
      </w:r>
      <w:r>
        <w:rPr>
          <w:rFonts w:ascii="Times New Roman" w:hAnsi="Times New Roman" w:cs="Times New Roman" w:hint="eastAsia"/>
          <w:sz w:val="20"/>
          <w:szCs w:val="20"/>
        </w:rPr>
        <w:t>CA</w:t>
      </w:r>
      <w:r w:rsidRPr="00D91D4A">
        <w:rPr>
          <w:rFonts w:ascii="Times New Roman" w:hAnsi="Times New Roman" w:cs="Times New Roman"/>
          <w:sz w:val="20"/>
          <w:szCs w:val="20"/>
        </w:rPr>
        <w:t>Gs expression profiles and the infiltration levels of 24 immune cell types.</w:t>
      </w:r>
    </w:p>
    <w:p w:rsidR="00996F92" w:rsidRDefault="00996F92" w:rsidP="00996F9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96F92" w:rsidRDefault="00996F92" w:rsidP="00996F92">
      <w:pPr>
        <w:spacing w:afterLines="100" w:after="3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0" locked="0" layoutInCell="1" allowOverlap="1" wp14:anchorId="74EA5A39" wp14:editId="5D943DF5">
            <wp:simplePos x="0" y="0"/>
            <wp:positionH relativeFrom="page">
              <wp:align>center</wp:align>
            </wp:positionH>
            <wp:positionV relativeFrom="paragraph">
              <wp:posOffset>38297</wp:posOffset>
            </wp:positionV>
            <wp:extent cx="5648400" cy="4788000"/>
            <wp:effectExtent l="0" t="0" r="3175" b="0"/>
            <wp:wrapTopAndBottom/>
            <wp:docPr id="5764425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442572" name="图片 57644257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47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1D4A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 w:rsidR="00AE3557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D91D4A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45459">
        <w:rPr>
          <w:rFonts w:ascii="Times New Roman" w:hAnsi="Times New Roman" w:cs="Times New Roman"/>
          <w:sz w:val="20"/>
          <w:szCs w:val="20"/>
        </w:rPr>
        <w:t xml:space="preserve">Correlations between </w:t>
      </w:r>
      <w:r>
        <w:rPr>
          <w:rFonts w:ascii="Times New Roman" w:hAnsi="Times New Roman" w:cs="Times New Roman"/>
          <w:sz w:val="20"/>
          <w:szCs w:val="20"/>
        </w:rPr>
        <w:t>CAGs</w:t>
      </w:r>
      <w:r w:rsidRPr="00F45459">
        <w:rPr>
          <w:rFonts w:ascii="Times New Roman" w:hAnsi="Times New Roman" w:cs="Times New Roman"/>
          <w:sz w:val="20"/>
          <w:szCs w:val="20"/>
        </w:rPr>
        <w:t xml:space="preserve"> and cancer functional status.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11BCC">
        <w:rPr>
          <w:rFonts w:ascii="Times New Roman" w:hAnsi="Times New Roman" w:cs="Times New Roman"/>
          <w:sz w:val="20"/>
          <w:szCs w:val="20"/>
        </w:rPr>
        <w:t>(</w:t>
      </w:r>
      <w:r w:rsidRPr="00D40CD7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911BCC">
        <w:rPr>
          <w:rFonts w:ascii="Times New Roman" w:hAnsi="Times New Roman" w:cs="Times New Roman"/>
          <w:sz w:val="20"/>
          <w:szCs w:val="20"/>
        </w:rPr>
        <w:t>)</w:t>
      </w:r>
      <w:r w:rsidRPr="0092248D">
        <w:t xml:space="preserve"> </w:t>
      </w:r>
      <w:r w:rsidRPr="00F45459">
        <w:rPr>
          <w:rFonts w:ascii="Times New Roman" w:hAnsi="Times New Roman" w:cs="Times New Roman"/>
          <w:sz w:val="20"/>
          <w:szCs w:val="20"/>
        </w:rPr>
        <w:t>Heatmap showing the correlation of CAGs with functional status in GBM.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A595D">
        <w:rPr>
          <w:rFonts w:ascii="Times New Roman" w:hAnsi="Times New Roman" w:cs="Times New Roman"/>
          <w:sz w:val="20"/>
          <w:szCs w:val="20"/>
        </w:rPr>
        <w:t xml:space="preserve">The correlation of </w:t>
      </w:r>
      <w:r w:rsidRPr="00911BC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911BC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BDNF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11BC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911BC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CXCL8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11BC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911BC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CXCL10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11BC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911BC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2248D">
        <w:rPr>
          <w:rFonts w:ascii="Times New Roman" w:hAnsi="Times New Roman" w:cs="Times New Roman"/>
          <w:i/>
          <w:iCs/>
          <w:sz w:val="20"/>
          <w:szCs w:val="20"/>
        </w:rPr>
        <w:t>IRF</w:t>
      </w:r>
      <w:r>
        <w:rPr>
          <w:rFonts w:ascii="Times New Roman" w:hAnsi="Times New Roman" w:cs="Times New Roman"/>
          <w:i/>
          <w:iCs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11BC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911BC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IGFBP3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11BC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Pr="00911BC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IL9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11BC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Pr="00911BC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2248D">
        <w:rPr>
          <w:rFonts w:ascii="Times New Roman" w:hAnsi="Times New Roman" w:cs="Times New Roman"/>
          <w:i/>
          <w:iCs/>
          <w:sz w:val="20"/>
          <w:szCs w:val="20"/>
        </w:rPr>
        <w:t>IRF7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A595D">
        <w:rPr>
          <w:rFonts w:ascii="Times New Roman" w:hAnsi="Times New Roman" w:cs="Times New Roman"/>
          <w:sz w:val="20"/>
          <w:szCs w:val="20"/>
        </w:rPr>
        <w:t xml:space="preserve"> </w:t>
      </w:r>
      <w:r w:rsidRPr="00911BC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911BC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PER</w:t>
      </w:r>
      <w:r w:rsidRPr="0092248D">
        <w:rPr>
          <w:rFonts w:ascii="Times New Roman" w:hAnsi="Times New Roman" w:cs="Times New Roman"/>
          <w:i/>
          <w:iCs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11BC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J</w:t>
      </w:r>
      <w:r w:rsidRPr="00911BC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RELA</w:t>
      </w:r>
      <w:r>
        <w:rPr>
          <w:rFonts w:ascii="Times New Roman" w:hAnsi="Times New Roman" w:cs="Times New Roman"/>
          <w:sz w:val="20"/>
          <w:szCs w:val="20"/>
        </w:rPr>
        <w:t xml:space="preserve">, and </w:t>
      </w:r>
      <w:r w:rsidRPr="00911BC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K</w:t>
      </w:r>
      <w:r w:rsidRPr="00911BC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VEGFA </w:t>
      </w:r>
      <w:r w:rsidRPr="002A595D">
        <w:rPr>
          <w:rFonts w:ascii="Times New Roman" w:hAnsi="Times New Roman" w:cs="Times New Roman"/>
          <w:sz w:val="20"/>
          <w:szCs w:val="20"/>
        </w:rPr>
        <w:t>with the functional state in</w:t>
      </w:r>
      <w:r>
        <w:rPr>
          <w:rFonts w:ascii="Times New Roman" w:hAnsi="Times New Roman" w:cs="Times New Roman"/>
          <w:sz w:val="20"/>
          <w:szCs w:val="20"/>
        </w:rPr>
        <w:t xml:space="preserve"> GBM.</w:t>
      </w:r>
      <w:r w:rsidRPr="006C08FC">
        <w:rPr>
          <w:rFonts w:ascii="Times New Roman" w:hAnsi="Times New Roman" w:cs="Times New Roman"/>
          <w:sz w:val="20"/>
          <w:szCs w:val="20"/>
        </w:rPr>
        <w:t xml:space="preserve"> </w:t>
      </w:r>
      <w:r w:rsidRPr="00911BCC">
        <w:rPr>
          <w:rFonts w:ascii="Times New Roman" w:hAnsi="Times New Roman" w:cs="Times New Roman"/>
          <w:sz w:val="20"/>
          <w:szCs w:val="20"/>
        </w:rPr>
        <w:t xml:space="preserve">* </w:t>
      </w:r>
      <w:r w:rsidRPr="00911BC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911BCC">
        <w:rPr>
          <w:rFonts w:ascii="Times New Roman" w:hAnsi="Times New Roman" w:cs="Times New Roman"/>
          <w:sz w:val="20"/>
          <w:szCs w:val="20"/>
        </w:rPr>
        <w:t xml:space="preserve"> &lt; 0.05, ** </w:t>
      </w:r>
      <w:r w:rsidRPr="00911BC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911BCC">
        <w:rPr>
          <w:rFonts w:ascii="Times New Roman" w:hAnsi="Times New Roman" w:cs="Times New Roman"/>
          <w:sz w:val="20"/>
          <w:szCs w:val="20"/>
        </w:rPr>
        <w:t xml:space="preserve"> &lt; 0.01, *** </w:t>
      </w:r>
      <w:r w:rsidRPr="00911BCC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911BCC">
        <w:rPr>
          <w:rFonts w:ascii="Times New Roman" w:hAnsi="Times New Roman" w:cs="Times New Roman"/>
          <w:sz w:val="20"/>
          <w:szCs w:val="20"/>
        </w:rPr>
        <w:t xml:space="preserve"> &lt; 0.001.</w:t>
      </w:r>
    </w:p>
    <w:p w:rsidR="00F842AB" w:rsidRDefault="00F842A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F842AB" w:rsidRDefault="00F842AB" w:rsidP="00F842AB">
      <w:pPr>
        <w:spacing w:beforeLines="50" w:before="156"/>
        <w:rPr>
          <w:rFonts w:ascii="Times New Roman" w:hAnsi="Times New Roman" w:cs="Times New Roman"/>
          <w:sz w:val="20"/>
          <w:szCs w:val="20"/>
        </w:rPr>
        <w:sectPr w:rsidR="00F842A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anchor distT="0" distB="0" distL="114300" distR="114300" simplePos="0" relativeHeight="251675648" behindDoc="0" locked="0" layoutInCell="1" allowOverlap="1" wp14:anchorId="4E2613EB" wp14:editId="25D6F2BE">
            <wp:simplePos x="0" y="0"/>
            <wp:positionH relativeFrom="page">
              <wp:align>center</wp:align>
            </wp:positionH>
            <wp:positionV relativeFrom="page">
              <wp:posOffset>180340</wp:posOffset>
            </wp:positionV>
            <wp:extent cx="5781040" cy="7780655"/>
            <wp:effectExtent l="0" t="0" r="0" b="4445"/>
            <wp:wrapTopAndBottom/>
            <wp:docPr id="49385659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856596" name="图片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00" cy="7780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1821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A3182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31821">
        <w:rPr>
          <w:rFonts w:ascii="Times New Roman" w:hAnsi="Times New Roman" w:cs="Times New Roman"/>
          <w:sz w:val="20"/>
          <w:szCs w:val="20"/>
        </w:rPr>
        <w:t xml:space="preserve"> </w:t>
      </w:r>
      <w:r w:rsidRPr="00C55588">
        <w:rPr>
          <w:rFonts w:ascii="Times New Roman" w:hAnsi="Times New Roman" w:cs="Times New Roman"/>
          <w:sz w:val="20"/>
          <w:szCs w:val="20"/>
        </w:rPr>
        <w:t xml:space="preserve">Analysis of mutation and methylation levels of </w:t>
      </w:r>
      <w:r>
        <w:rPr>
          <w:rFonts w:ascii="Times New Roman" w:hAnsi="Times New Roman" w:cs="Times New Roman"/>
          <w:sz w:val="20"/>
          <w:szCs w:val="20"/>
        </w:rPr>
        <w:t>CA</w:t>
      </w:r>
      <w:r w:rsidRPr="00C55588">
        <w:rPr>
          <w:rFonts w:ascii="Times New Roman" w:hAnsi="Times New Roman" w:cs="Times New Roman"/>
          <w:sz w:val="20"/>
          <w:szCs w:val="20"/>
        </w:rPr>
        <w:t>Gs in glioma. (</w:t>
      </w:r>
      <w:r w:rsidRPr="00D40CD7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C55588">
        <w:rPr>
          <w:rFonts w:ascii="Times New Roman" w:hAnsi="Times New Roman" w:cs="Times New Roman"/>
          <w:sz w:val="20"/>
          <w:szCs w:val="20"/>
        </w:rPr>
        <w:t xml:space="preserve">) Homozygous or heterozygous CNV of </w:t>
      </w:r>
      <w:r>
        <w:rPr>
          <w:rFonts w:ascii="Times New Roman" w:hAnsi="Times New Roman" w:cs="Times New Roman"/>
          <w:sz w:val="20"/>
          <w:szCs w:val="20"/>
        </w:rPr>
        <w:t>CA</w:t>
      </w:r>
      <w:r w:rsidRPr="00C55588">
        <w:rPr>
          <w:rFonts w:ascii="Times New Roman" w:hAnsi="Times New Roman" w:cs="Times New Roman"/>
          <w:sz w:val="20"/>
          <w:szCs w:val="20"/>
        </w:rPr>
        <w:t xml:space="preserve">Gs in </w:t>
      </w:r>
      <w:r>
        <w:rPr>
          <w:rFonts w:ascii="Times New Roman" w:hAnsi="Times New Roman" w:cs="Times New Roman"/>
          <w:sz w:val="20"/>
          <w:szCs w:val="20"/>
        </w:rPr>
        <w:t>glioma</w:t>
      </w:r>
      <w:r w:rsidRPr="00C55588">
        <w:rPr>
          <w:rFonts w:ascii="Times New Roman" w:hAnsi="Times New Roman" w:cs="Times New Roman"/>
          <w:sz w:val="20"/>
          <w:szCs w:val="20"/>
        </w:rPr>
        <w:t xml:space="preserve">. Homo Amp: homozygous amplification; </w:t>
      </w:r>
      <w:proofErr w:type="spellStart"/>
      <w:r w:rsidRPr="00C55588">
        <w:rPr>
          <w:rFonts w:ascii="Times New Roman" w:hAnsi="Times New Roman" w:cs="Times New Roman"/>
          <w:sz w:val="20"/>
          <w:szCs w:val="20"/>
        </w:rPr>
        <w:t>Hete</w:t>
      </w:r>
      <w:proofErr w:type="spellEnd"/>
      <w:r w:rsidRPr="00C55588">
        <w:rPr>
          <w:rFonts w:ascii="Times New Roman" w:hAnsi="Times New Roman" w:cs="Times New Roman"/>
          <w:sz w:val="20"/>
          <w:szCs w:val="20"/>
        </w:rPr>
        <w:t xml:space="preserve"> Amp: heterozygous amplification; Homo Del: homozygous deletion; </w:t>
      </w:r>
      <w:proofErr w:type="spellStart"/>
      <w:r w:rsidRPr="00C55588">
        <w:rPr>
          <w:rFonts w:ascii="Times New Roman" w:hAnsi="Times New Roman" w:cs="Times New Roman"/>
          <w:sz w:val="20"/>
          <w:szCs w:val="20"/>
        </w:rPr>
        <w:t>Hete</w:t>
      </w:r>
      <w:proofErr w:type="spellEnd"/>
      <w:r w:rsidRPr="00C55588">
        <w:rPr>
          <w:rFonts w:ascii="Times New Roman" w:hAnsi="Times New Roman" w:cs="Times New Roman"/>
          <w:sz w:val="20"/>
          <w:szCs w:val="20"/>
        </w:rPr>
        <w:t xml:space="preserve"> Del: heterozygous deletion; None: without CNV. (</w:t>
      </w:r>
      <w:r w:rsidRPr="00D40CD7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C55588">
        <w:rPr>
          <w:rFonts w:ascii="Times New Roman" w:hAnsi="Times New Roman" w:cs="Times New Roman"/>
          <w:sz w:val="20"/>
          <w:szCs w:val="20"/>
        </w:rPr>
        <w:t xml:space="preserve">) The heterozygous CNV of </w:t>
      </w:r>
      <w:r>
        <w:rPr>
          <w:rFonts w:ascii="Times New Roman" w:hAnsi="Times New Roman" w:cs="Times New Roman"/>
          <w:sz w:val="20"/>
          <w:szCs w:val="20"/>
        </w:rPr>
        <w:t>CA</w:t>
      </w:r>
      <w:r w:rsidRPr="00C55588">
        <w:rPr>
          <w:rFonts w:ascii="Times New Roman" w:hAnsi="Times New Roman" w:cs="Times New Roman"/>
          <w:sz w:val="20"/>
          <w:szCs w:val="20"/>
        </w:rPr>
        <w:t xml:space="preserve">Gs </w:t>
      </w:r>
      <w:r>
        <w:rPr>
          <w:rFonts w:ascii="Times New Roman" w:hAnsi="Times New Roman" w:cs="Times New Roman"/>
          <w:sz w:val="20"/>
          <w:szCs w:val="20"/>
        </w:rPr>
        <w:t>in glioma.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55588">
        <w:rPr>
          <w:rFonts w:ascii="Times New Roman" w:hAnsi="Times New Roman" w:cs="Times New Roman"/>
          <w:sz w:val="20"/>
          <w:szCs w:val="20"/>
        </w:rPr>
        <w:t>(</w:t>
      </w:r>
      <w:r w:rsidRPr="00D40CD7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C55588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C55588">
        <w:rPr>
          <w:rFonts w:ascii="Times New Roman" w:hAnsi="Times New Roman" w:cs="Times New Roman"/>
          <w:sz w:val="20"/>
          <w:szCs w:val="20"/>
        </w:rPr>
        <w:t xml:space="preserve">he correlation between CNV of </w:t>
      </w:r>
      <w:r>
        <w:rPr>
          <w:rFonts w:ascii="Times New Roman" w:hAnsi="Times New Roman" w:cs="Times New Roman"/>
          <w:sz w:val="20"/>
          <w:szCs w:val="20"/>
        </w:rPr>
        <w:t>CA</w:t>
      </w:r>
      <w:r w:rsidRPr="00C55588">
        <w:rPr>
          <w:rFonts w:ascii="Times New Roman" w:hAnsi="Times New Roman" w:cs="Times New Roman"/>
          <w:sz w:val="20"/>
          <w:szCs w:val="20"/>
        </w:rPr>
        <w:t>Gs and mRNA expression. (</w:t>
      </w:r>
      <w:r w:rsidRPr="00D40CD7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C55588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C55588">
        <w:rPr>
          <w:rFonts w:ascii="Times New Roman" w:hAnsi="Times New Roman" w:cs="Times New Roman"/>
          <w:sz w:val="20"/>
          <w:szCs w:val="20"/>
        </w:rPr>
        <w:t xml:space="preserve">he correlation between methylation and </w:t>
      </w:r>
      <w:r>
        <w:rPr>
          <w:rFonts w:ascii="Times New Roman" w:hAnsi="Times New Roman" w:cs="Times New Roman"/>
          <w:sz w:val="20"/>
          <w:szCs w:val="20"/>
        </w:rPr>
        <w:t>CA</w:t>
      </w:r>
      <w:r w:rsidRPr="00C55588">
        <w:rPr>
          <w:rFonts w:ascii="Times New Roman" w:hAnsi="Times New Roman" w:cs="Times New Roman"/>
          <w:sz w:val="20"/>
          <w:szCs w:val="20"/>
        </w:rPr>
        <w:t>Gs expression in LGG and GBM. (</w:t>
      </w:r>
      <w:r w:rsidRPr="00D40CD7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C55588">
        <w:rPr>
          <w:rFonts w:ascii="Times New Roman" w:hAnsi="Times New Roman" w:cs="Times New Roman"/>
          <w:sz w:val="20"/>
          <w:szCs w:val="20"/>
        </w:rPr>
        <w:t xml:space="preserve">) The difference in overall survival between LGG and GBM caused by hypermethylation and hypomethylation of </w:t>
      </w:r>
      <w:r>
        <w:rPr>
          <w:rFonts w:ascii="Times New Roman" w:hAnsi="Times New Roman" w:cs="Times New Roman"/>
          <w:sz w:val="20"/>
          <w:szCs w:val="20"/>
        </w:rPr>
        <w:t>CA</w:t>
      </w:r>
      <w:r w:rsidRPr="00C55588">
        <w:rPr>
          <w:rFonts w:ascii="Times New Roman" w:hAnsi="Times New Roman" w:cs="Times New Roman"/>
          <w:sz w:val="20"/>
          <w:szCs w:val="20"/>
        </w:rPr>
        <w:t>Gs. (</w:t>
      </w:r>
      <w:r w:rsidRPr="00D40CD7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C55588">
        <w:rPr>
          <w:rFonts w:ascii="Times New Roman" w:hAnsi="Times New Roman" w:cs="Times New Roman"/>
          <w:sz w:val="20"/>
          <w:szCs w:val="20"/>
        </w:rPr>
        <w:t xml:space="preserve">) The Kaplan–Meier survival analysis of the promoter methylation of </w:t>
      </w:r>
      <w:r w:rsidRPr="00FF071D">
        <w:rPr>
          <w:rFonts w:ascii="Times New Roman" w:hAnsi="Times New Roman" w:cs="Times New Roman"/>
          <w:i/>
          <w:iCs/>
          <w:sz w:val="20"/>
          <w:szCs w:val="20"/>
        </w:rPr>
        <w:t>BDNF</w:t>
      </w:r>
      <w:r w:rsidRPr="00C55588">
        <w:rPr>
          <w:rFonts w:ascii="Times New Roman" w:hAnsi="Times New Roman" w:cs="Times New Roman"/>
          <w:sz w:val="20"/>
          <w:szCs w:val="20"/>
        </w:rPr>
        <w:t xml:space="preserve"> in LGG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36EBA" w:rsidRDefault="00E36EBA" w:rsidP="00E36EBA">
      <w:pPr>
        <w:spacing w:afterLines="100" w:after="312"/>
        <w:rPr>
          <w:rFonts w:ascii="Times New Roman" w:hAnsi="Times New Roman" w:cs="Times New Roman"/>
          <w:sz w:val="20"/>
          <w:szCs w:val="20"/>
        </w:rPr>
        <w:sectPr w:rsidR="00E36EB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31821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Pr="00A3182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31821">
        <w:rPr>
          <w:rFonts w:ascii="Times New Roman" w:hAnsi="Times New Roman" w:cs="Times New Roman"/>
          <w:sz w:val="20"/>
          <w:szCs w:val="20"/>
        </w:rPr>
        <w:t xml:space="preserve"> The Kaplan–Meier survival analysis of the promoter methylation of (</w:t>
      </w:r>
      <w:r w:rsidRPr="00A31821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A31821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i/>
          <w:iCs/>
          <w:sz w:val="20"/>
          <w:szCs w:val="20"/>
        </w:rPr>
        <w:t>CXCL10</w:t>
      </w:r>
      <w:r w:rsidRPr="00A31821">
        <w:rPr>
          <w:rFonts w:ascii="Times New Roman" w:hAnsi="Times New Roman" w:cs="Times New Roman"/>
          <w:sz w:val="20"/>
          <w:szCs w:val="20"/>
        </w:rPr>
        <w:t>, (</w:t>
      </w:r>
      <w:r w:rsidRPr="00A31821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A31821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i/>
          <w:iCs/>
          <w:sz w:val="20"/>
          <w:szCs w:val="20"/>
        </w:rPr>
        <w:t>IL9</w:t>
      </w:r>
      <w:r w:rsidRPr="00A31821">
        <w:rPr>
          <w:rFonts w:ascii="Times New Roman" w:hAnsi="Times New Roman" w:cs="Times New Roman"/>
          <w:sz w:val="20"/>
          <w:szCs w:val="20"/>
        </w:rPr>
        <w:t>, and (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A31821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i/>
          <w:iCs/>
          <w:sz w:val="20"/>
          <w:szCs w:val="20"/>
        </w:rPr>
        <w:t>VEGFA</w:t>
      </w:r>
      <w:r w:rsidRPr="00A31821">
        <w:rPr>
          <w:rFonts w:ascii="Times New Roman" w:hAnsi="Times New Roman" w:cs="Times New Roman"/>
          <w:sz w:val="20"/>
          <w:szCs w:val="20"/>
        </w:rPr>
        <w:t xml:space="preserve"> in LGG.</w:t>
      </w: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anchor distT="0" distB="0" distL="114300" distR="114300" simplePos="0" relativeHeight="251677696" behindDoc="0" locked="0" layoutInCell="1" allowOverlap="1" wp14:anchorId="28824F06" wp14:editId="2A1E73E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479200" cy="7714800"/>
            <wp:effectExtent l="0" t="0" r="0" b="0"/>
            <wp:wrapTopAndBottom/>
            <wp:docPr id="20596469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64691" name="图片 20596469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9200" cy="77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1ACF">
        <w:rPr>
          <w:rFonts w:ascii="Times New Roman" w:hAnsi="Times New Roman" w:cs="Times New Roman"/>
          <w:sz w:val="20"/>
          <w:szCs w:val="20"/>
        </w:rPr>
        <w:t>The Kaplan–Meier survival analysis of the promoter methylation of (</w:t>
      </w:r>
      <w:r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6E1ACF">
        <w:rPr>
          <w:rFonts w:ascii="Times New Roman" w:hAnsi="Times New Roman" w:cs="Times New Roman"/>
          <w:sz w:val="20"/>
          <w:szCs w:val="20"/>
        </w:rPr>
        <w:t xml:space="preserve">) </w:t>
      </w:r>
      <w:r w:rsidRPr="006E1ACF">
        <w:rPr>
          <w:rFonts w:ascii="Times New Roman" w:hAnsi="Times New Roman" w:cs="Times New Roman"/>
          <w:i/>
          <w:iCs/>
          <w:sz w:val="20"/>
          <w:szCs w:val="20"/>
        </w:rPr>
        <w:t>IFI30</w:t>
      </w:r>
      <w:r w:rsidRPr="006E1ACF">
        <w:rPr>
          <w:rFonts w:ascii="Times New Roman" w:hAnsi="Times New Roman" w:cs="Times New Roman"/>
          <w:sz w:val="20"/>
          <w:szCs w:val="20"/>
        </w:rPr>
        <w:t xml:space="preserve"> and (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6E1ACF">
        <w:rPr>
          <w:rFonts w:ascii="Times New Roman" w:hAnsi="Times New Roman" w:cs="Times New Roman"/>
          <w:sz w:val="20"/>
          <w:szCs w:val="20"/>
        </w:rPr>
        <w:t xml:space="preserve">) </w:t>
      </w:r>
      <w:r w:rsidRPr="006E1ACF">
        <w:rPr>
          <w:rFonts w:ascii="Times New Roman" w:hAnsi="Times New Roman" w:cs="Times New Roman"/>
          <w:i/>
          <w:iCs/>
          <w:sz w:val="20"/>
          <w:szCs w:val="20"/>
        </w:rPr>
        <w:t>ZCCHC12</w:t>
      </w:r>
      <w:r w:rsidRPr="006E1ACF">
        <w:rPr>
          <w:rFonts w:ascii="Times New Roman" w:hAnsi="Times New Roman" w:cs="Times New Roman"/>
          <w:sz w:val="20"/>
          <w:szCs w:val="20"/>
        </w:rPr>
        <w:t xml:space="preserve"> in GBM.</w:t>
      </w:r>
    </w:p>
    <w:p w:rsidR="00E36EBA" w:rsidRDefault="00E36EBA" w:rsidP="00E36EBA">
      <w:pPr>
        <w:spacing w:afterLines="100" w:after="3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anchor distT="0" distB="0" distL="114300" distR="114300" simplePos="0" relativeHeight="251679744" behindDoc="0" locked="0" layoutInCell="1" allowOverlap="1" wp14:anchorId="2FA66303" wp14:editId="1D313CF7">
            <wp:simplePos x="0" y="0"/>
            <wp:positionH relativeFrom="page">
              <wp:align>center</wp:align>
            </wp:positionH>
            <wp:positionV relativeFrom="paragraph">
              <wp:posOffset>423</wp:posOffset>
            </wp:positionV>
            <wp:extent cx="5781600" cy="4813200"/>
            <wp:effectExtent l="0" t="0" r="0" b="635"/>
            <wp:wrapTopAndBottom/>
            <wp:docPr id="106646620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466204" name="图片 106646620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00" cy="481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ACF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Pr="006E1ACF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E1ACF">
        <w:rPr>
          <w:rFonts w:ascii="Times New Roman" w:hAnsi="Times New Roman" w:cs="Times New Roman"/>
          <w:sz w:val="20"/>
          <w:szCs w:val="20"/>
        </w:rPr>
        <w:t xml:space="preserve">Correlation analysis between 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6E1AC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CA</w:t>
      </w:r>
      <w:r w:rsidRPr="006E1ACF">
        <w:rPr>
          <w:rFonts w:ascii="Times New Roman" w:hAnsi="Times New Roman" w:cs="Times New Roman"/>
          <w:sz w:val="20"/>
          <w:szCs w:val="20"/>
        </w:rPr>
        <w:t>Gs and (</w:t>
      </w:r>
      <w:r w:rsidRPr="006E1ACF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6E1ACF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MSI</w:t>
      </w:r>
      <w:r w:rsidRPr="006E1ACF">
        <w:rPr>
          <w:rFonts w:ascii="Times New Roman" w:hAnsi="Times New Roman" w:cs="Times New Roman"/>
          <w:sz w:val="20"/>
          <w:szCs w:val="20"/>
        </w:rPr>
        <w:t xml:space="preserve"> score and (</w:t>
      </w:r>
      <w:r w:rsidRPr="006E1ACF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6E1ACF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TMB</w:t>
      </w:r>
      <w:r w:rsidRPr="006E1ACF">
        <w:rPr>
          <w:rFonts w:ascii="Times New Roman" w:hAnsi="Times New Roman" w:cs="Times New Roman"/>
          <w:sz w:val="20"/>
          <w:szCs w:val="20"/>
        </w:rPr>
        <w:t xml:space="preserve"> score.</w:t>
      </w:r>
    </w:p>
    <w:p w:rsidR="00E36EBA" w:rsidRDefault="00E36EB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E36EBA" w:rsidRDefault="00E36EBA" w:rsidP="00E36EBA">
      <w:pPr>
        <w:spacing w:beforeLines="50" w:before="156"/>
        <w:rPr>
          <w:rFonts w:ascii="Times New Roman" w:hAnsi="Times New Roman" w:cs="Times New Roman"/>
          <w:sz w:val="20"/>
          <w:szCs w:val="20"/>
        </w:rPr>
        <w:sectPr w:rsidR="00E36EB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anchor distT="0" distB="0" distL="114300" distR="114300" simplePos="0" relativeHeight="251681792" behindDoc="0" locked="0" layoutInCell="1" allowOverlap="1" wp14:anchorId="23B7D5A4" wp14:editId="5E8BCD24">
            <wp:simplePos x="0" y="0"/>
            <wp:positionH relativeFrom="page">
              <wp:align>center</wp:align>
            </wp:positionH>
            <wp:positionV relativeFrom="paragraph">
              <wp:posOffset>150</wp:posOffset>
            </wp:positionV>
            <wp:extent cx="5702300" cy="4816475"/>
            <wp:effectExtent l="0" t="0" r="0" b="0"/>
            <wp:wrapTopAndBottom/>
            <wp:docPr id="113982311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23111" name="图片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400" cy="4816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ACF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0"/>
        </w:rPr>
        <w:t>13</w:t>
      </w:r>
      <w:r w:rsidRPr="004C7D89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4C7D89">
        <w:rPr>
          <w:rFonts w:ascii="Times New Roman" w:hAnsi="Times New Roman" w:cs="Times New Roman"/>
          <w:sz w:val="20"/>
          <w:szCs w:val="20"/>
        </w:rPr>
        <w:t xml:space="preserve"> Drug sensitivity analysis. Antitumor medication predictions based on the expression of </w:t>
      </w:r>
      <w:r>
        <w:rPr>
          <w:rFonts w:ascii="Times New Roman" w:hAnsi="Times New Roman" w:cs="Times New Roman"/>
          <w:sz w:val="20"/>
          <w:szCs w:val="20"/>
        </w:rPr>
        <w:t>CA</w:t>
      </w:r>
      <w:r w:rsidRPr="004C7D89">
        <w:rPr>
          <w:rFonts w:ascii="Times New Roman" w:hAnsi="Times New Roman" w:cs="Times New Roman"/>
          <w:sz w:val="20"/>
          <w:szCs w:val="20"/>
        </w:rPr>
        <w:t>Gs in glioma from the (</w:t>
      </w:r>
      <w:r w:rsidRPr="00D40CD7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4C7D89">
        <w:rPr>
          <w:rFonts w:ascii="Times New Roman" w:hAnsi="Times New Roman" w:cs="Times New Roman"/>
          <w:sz w:val="20"/>
          <w:szCs w:val="20"/>
        </w:rPr>
        <w:t>) CTRP and (</w:t>
      </w:r>
      <w:r w:rsidRPr="00D40CD7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4C7D89">
        <w:rPr>
          <w:rFonts w:ascii="Times New Roman" w:hAnsi="Times New Roman" w:cs="Times New Roman"/>
          <w:sz w:val="20"/>
          <w:szCs w:val="20"/>
        </w:rPr>
        <w:t xml:space="preserve">) GDSC datasets. </w:t>
      </w:r>
      <w:r w:rsidRPr="00C92FD1">
        <w:rPr>
          <w:rFonts w:ascii="Times New Roman" w:hAnsi="Times New Roman" w:cs="Times New Roman"/>
          <w:sz w:val="20"/>
          <w:szCs w:val="20"/>
        </w:rPr>
        <w:t>Positive correlation indicates a higher gene expression may lead to drug resistance.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92FD1">
        <w:rPr>
          <w:rFonts w:ascii="Times New Roman" w:hAnsi="Times New Roman" w:cs="Times New Roman"/>
          <w:sz w:val="20"/>
          <w:szCs w:val="20"/>
        </w:rPr>
        <w:t xml:space="preserve">Negative correlation indicates a higher gene expression may make drug sensitive. </w:t>
      </w:r>
      <w:r w:rsidRPr="004C7D89">
        <w:rPr>
          <w:rFonts w:ascii="Times New Roman" w:hAnsi="Times New Roman" w:cs="Times New Roman"/>
          <w:sz w:val="20"/>
          <w:szCs w:val="20"/>
        </w:rPr>
        <w:t>(</w:t>
      </w:r>
      <w:r w:rsidRPr="00D40CD7">
        <w:rPr>
          <w:rFonts w:ascii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sz w:val="20"/>
          <w:szCs w:val="20"/>
        </w:rPr>
        <w:t>-J</w:t>
      </w:r>
      <w:r w:rsidRPr="004C7D89">
        <w:rPr>
          <w:rFonts w:ascii="Times New Roman" w:hAnsi="Times New Roman" w:cs="Times New Roman"/>
          <w:sz w:val="20"/>
          <w:szCs w:val="20"/>
        </w:rPr>
        <w:t xml:space="preserve">) IC50 value distribution between </w:t>
      </w:r>
      <w:r>
        <w:rPr>
          <w:rFonts w:ascii="Times New Roman" w:hAnsi="Times New Roman" w:cs="Times New Roman"/>
          <w:sz w:val="20"/>
          <w:szCs w:val="20"/>
        </w:rPr>
        <w:t>low</w:t>
      </w:r>
      <w:r w:rsidRPr="004C7D89">
        <w:rPr>
          <w:rFonts w:ascii="Times New Roman" w:hAnsi="Times New Roman" w:cs="Times New Roman"/>
          <w:sz w:val="20"/>
          <w:szCs w:val="20"/>
        </w:rPr>
        <w:t xml:space="preserve">- and </w:t>
      </w:r>
      <w:r>
        <w:rPr>
          <w:rFonts w:ascii="Times New Roman" w:hAnsi="Times New Roman" w:cs="Times New Roman"/>
          <w:sz w:val="20"/>
          <w:szCs w:val="20"/>
        </w:rPr>
        <w:t>high</w:t>
      </w:r>
      <w:r w:rsidRPr="004C7D89">
        <w:rPr>
          <w:rFonts w:ascii="Times New Roman" w:hAnsi="Times New Roman" w:cs="Times New Roman"/>
          <w:sz w:val="20"/>
          <w:szCs w:val="20"/>
        </w:rPr>
        <w:t>-risk groups. **</w:t>
      </w:r>
      <w:r w:rsidRPr="004C7D89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Pr="004C7D89">
        <w:rPr>
          <w:rFonts w:ascii="Times New Roman" w:hAnsi="Times New Roman" w:cs="Times New Roman"/>
          <w:sz w:val="20"/>
          <w:szCs w:val="20"/>
        </w:rPr>
        <w:t xml:space="preserve"> &lt; 0.01, *** </w:t>
      </w:r>
      <w:r w:rsidRPr="004C7D89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4C7D89">
        <w:rPr>
          <w:rFonts w:ascii="Times New Roman" w:hAnsi="Times New Roman" w:cs="Times New Roman"/>
          <w:sz w:val="20"/>
          <w:szCs w:val="20"/>
        </w:rPr>
        <w:t xml:space="preserve"> &lt; 0.001.</w:t>
      </w:r>
    </w:p>
    <w:p w:rsidR="00E36EBA" w:rsidRDefault="00E36EBA" w:rsidP="00E36EBA">
      <w:pPr>
        <w:widowControl/>
        <w:jc w:val="left"/>
        <w:rPr>
          <w:rFonts w:ascii="Times New Roman" w:hAnsi="Times New Roman" w:cs="Times New Roman"/>
          <w:noProof/>
          <w:sz w:val="20"/>
          <w:szCs w:val="20"/>
        </w:rPr>
      </w:pPr>
      <w:r w:rsidRPr="006E1ACF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0"/>
        </w:rPr>
        <w:t>14</w:t>
      </w:r>
      <w:r w:rsidRPr="006E1AC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E1ACF">
        <w:rPr>
          <w:rFonts w:ascii="Times New Roman" w:hAnsi="Times New Roman" w:cs="Times New Roman"/>
          <w:sz w:val="20"/>
          <w:szCs w:val="20"/>
        </w:rPr>
        <w:t xml:space="preserve"> Spear</w:t>
      </w:r>
      <w:r>
        <w:rPr>
          <w:rFonts w:ascii="Times New Roman" w:hAnsi="Times New Roman" w:cs="Times New Roman"/>
          <w:sz w:val="20"/>
          <w:szCs w:val="20"/>
        </w:rPr>
        <w:t>ma</w:t>
      </w:r>
      <w:r w:rsidRPr="006E1ACF">
        <w:rPr>
          <w:rFonts w:ascii="Times New Roman" w:hAnsi="Times New Roman" w:cs="Times New Roman"/>
          <w:sz w:val="20"/>
          <w:szCs w:val="20"/>
        </w:rPr>
        <w:t xml:space="preserve">n correlation analysis of </w:t>
      </w:r>
      <w:r>
        <w:rPr>
          <w:rFonts w:ascii="Times New Roman" w:hAnsi="Times New Roman" w:cs="Times New Roman"/>
          <w:sz w:val="20"/>
          <w:szCs w:val="20"/>
        </w:rPr>
        <w:t>10 CA</w:t>
      </w:r>
      <w:r w:rsidRPr="006E1ACF">
        <w:rPr>
          <w:rFonts w:ascii="Times New Roman" w:hAnsi="Times New Roman" w:cs="Times New Roman"/>
          <w:sz w:val="20"/>
          <w:szCs w:val="20"/>
        </w:rPr>
        <w:t>Gs and IC50 of drugs</w:t>
      </w: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2DBFB72A" wp14:editId="2EE2807A">
            <wp:simplePos x="0" y="0"/>
            <wp:positionH relativeFrom="page">
              <wp:align>center</wp:align>
            </wp:positionH>
            <wp:positionV relativeFrom="paragraph">
              <wp:posOffset>26904</wp:posOffset>
            </wp:positionV>
            <wp:extent cx="5857200" cy="3416400"/>
            <wp:effectExtent l="0" t="0" r="0" b="0"/>
            <wp:wrapTopAndBottom/>
            <wp:docPr id="171980280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948896" name="图片 68794889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200" cy="341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0"/>
          <w:szCs w:val="20"/>
        </w:rPr>
        <w:t>.</w:t>
      </w:r>
    </w:p>
    <w:p w:rsidR="00E36EBA" w:rsidRDefault="00E36EBA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6E1ACF" w:rsidRPr="00E36EBA" w:rsidRDefault="00E36EBA" w:rsidP="00E36EBA">
      <w:pPr>
        <w:spacing w:afterLines="100" w:after="3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anchor distT="0" distB="0" distL="114300" distR="114300" simplePos="0" relativeHeight="251685888" behindDoc="0" locked="0" layoutInCell="1" allowOverlap="1" wp14:anchorId="00DA5CE4" wp14:editId="542A3A6B">
            <wp:simplePos x="0" y="0"/>
            <wp:positionH relativeFrom="page">
              <wp:align>center</wp:align>
            </wp:positionH>
            <wp:positionV relativeFrom="paragraph">
              <wp:posOffset>583</wp:posOffset>
            </wp:positionV>
            <wp:extent cx="5551200" cy="6177600"/>
            <wp:effectExtent l="0" t="0" r="0" b="0"/>
            <wp:wrapTopAndBottom/>
            <wp:docPr id="149437436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74360" name="图片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200" cy="61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ACF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0"/>
        </w:rPr>
        <w:t>15</w:t>
      </w:r>
      <w:r w:rsidRPr="006E1AC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E1ACF">
        <w:rPr>
          <w:rFonts w:ascii="Times New Roman" w:hAnsi="Times New Roman" w:cs="Times New Roman"/>
          <w:sz w:val="20"/>
          <w:szCs w:val="20"/>
        </w:rPr>
        <w:t xml:space="preserve"> </w:t>
      </w:r>
      <w:r w:rsidRPr="00EF0DBD">
        <w:rPr>
          <w:rFonts w:ascii="Times New Roman" w:hAnsi="Times New Roman" w:cs="Times New Roman"/>
          <w:sz w:val="20"/>
          <w:szCs w:val="20"/>
        </w:rPr>
        <w:t>Molecular docking and molecular dynamics simulation analysis.</w:t>
      </w:r>
      <w:r w:rsidRPr="004C7D89">
        <w:rPr>
          <w:rFonts w:ascii="Times New Roman" w:hAnsi="Times New Roman" w:cs="Times New Roman"/>
          <w:sz w:val="20"/>
          <w:szCs w:val="20"/>
        </w:rPr>
        <w:t xml:space="preserve"> </w:t>
      </w:r>
      <w:r w:rsidRPr="009A146E">
        <w:rPr>
          <w:rFonts w:ascii="Times New Roman" w:hAnsi="Times New Roman" w:cs="Times New Roman"/>
          <w:sz w:val="20"/>
          <w:szCs w:val="20"/>
        </w:rPr>
        <w:t xml:space="preserve">The yellow dashed line and accompanying numbers signify hydrogen bonding and the length of the hydrogen bond, whereas red denotes small molecule drugs. </w:t>
      </w:r>
      <w:r w:rsidRPr="004C7D89">
        <w:rPr>
          <w:rFonts w:ascii="Times New Roman" w:hAnsi="Times New Roman" w:cs="Times New Roman"/>
          <w:sz w:val="20"/>
          <w:szCs w:val="20"/>
        </w:rPr>
        <w:t>(</w:t>
      </w:r>
      <w:r w:rsidRPr="00DF341D">
        <w:rPr>
          <w:rFonts w:ascii="Times New Roman" w:hAnsi="Times New Roman" w:cs="Times New Roman"/>
          <w:b/>
          <w:bCs/>
          <w:sz w:val="20"/>
          <w:szCs w:val="20"/>
        </w:rPr>
        <w:t>A-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B</w:t>
      </w:r>
      <w:r w:rsidRPr="004C7D89">
        <w:rPr>
          <w:rFonts w:ascii="Times New Roman" w:hAnsi="Times New Roman" w:cs="Times New Roman"/>
          <w:sz w:val="20"/>
          <w:szCs w:val="20"/>
        </w:rPr>
        <w:t xml:space="preserve">) </w:t>
      </w:r>
      <w:r w:rsidRPr="0070549D">
        <w:rPr>
          <w:rFonts w:ascii="Times New Roman" w:hAnsi="Times New Roman" w:cs="Times New Roman"/>
          <w:sz w:val="20"/>
          <w:szCs w:val="20"/>
        </w:rPr>
        <w:t>The optimal docking conformation between IGFBP3 and Docetaxel, along with the r</w:t>
      </w:r>
      <w:r w:rsidRPr="004C7D89">
        <w:rPr>
          <w:rFonts w:ascii="Times New Roman" w:hAnsi="Times New Roman" w:cs="Times New Roman"/>
          <w:sz w:val="20"/>
          <w:szCs w:val="20"/>
        </w:rPr>
        <w:t>oot mean square deviation</w:t>
      </w:r>
      <w:r w:rsidRPr="0070549D">
        <w:rPr>
          <w:rFonts w:ascii="Times New Roman" w:hAnsi="Times New Roman" w:cs="Times New Roman"/>
          <w:sz w:val="20"/>
          <w:szCs w:val="20"/>
        </w:rPr>
        <w:t xml:space="preserve"> (RMSD) trajectory over a 100 ns timescale.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7D8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C-D</w:t>
      </w:r>
      <w:r w:rsidRPr="004C7D89">
        <w:rPr>
          <w:rFonts w:ascii="Times New Roman" w:hAnsi="Times New Roman" w:cs="Times New Roman"/>
          <w:sz w:val="20"/>
          <w:szCs w:val="20"/>
        </w:rPr>
        <w:t xml:space="preserve">) </w:t>
      </w:r>
      <w:r w:rsidRPr="0070549D">
        <w:rPr>
          <w:rFonts w:ascii="Times New Roman" w:hAnsi="Times New Roman" w:cs="Times New Roman"/>
          <w:sz w:val="20"/>
          <w:szCs w:val="20"/>
        </w:rPr>
        <w:t xml:space="preserve">The optimal docking conformation between </w:t>
      </w:r>
      <w:r>
        <w:rPr>
          <w:rFonts w:ascii="Times New Roman" w:hAnsi="Times New Roman" w:cs="Times New Roman"/>
          <w:sz w:val="20"/>
          <w:szCs w:val="20"/>
        </w:rPr>
        <w:t>IRF2</w:t>
      </w:r>
      <w:r w:rsidRPr="0070549D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SNX-2112</w:t>
      </w:r>
      <w:r w:rsidRPr="0070549D">
        <w:rPr>
          <w:rFonts w:ascii="Times New Roman" w:hAnsi="Times New Roman" w:cs="Times New Roman"/>
          <w:sz w:val="20"/>
          <w:szCs w:val="20"/>
        </w:rPr>
        <w:t xml:space="preserve">, along with the RMSD trajectory over a 100 ns timescale. </w:t>
      </w:r>
      <w:r w:rsidRPr="004C7D8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E-F</w:t>
      </w:r>
      <w:r w:rsidRPr="004C7D89">
        <w:rPr>
          <w:rFonts w:ascii="Times New Roman" w:hAnsi="Times New Roman" w:cs="Times New Roman"/>
          <w:sz w:val="20"/>
          <w:szCs w:val="20"/>
        </w:rPr>
        <w:t xml:space="preserve">) </w:t>
      </w:r>
      <w:r w:rsidRPr="0070549D">
        <w:rPr>
          <w:rFonts w:ascii="Times New Roman" w:hAnsi="Times New Roman" w:cs="Times New Roman"/>
          <w:sz w:val="20"/>
          <w:szCs w:val="20"/>
        </w:rPr>
        <w:t xml:space="preserve">The optimal docking conformation between </w:t>
      </w:r>
      <w:r>
        <w:rPr>
          <w:rFonts w:ascii="Times New Roman" w:hAnsi="Times New Roman" w:cs="Times New Roman"/>
          <w:sz w:val="20"/>
          <w:szCs w:val="20"/>
        </w:rPr>
        <w:t>IRF7</w:t>
      </w:r>
      <w:r w:rsidRPr="0070549D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SNX-2112</w:t>
      </w:r>
      <w:r w:rsidRPr="0070549D">
        <w:rPr>
          <w:rFonts w:ascii="Times New Roman" w:hAnsi="Times New Roman" w:cs="Times New Roman"/>
          <w:sz w:val="20"/>
          <w:szCs w:val="20"/>
        </w:rPr>
        <w:t xml:space="preserve">, along with the RMSD trajectory over a 100 ns timescale. </w:t>
      </w:r>
      <w:r w:rsidRPr="004C7D8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Pr="00DF341D">
        <w:rPr>
          <w:rFonts w:ascii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Pr="004C7D89">
        <w:rPr>
          <w:rFonts w:ascii="Times New Roman" w:hAnsi="Times New Roman" w:cs="Times New Roman"/>
          <w:sz w:val="20"/>
          <w:szCs w:val="20"/>
        </w:rPr>
        <w:t xml:space="preserve">) </w:t>
      </w:r>
      <w:r w:rsidRPr="0070549D">
        <w:rPr>
          <w:rFonts w:ascii="Times New Roman" w:hAnsi="Times New Roman" w:cs="Times New Roman"/>
          <w:sz w:val="20"/>
          <w:szCs w:val="20"/>
        </w:rPr>
        <w:t xml:space="preserve">The optimal docking conformation between </w:t>
      </w:r>
      <w:r>
        <w:rPr>
          <w:rFonts w:ascii="Times New Roman" w:hAnsi="Times New Roman" w:cs="Times New Roman"/>
          <w:sz w:val="20"/>
          <w:szCs w:val="20"/>
        </w:rPr>
        <w:t>RELA</w:t>
      </w:r>
      <w:r w:rsidRPr="0070549D">
        <w:rPr>
          <w:rFonts w:ascii="Times New Roman" w:hAnsi="Times New Roman" w:cs="Times New Roman"/>
          <w:sz w:val="20"/>
          <w:szCs w:val="20"/>
        </w:rPr>
        <w:t xml:space="preserve"> and Docetaxel, along with the RMSD trajectory over a 100 ns timescale. </w:t>
      </w:r>
      <w:r w:rsidRPr="004C7D8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Pr="00DF341D">
        <w:rPr>
          <w:rFonts w:ascii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hAnsi="Times New Roman" w:cs="Times New Roman"/>
          <w:b/>
          <w:bCs/>
          <w:sz w:val="20"/>
          <w:szCs w:val="20"/>
        </w:rPr>
        <w:t>J</w:t>
      </w:r>
      <w:r w:rsidRPr="004C7D89">
        <w:rPr>
          <w:rFonts w:ascii="Times New Roman" w:hAnsi="Times New Roman" w:cs="Times New Roman"/>
          <w:sz w:val="20"/>
          <w:szCs w:val="20"/>
        </w:rPr>
        <w:t xml:space="preserve">) </w:t>
      </w:r>
      <w:r w:rsidRPr="0070549D">
        <w:rPr>
          <w:rFonts w:ascii="Times New Roman" w:hAnsi="Times New Roman" w:cs="Times New Roman"/>
          <w:sz w:val="20"/>
          <w:szCs w:val="20"/>
        </w:rPr>
        <w:t xml:space="preserve">The optimal docking conformation between </w:t>
      </w:r>
      <w:r>
        <w:rPr>
          <w:rFonts w:ascii="Times New Roman" w:hAnsi="Times New Roman" w:cs="Times New Roman"/>
          <w:sz w:val="20"/>
          <w:szCs w:val="20"/>
        </w:rPr>
        <w:t>VEGFA</w:t>
      </w:r>
      <w:r w:rsidRPr="0070549D">
        <w:rPr>
          <w:rFonts w:ascii="Times New Roman" w:hAnsi="Times New Roman" w:cs="Times New Roman"/>
          <w:sz w:val="20"/>
          <w:szCs w:val="20"/>
        </w:rPr>
        <w:t xml:space="preserve"> and Docetaxel, along with the RMSD trajectory over a 100 ns timescal</w:t>
      </w:r>
      <w:r>
        <w:rPr>
          <w:rFonts w:ascii="Times New Roman" w:hAnsi="Times New Roman" w:cs="Times New Roman"/>
          <w:sz w:val="20"/>
          <w:szCs w:val="20"/>
        </w:rPr>
        <w:t>e.</w:t>
      </w:r>
    </w:p>
    <w:sectPr w:rsidR="006E1ACF" w:rsidRPr="00E36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roman"/>
    <w:pitch w:val="default"/>
    <w:sig w:usb0="00000000" w:usb1="00000000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F2"/>
    <w:rsid w:val="00036F0C"/>
    <w:rsid w:val="000C2383"/>
    <w:rsid w:val="00105145"/>
    <w:rsid w:val="00120370"/>
    <w:rsid w:val="00141EDA"/>
    <w:rsid w:val="00185A00"/>
    <w:rsid w:val="001A7A16"/>
    <w:rsid w:val="001C2503"/>
    <w:rsid w:val="001F66CC"/>
    <w:rsid w:val="002038BF"/>
    <w:rsid w:val="002323B9"/>
    <w:rsid w:val="002577B9"/>
    <w:rsid w:val="002640EC"/>
    <w:rsid w:val="002672A9"/>
    <w:rsid w:val="002914C2"/>
    <w:rsid w:val="002D2ABC"/>
    <w:rsid w:val="002D6BB3"/>
    <w:rsid w:val="00321534"/>
    <w:rsid w:val="003279C4"/>
    <w:rsid w:val="00341D39"/>
    <w:rsid w:val="003B60DF"/>
    <w:rsid w:val="004B5DAC"/>
    <w:rsid w:val="004D72F1"/>
    <w:rsid w:val="004F4CFC"/>
    <w:rsid w:val="0051188E"/>
    <w:rsid w:val="00556616"/>
    <w:rsid w:val="00563362"/>
    <w:rsid w:val="005959E5"/>
    <w:rsid w:val="006168D8"/>
    <w:rsid w:val="00692768"/>
    <w:rsid w:val="006E1ACF"/>
    <w:rsid w:val="00785AE0"/>
    <w:rsid w:val="007903F1"/>
    <w:rsid w:val="00794F78"/>
    <w:rsid w:val="007D09BF"/>
    <w:rsid w:val="007E569C"/>
    <w:rsid w:val="007F0BEB"/>
    <w:rsid w:val="008137F2"/>
    <w:rsid w:val="00841CFE"/>
    <w:rsid w:val="0087679F"/>
    <w:rsid w:val="00883E1D"/>
    <w:rsid w:val="008861B6"/>
    <w:rsid w:val="008B2F2D"/>
    <w:rsid w:val="009142BA"/>
    <w:rsid w:val="00923618"/>
    <w:rsid w:val="00971EAA"/>
    <w:rsid w:val="00996F92"/>
    <w:rsid w:val="009B70D4"/>
    <w:rsid w:val="009C6D71"/>
    <w:rsid w:val="009D3B98"/>
    <w:rsid w:val="009E05FF"/>
    <w:rsid w:val="00A17282"/>
    <w:rsid w:val="00A31821"/>
    <w:rsid w:val="00A46C86"/>
    <w:rsid w:val="00A61AF6"/>
    <w:rsid w:val="00AE3557"/>
    <w:rsid w:val="00B50724"/>
    <w:rsid w:val="00C470CD"/>
    <w:rsid w:val="00C67912"/>
    <w:rsid w:val="00C9620A"/>
    <w:rsid w:val="00CD6DE5"/>
    <w:rsid w:val="00CD77CC"/>
    <w:rsid w:val="00D52802"/>
    <w:rsid w:val="00D752DE"/>
    <w:rsid w:val="00D762C9"/>
    <w:rsid w:val="00D82B9B"/>
    <w:rsid w:val="00D91D4A"/>
    <w:rsid w:val="00DB059A"/>
    <w:rsid w:val="00DC3422"/>
    <w:rsid w:val="00DD0F81"/>
    <w:rsid w:val="00E36EBA"/>
    <w:rsid w:val="00E41796"/>
    <w:rsid w:val="00E57A45"/>
    <w:rsid w:val="00ED7A1C"/>
    <w:rsid w:val="00EF60F2"/>
    <w:rsid w:val="00F22726"/>
    <w:rsid w:val="00F842AB"/>
    <w:rsid w:val="00F96DF4"/>
    <w:rsid w:val="00FB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4A7F06-E94B-CF42-A01B-34B08A82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F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autoRedefine/>
    <w:qFormat/>
    <w:rsid w:val="007F0BEB"/>
    <w:pPr>
      <w:widowControl/>
      <w:ind w:firstLine="144"/>
    </w:pPr>
    <w:rPr>
      <w:rFonts w:ascii="Times" w:eastAsia="Times" w:hAnsi="Times" w:cs="Times"/>
      <w:color w:val="000000"/>
      <w:kern w:val="0"/>
      <w:sz w:val="20"/>
      <w:szCs w:val="20"/>
      <w:lang w:eastAsia="en-US"/>
    </w:rPr>
  </w:style>
  <w:style w:type="character" w:styleId="a3">
    <w:name w:val="Hyperlink"/>
    <w:basedOn w:val="a0"/>
    <w:uiPriority w:val="99"/>
    <w:semiHidden/>
    <w:unhideWhenUsed/>
    <w:rsid w:val="007E569C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5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tiff"/><Relationship Id="rId5" Type="http://schemas.openxmlformats.org/officeDocument/2006/relationships/image" Target="media/image2.jpeg"/><Relationship Id="rId15" Type="http://schemas.openxmlformats.org/officeDocument/2006/relationships/image" Target="media/image12.tiff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15</Pages>
  <Words>822</Words>
  <Characters>4689</Characters>
  <Application>Microsoft Office Word</Application>
  <DocSecurity>0</DocSecurity>
  <Lines>39</Lines>
  <Paragraphs>10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薛纪豪</dc:creator>
  <cp:keywords/>
  <dc:description/>
  <cp:lastModifiedBy>薛纪豪</cp:lastModifiedBy>
  <cp:revision>38</cp:revision>
  <dcterms:created xsi:type="dcterms:W3CDTF">2025-02-28T19:14:00Z</dcterms:created>
  <dcterms:modified xsi:type="dcterms:W3CDTF">2025-11-10T18:08:00Z</dcterms:modified>
</cp:coreProperties>
</file>