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981E43">
      <w:pPr>
        <w:pageBreakBefore w:val="0"/>
        <w:widowControl/>
        <w:kinsoku/>
        <w:wordWrap/>
        <w:overflowPunct/>
        <w:topLinePunct w:val="0"/>
        <w:autoSpaceDE/>
        <w:autoSpaceDN/>
        <w:bidi w:val="0"/>
        <w:adjustRightInd/>
        <w:snapToGrid/>
        <w:spacing w:before="0" w:after="160" w:line="240" w:lineRule="auto"/>
        <w:ind w:firstLine="0"/>
        <w:jc w:val="center"/>
        <w:textAlignment w:val="auto"/>
        <w:rPr>
          <w:rFonts w:hint="default" w:ascii="Times New Roman" w:hAnsi="Times New Roman" w:cs="Times New Roman"/>
          <w:sz w:val="32"/>
          <w:szCs w:val="32"/>
        </w:rPr>
      </w:pPr>
      <w:r>
        <w:rPr>
          <w:rFonts w:hint="default" w:ascii="Times New Roman" w:hAnsi="Times New Roman" w:eastAsia="Times New Roman" w:cs="Times New Roman"/>
          <w:b/>
          <w:i w:val="0"/>
          <w:sz w:val="32"/>
          <w:szCs w:val="32"/>
        </w:rPr>
        <w:t>Supplementary Material</w:t>
      </w:r>
    </w:p>
    <w:p w14:paraId="78C8FD7C">
      <w:pPr>
        <w:keepNext/>
        <w:pageBreakBefore w:val="0"/>
        <w:widowControl/>
        <w:kinsoku/>
        <w:wordWrap/>
        <w:overflowPunct/>
        <w:topLinePunct w:val="0"/>
        <w:autoSpaceDE/>
        <w:autoSpaceDN/>
        <w:bidi w:val="0"/>
        <w:adjustRightInd/>
        <w:snapToGrid/>
        <w:spacing w:before="0" w:after="160" w:line="240" w:lineRule="auto"/>
        <w:ind w:firstLine="0"/>
        <w:jc w:val="both"/>
        <w:textAlignment w:val="auto"/>
        <w:rPr>
          <w:rFonts w:hint="default" w:ascii="Times New Roman" w:hAnsi="Times New Roman" w:eastAsia="Times New Roman" w:cs="Times New Roman"/>
          <w:b/>
          <w:i w:val="0"/>
          <w:sz w:val="28"/>
          <w:szCs w:val="28"/>
        </w:rPr>
      </w:pPr>
      <w:r>
        <w:rPr>
          <w:rFonts w:hint="default" w:ascii="Times New Roman" w:hAnsi="Times New Roman" w:eastAsia="Times New Roman" w:cs="Times New Roman"/>
          <w:b/>
          <w:bCs w:val="0"/>
          <w:i w:val="0"/>
          <w:sz w:val="24"/>
          <w:szCs w:val="24"/>
        </w:rPr>
        <w:t>S1. Decomposition component definitions</w:t>
      </w:r>
    </w:p>
    <w:p>
      <w:pPr/>
      <w:r>
        <w:t>Table S1 defines the four decomposition components used throughout the manuscript.</w:t>
      </w:r>
    </w:p>
    <w:p w14:paraId="61F123B7">
      <w:pPr>
        <w:keepNext/>
        <w:pageBreakBefore w:val="0"/>
        <w:widowControl/>
        <w:kinsoku/>
        <w:wordWrap/>
        <w:overflowPunct/>
        <w:topLinePunct w:val="0"/>
        <w:autoSpaceDE/>
        <w:autoSpaceDN/>
        <w:bidi w:val="0"/>
        <w:adjustRightInd/>
        <w:snapToGrid/>
        <w:spacing w:before="0" w:after="160" w:line="240" w:lineRule="auto"/>
        <w:ind w:firstLine="0"/>
        <w:jc w:val="center"/>
        <w:textAlignment w:val="auto"/>
        <w:rPr>
          <w:rFonts w:hint="default" w:ascii="Times New Roman" w:hAnsi="Times New Roman" w:cs="Times New Roman"/>
          <w:sz w:val="24"/>
          <w:szCs w:val="24"/>
        </w:rPr>
      </w:pPr>
      <w:r>
        <w:rPr>
          <w:rFonts w:hint="default" w:ascii="Times New Roman" w:hAnsi="Times New Roman" w:eastAsia="Times New Roman" w:cs="Times New Roman"/>
          <w:b/>
          <w:sz w:val="24"/>
          <w:szCs w:val="24"/>
        </w:rPr>
        <w:t xml:space="preserve">Table S1. </w:t>
      </w:r>
      <w:r>
        <w:rPr>
          <w:rFonts w:hint="default" w:ascii="Times New Roman" w:hAnsi="Times New Roman" w:eastAsia="Times New Roman" w:cs="Times New Roman"/>
          <w:sz w:val="24"/>
          <w:szCs w:val="24"/>
        </w:rPr>
        <w:t>Interpretation of the decomposition components</w:t>
      </w:r>
    </w:p>
    <w:tbl>
      <w:tblPr>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2225"/>
        <w:gridCol w:w="5317"/>
        <w:gridCol w:w="1696"/>
      </w:tblGrid>
      <w:tr w14:paraId="06F13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blHeader/>
          <w:jc w:val="center"/>
        </w:trPr>
        <w:tc>
          <w:tcPr>
            <w:tcW w:w="1204" w:type="pct"/>
            <w:tcBorders>
              <w:top w:val="single" w:color="000000" w:sz="12" w:space="0"/>
              <w:left w:val="nil"/>
              <w:bottom w:val="single" w:color="000000" w:sz="8" w:space="0"/>
              <w:right w:val="single" w:color="000000" w:sz="12" w:space="0"/>
            </w:tcBorders>
            <w:shd w:val="clear" w:color="auto" w:fill="FFFFFF"/>
            <w:vAlign w:val="center"/>
          </w:tcPr>
          <w:p w14:paraId="2E8069F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Component</w:t>
            </w:r>
          </w:p>
        </w:tc>
        <w:tc>
          <w:tcPr>
            <w:tcW w:w="2877" w:type="pct"/>
            <w:tcBorders>
              <w:top w:val="single" w:color="000000" w:sz="12" w:space="0"/>
              <w:left w:val="nil"/>
              <w:bottom w:val="single" w:color="000000" w:sz="8" w:space="0"/>
              <w:right w:val="nil"/>
            </w:tcBorders>
            <w:shd w:val="clear" w:color="auto" w:fill="FFFFFF"/>
            <w:vAlign w:val="center"/>
          </w:tcPr>
          <w:p w14:paraId="18314C0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Operational meaning</w:t>
            </w:r>
          </w:p>
        </w:tc>
        <w:tc>
          <w:tcPr>
            <w:tcW w:w="918" w:type="pct"/>
            <w:tcBorders>
              <w:top w:val="single" w:color="000000" w:sz="12" w:space="0"/>
              <w:left w:val="nil"/>
              <w:bottom w:val="single" w:color="000000" w:sz="8" w:space="0"/>
              <w:right w:val="nil"/>
            </w:tcBorders>
            <w:shd w:val="clear" w:color="auto" w:fill="FFFFFF"/>
            <w:vAlign w:val="center"/>
          </w:tcPr>
          <w:p w14:paraId="5118BF5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Classification</w:t>
            </w:r>
          </w:p>
        </w:tc>
      </w:tr>
      <w:tr w14:paraId="6D2DA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1204" w:type="pct"/>
            <w:tcBorders>
              <w:top w:val="nil"/>
              <w:left w:val="nil"/>
              <w:bottom w:val="nil"/>
              <w:right w:val="single" w:color="000000" w:sz="12" w:space="0"/>
            </w:tcBorders>
            <w:shd w:val="clear" w:color="auto" w:fill="FFFFFF"/>
            <w:vAlign w:val="center"/>
          </w:tcPr>
          <w:p w14:paraId="34BE19AD">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Relative individual characteristics</w:t>
            </w:r>
          </w:p>
        </w:tc>
        <w:tc>
          <w:tcPr>
            <w:tcW w:w="2877" w:type="pct"/>
            <w:tcBorders>
              <w:top w:val="nil"/>
              <w:left w:val="nil"/>
              <w:bottom w:val="nil"/>
              <w:right w:val="nil"/>
            </w:tcBorders>
            <w:shd w:val="clear" w:color="auto" w:fill="FFFFFF"/>
            <w:vAlign w:val="center"/>
          </w:tcPr>
          <w:p w14:paraId="1BC2939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The local disabled/non-disabled difference in observed characteristics differs from the national difference</w:t>
            </w:r>
          </w:p>
        </w:tc>
        <w:tc>
          <w:tcPr>
            <w:tcW w:w="918" w:type="pct"/>
            <w:tcBorders>
              <w:top w:val="nil"/>
              <w:left w:val="nil"/>
              <w:bottom w:val="nil"/>
              <w:right w:val="nil"/>
            </w:tcBorders>
            <w:shd w:val="clear" w:color="auto" w:fill="FFFFFF"/>
            <w:vAlign w:val="center"/>
          </w:tcPr>
          <w:p w14:paraId="1904102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People component</w:t>
            </w:r>
          </w:p>
        </w:tc>
      </w:tr>
      <w:tr w14:paraId="4D2B5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1204" w:type="pct"/>
            <w:tcBorders>
              <w:top w:val="nil"/>
              <w:left w:val="nil"/>
              <w:bottom w:val="nil"/>
              <w:right w:val="single" w:color="000000" w:sz="12" w:space="0"/>
            </w:tcBorders>
            <w:shd w:val="clear" w:color="auto" w:fill="FFFFFF"/>
            <w:vAlign w:val="center"/>
          </w:tcPr>
          <w:p w14:paraId="29E49FA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Absolute individual characteristics</w:t>
            </w:r>
          </w:p>
        </w:tc>
        <w:tc>
          <w:tcPr>
            <w:tcW w:w="2877" w:type="pct"/>
            <w:tcBorders>
              <w:top w:val="nil"/>
              <w:left w:val="nil"/>
              <w:bottom w:val="nil"/>
              <w:right w:val="nil"/>
            </w:tcBorders>
            <w:shd w:val="clear" w:color="auto" w:fill="FFFFFF"/>
            <w:vAlign w:val="center"/>
          </w:tcPr>
          <w:p w14:paraId="0C51E6D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Disabled workers are locally concentrated in characteristics that are differently associated with underemployment across groups</w:t>
            </w:r>
          </w:p>
        </w:tc>
        <w:tc>
          <w:tcPr>
            <w:tcW w:w="918" w:type="pct"/>
            <w:tcBorders>
              <w:top w:val="nil"/>
              <w:left w:val="nil"/>
              <w:bottom w:val="nil"/>
              <w:right w:val="nil"/>
            </w:tcBorders>
            <w:shd w:val="clear" w:color="auto" w:fill="FFFFFF"/>
            <w:vAlign w:val="center"/>
          </w:tcPr>
          <w:p w14:paraId="12246971">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People component</w:t>
            </w:r>
          </w:p>
        </w:tc>
      </w:tr>
      <w:tr w14:paraId="7E504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1204" w:type="pct"/>
            <w:tcBorders>
              <w:top w:val="nil"/>
              <w:left w:val="nil"/>
              <w:bottom w:val="nil"/>
              <w:right w:val="single" w:color="000000" w:sz="12" w:space="0"/>
            </w:tcBorders>
            <w:shd w:val="clear" w:color="auto" w:fill="FFFFFF"/>
            <w:vAlign w:val="center"/>
          </w:tcPr>
          <w:p w14:paraId="0BD87EF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Observable area characteristics</w:t>
            </w:r>
          </w:p>
        </w:tc>
        <w:tc>
          <w:tcPr>
            <w:tcW w:w="2877" w:type="pct"/>
            <w:tcBorders>
              <w:top w:val="nil"/>
              <w:left w:val="nil"/>
              <w:bottom w:val="nil"/>
              <w:right w:val="nil"/>
            </w:tcBorders>
            <w:shd w:val="clear" w:color="auto" w:fill="FFFFFF"/>
            <w:vAlign w:val="center"/>
          </w:tcPr>
          <w:p w14:paraId="24AEDBB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Local labour-market characteristics are differently associated with disabled and non-disabled underemployment</w:t>
            </w:r>
          </w:p>
        </w:tc>
        <w:tc>
          <w:tcPr>
            <w:tcW w:w="918" w:type="pct"/>
            <w:tcBorders>
              <w:top w:val="nil"/>
              <w:left w:val="nil"/>
              <w:bottom w:val="nil"/>
              <w:right w:val="nil"/>
            </w:tcBorders>
            <w:shd w:val="clear" w:color="auto" w:fill="FFFFFF"/>
            <w:vAlign w:val="center"/>
          </w:tcPr>
          <w:p w14:paraId="10DF1CB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Place component</w:t>
            </w:r>
          </w:p>
        </w:tc>
      </w:tr>
      <w:tr w14:paraId="5B5E0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1204" w:type="pct"/>
            <w:tcBorders>
              <w:top w:val="nil"/>
              <w:left w:val="nil"/>
              <w:bottom w:val="single" w:color="000000" w:sz="12" w:space="0"/>
              <w:right w:val="single" w:color="000000" w:sz="12" w:space="0"/>
            </w:tcBorders>
            <w:shd w:val="clear" w:color="auto" w:fill="FFFFFF"/>
            <w:vAlign w:val="center"/>
          </w:tcPr>
          <w:p w14:paraId="5DCFB10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Residual area component</w:t>
            </w:r>
          </w:p>
        </w:tc>
        <w:tc>
          <w:tcPr>
            <w:tcW w:w="2877" w:type="pct"/>
            <w:tcBorders>
              <w:top w:val="nil"/>
              <w:left w:val="nil"/>
              <w:bottom w:val="single" w:color="000000" w:sz="12" w:space="0"/>
              <w:right w:val="nil"/>
            </w:tcBorders>
            <w:shd w:val="clear" w:color="auto" w:fill="FFFFFF"/>
            <w:vAlign w:val="center"/>
          </w:tcPr>
          <w:p w14:paraId="298AAF7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Remaining local disabled/non-disabled difference after observed individual and area characteristics</w:t>
            </w:r>
          </w:p>
        </w:tc>
        <w:tc>
          <w:tcPr>
            <w:tcW w:w="918" w:type="pct"/>
            <w:tcBorders>
              <w:top w:val="nil"/>
              <w:left w:val="nil"/>
              <w:bottom w:val="single" w:color="000000" w:sz="12" w:space="0"/>
              <w:right w:val="nil"/>
            </w:tcBorders>
            <w:shd w:val="clear" w:color="auto" w:fill="FFFFFF"/>
            <w:vAlign w:val="center"/>
          </w:tcPr>
          <w:p w14:paraId="2066F87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Place component</w:t>
            </w:r>
          </w:p>
        </w:tc>
      </w:tr>
    </w:tbl>
    <w:p w14:paraId="36157B82">
      <w:pPr>
        <w:pageBreakBefore w:val="0"/>
        <w:widowControl/>
        <w:kinsoku/>
        <w:wordWrap/>
        <w:overflowPunct/>
        <w:topLinePunct w:val="0"/>
        <w:autoSpaceDE/>
        <w:autoSpaceDN/>
        <w:bidi w:val="0"/>
        <w:adjustRightInd/>
        <w:snapToGrid/>
        <w:spacing w:before="0" w:after="160" w:line="240" w:lineRule="auto"/>
        <w:ind w:firstLine="0"/>
        <w:jc w:val="left"/>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i/>
          <w:sz w:val="24"/>
          <w:szCs w:val="24"/>
        </w:rPr>
        <w:t>Note.</w:t>
      </w:r>
      <w:r>
        <w:rPr>
          <w:rFonts w:hint="default" w:ascii="Times New Roman" w:hAnsi="Times New Roman" w:eastAsia="Times New Roman" w:cs="Times New Roman"/>
          <w:sz w:val="24"/>
          <w:szCs w:val="24"/>
        </w:rPr>
        <w:t xml:space="preserve"> Component labels follow the logic of Bryan et al. (2026). The sign convention is adapted because underemployment is an adverse outcome: DUG is disabled minus non-disabled underemployment.</w:t>
      </w:r>
    </w:p>
    <w:p w14:paraId="50701001">
      <w:pPr>
        <w:pageBreakBefore w:val="0"/>
        <w:widowControl/>
        <w:kinsoku/>
        <w:wordWrap/>
        <w:overflowPunct/>
        <w:topLinePunct w:val="0"/>
        <w:autoSpaceDE/>
        <w:autoSpaceDN/>
        <w:bidi w:val="0"/>
        <w:adjustRightInd/>
        <w:snapToGrid/>
        <w:spacing w:before="0" w:after="160" w:line="240" w:lineRule="auto"/>
        <w:ind w:firstLine="0"/>
        <w:jc w:val="left"/>
        <w:textAlignment w:val="auto"/>
        <w:rPr>
          <w:rFonts w:hint="default" w:ascii="Times New Roman" w:hAnsi="Times New Roman" w:eastAsia="Times New Roman" w:cs="Times New Roman"/>
          <w:sz w:val="24"/>
          <w:szCs w:val="24"/>
        </w:rPr>
      </w:pPr>
    </w:p>
    <w:p w14:paraId="5514FFB4">
      <w:pPr>
        <w:pageBreakBefore w:val="0"/>
        <w:widowControl/>
        <w:kinsoku/>
        <w:wordWrap/>
        <w:overflowPunct/>
        <w:topLinePunct w:val="0"/>
        <w:autoSpaceDE/>
        <w:autoSpaceDN/>
        <w:bidi w:val="0"/>
        <w:adjustRightInd/>
        <w:snapToGrid/>
        <w:spacing w:before="0" w:after="160" w:line="240" w:lineRule="auto"/>
        <w:ind w:firstLine="0"/>
        <w:textAlignment w:val="auto"/>
        <w:rPr>
          <w:rFonts w:hint="default" w:ascii="Times New Roman" w:hAnsi="Times New Roman" w:cs="Times New Roman"/>
          <w:sz w:val="24"/>
          <w:szCs w:val="24"/>
        </w:rPr>
      </w:pPr>
      <w:r>
        <w:rPr>
          <w:rFonts w:hint="default" w:ascii="Times New Roman" w:hAnsi="Times New Roman" w:eastAsia="Times New Roman" w:cs="Times New Roman"/>
          <w:b/>
          <w:sz w:val="24"/>
          <w:szCs w:val="24"/>
        </w:rPr>
        <w:t>S1A. Notation used in Equations (1)-(5)</w:t>
      </w:r>
    </w:p>
    <w:p>
      <w:pPr/>
      <w:r>
        <w:t>Table S1A lists the notation and typographic conventions used in Equations (1)-(5).</w:t>
      </w:r>
    </w:p>
    <w:p w14:paraId="42E58A37">
      <w:pPr>
        <w:pageBreakBefore w:val="0"/>
        <w:widowControl/>
        <w:kinsoku/>
        <w:wordWrap/>
        <w:overflowPunct/>
        <w:topLinePunct w:val="0"/>
        <w:autoSpaceDE/>
        <w:autoSpaceDN/>
        <w:bidi w:val="0"/>
        <w:adjustRightInd/>
        <w:snapToGrid/>
        <w:spacing w:before="0" w:after="160" w:line="240" w:lineRule="auto"/>
        <w:ind w:firstLine="0"/>
        <w:jc w:val="center"/>
        <w:textAlignment w:val="auto"/>
        <w:rPr>
          <w:rFonts w:hint="default" w:ascii="Times New Roman" w:hAnsi="Times New Roman" w:eastAsia="Times New Roman" w:cs="Times New Roman"/>
          <w:i/>
          <w:sz w:val="24"/>
          <w:szCs w:val="24"/>
        </w:rPr>
      </w:pPr>
      <w:r>
        <w:rPr>
          <w:rFonts w:hint="default" w:ascii="Times New Roman" w:hAnsi="Times New Roman" w:eastAsia="Times New Roman" w:cs="Times New Roman"/>
          <w:b/>
          <w:sz w:val="24"/>
          <w:szCs w:val="24"/>
        </w:rPr>
        <w:t xml:space="preserve">Table S1A. </w:t>
      </w:r>
      <w:r>
        <w:rPr>
          <w:rFonts w:hint="default" w:ascii="Times New Roman" w:hAnsi="Times New Roman" w:eastAsia="Times New Roman" w:cs="Times New Roman"/>
          <w:sz w:val="24"/>
          <w:szCs w:val="24"/>
        </w:rPr>
        <w:t>Mathematical notation and typographic conventions</w:t>
      </w:r>
    </w:p>
    <w:tbl>
      <w:tblPr>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990"/>
        <w:gridCol w:w="8248"/>
      </w:tblGrid>
      <w:tr w14:paraId="4F46B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blHeader/>
          <w:jc w:val="center"/>
        </w:trPr>
        <w:tc>
          <w:tcPr>
            <w:tcW w:w="524" w:type="pct"/>
            <w:tcBorders>
              <w:top w:val="single" w:color="000000" w:sz="12" w:space="0"/>
              <w:left w:val="nil"/>
              <w:bottom w:val="single" w:color="000000" w:sz="8" w:space="0"/>
              <w:right w:val="single" w:color="000000" w:sz="12" w:space="0"/>
            </w:tcBorders>
            <w:shd w:val="clear" w:color="auto" w:fill="FFFFFF"/>
            <w:vAlign w:val="center"/>
          </w:tcPr>
          <w:p w14:paraId="104EC0B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Symbol</w:t>
            </w:r>
          </w:p>
        </w:tc>
        <w:tc>
          <w:tcPr>
            <w:tcW w:w="4475" w:type="pct"/>
            <w:tcBorders>
              <w:top w:val="single" w:color="000000" w:sz="12" w:space="0"/>
              <w:left w:val="nil"/>
              <w:bottom w:val="single" w:color="000000" w:sz="8" w:space="0"/>
              <w:right w:val="nil"/>
            </w:tcBorders>
            <w:shd w:val="clear" w:color="auto" w:fill="FFFFFF"/>
            <w:vAlign w:val="center"/>
          </w:tcPr>
          <w:p w14:paraId="0290D7C1">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Meaning</w:t>
            </w:r>
          </w:p>
        </w:tc>
      </w:tr>
      <w:tr w14:paraId="0073B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4" w:type="pct"/>
            <w:tcBorders>
              <w:top w:val="nil"/>
              <w:left w:val="nil"/>
              <w:bottom w:val="nil"/>
              <w:right w:val="single" w:color="000000" w:sz="12" w:space="0"/>
            </w:tcBorders>
            <w:shd w:val="clear" w:color="auto" w:fill="FFFFFF"/>
            <w:vAlign w:val="center"/>
          </w:tcPr>
          <w:p w14:paraId="7E58E72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m:oMathPara>
              <m:oMath>
                <m:r>
                  <m:rPr>
                    <m:nor/>
                  </m:rPr>
                  <w:rPr>
                    <w:rFonts w:hint="default" w:ascii="Times New Roman" w:hAnsi="Times New Roman" w:eastAsia="Times New Roman" w:cs="Times New Roman"/>
                    <w:b w:val="0"/>
                    <w:i/>
                    <w:color w:val="000000"/>
                    <w:sz w:val="24"/>
                    <w:szCs w:val="24"/>
                  </w:rPr>
                  <m:t>D</m:t>
                </m:r>
                <m:r>
                  <m:rPr>
                    <m:nor/>
                    <m:sty m:val="p"/>
                  </m:rPr>
                  <w:rPr>
                    <w:rFonts w:hint="default" w:ascii="Times New Roman" w:hAnsi="Times New Roman" w:eastAsia="Times New Roman" w:cs="Times New Roman"/>
                    <w:b w:val="0"/>
                    <w:i w:val="0"/>
                    <w:color w:val="000000"/>
                    <w:sz w:val="24"/>
                    <w:szCs w:val="24"/>
                  </w:rPr>
                  <m:t xml:space="preserve">, </m:t>
                </m:r>
                <m:r>
                  <m:rPr>
                    <m:nor/>
                  </m:rPr>
                  <w:rPr>
                    <w:rFonts w:hint="default" w:ascii="Times New Roman" w:hAnsi="Times New Roman" w:eastAsia="Times New Roman" w:cs="Times New Roman"/>
                    <w:b w:val="0"/>
                    <w:i/>
                    <w:color w:val="000000"/>
                    <w:sz w:val="24"/>
                    <w:szCs w:val="24"/>
                  </w:rPr>
                  <m:t>i</m:t>
                </m:r>
                <m:r>
                  <m:rPr>
                    <m:nor/>
                    <m:sty m:val="p"/>
                  </m:rPr>
                  <w:rPr>
                    <w:rFonts w:hint="default" w:ascii="Times New Roman" w:hAnsi="Times New Roman" w:eastAsia="Times New Roman" w:cs="Times New Roman"/>
                    <w:b w:val="0"/>
                    <w:i w:val="0"/>
                    <w:color w:val="000000"/>
                    <w:sz w:val="24"/>
                    <w:szCs w:val="24"/>
                  </w:rPr>
                  <m:t xml:space="preserve">, </m:t>
                </m:r>
                <m:r>
                  <m:rPr>
                    <m:nor/>
                  </m:rPr>
                  <w:rPr>
                    <w:rFonts w:hint="default" w:ascii="Times New Roman" w:hAnsi="Times New Roman" w:eastAsia="Times New Roman" w:cs="Times New Roman"/>
                    <w:b w:val="0"/>
                    <w:i/>
                    <w:color w:val="000000"/>
                    <w:sz w:val="24"/>
                    <w:szCs w:val="24"/>
                  </w:rPr>
                  <m:t>j</m:t>
                </m:r>
              </m:oMath>
            </m:oMathPara>
          </w:p>
        </w:tc>
        <w:tc>
          <w:tcPr>
            <w:tcW w:w="4475" w:type="pct"/>
            <w:tcBorders>
              <w:top w:val="nil"/>
              <w:left w:val="nil"/>
              <w:bottom w:val="nil"/>
              <w:right w:val="nil"/>
            </w:tcBorders>
            <w:shd w:val="clear" w:color="auto" w:fill="FFFFFF"/>
            <w:vAlign w:val="center"/>
          </w:tcPr>
          <w:p w14:paraId="084EE2C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D denotes disability group (D=1 disabled; D=0 non-disabled); i indexes pooled person-wave records; j indexes harmonised study areas.</w:t>
            </w:r>
          </w:p>
        </w:tc>
      </w:tr>
      <w:tr w14:paraId="7016C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4" w:type="pct"/>
            <w:tcBorders>
              <w:top w:val="nil"/>
              <w:left w:val="nil"/>
              <w:bottom w:val="nil"/>
              <w:right w:val="single" w:color="000000" w:sz="12" w:space="0"/>
            </w:tcBorders>
            <w:shd w:val="clear" w:color="auto" w:fill="FFFFFF"/>
            <w:vAlign w:val="center"/>
          </w:tcPr>
          <w:p w14:paraId="6A7FDD4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m:oMathPara>
              <m:oMath>
                <m:r>
                  <m:rPr>
                    <m:nor/>
                  </m:rPr>
                  <w:rPr>
                    <w:rFonts w:hint="default" w:ascii="Times New Roman" w:hAnsi="Times New Roman" w:eastAsia="Times New Roman" w:cs="Times New Roman"/>
                    <w:b w:val="0"/>
                    <w:i/>
                    <w:color w:val="000000"/>
                    <w:sz w:val="24"/>
                    <w:szCs w:val="24"/>
                  </w:rPr>
                  <m:t>u</m:t>
                </m:r>
              </m:oMath>
            </m:oMathPara>
          </w:p>
        </w:tc>
        <w:tc>
          <w:tcPr>
            <w:tcW w:w="4475" w:type="pct"/>
            <w:tcBorders>
              <w:top w:val="nil"/>
              <w:left w:val="nil"/>
              <w:bottom w:val="nil"/>
              <w:right w:val="nil"/>
            </w:tcBorders>
            <w:shd w:val="clear" w:color="auto" w:fill="FFFFFF"/>
            <w:vAlign w:val="center"/>
          </w:tcPr>
          <w:p w14:paraId="107D460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Binary hours-related underemployment outcome.</w:t>
            </w:r>
          </w:p>
        </w:tc>
      </w:tr>
      <w:tr w14:paraId="454CB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524" w:type="pct"/>
            <w:tcBorders>
              <w:top w:val="nil"/>
              <w:left w:val="nil"/>
              <w:bottom w:val="nil"/>
              <w:right w:val="single" w:color="000000" w:sz="12" w:space="0"/>
            </w:tcBorders>
            <w:shd w:val="clear" w:color="auto" w:fill="FFFFFF"/>
            <w:vAlign w:val="center"/>
          </w:tcPr>
          <w:p w14:paraId="2BC6D31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m:oMathPara>
              <m:oMath>
                <m:r>
                  <m:rPr>
                    <m:nor/>
                  </m:rPr>
                  <w:rPr>
                    <w:rFonts w:hint="default" w:ascii="Times New Roman" w:hAnsi="Times New Roman" w:eastAsia="Times New Roman" w:cs="Times New Roman"/>
                    <w:b w:val="0"/>
                    <w:i/>
                    <w:color w:val="000000"/>
                    <w:sz w:val="24"/>
                    <w:szCs w:val="24"/>
                  </w:rPr>
                  <m:t>α</m:t>
                </m:r>
              </m:oMath>
            </m:oMathPara>
          </w:p>
        </w:tc>
        <w:tc>
          <w:tcPr>
            <w:tcW w:w="4475" w:type="pct"/>
            <w:tcBorders>
              <w:top w:val="nil"/>
              <w:left w:val="nil"/>
              <w:bottom w:val="nil"/>
              <w:right w:val="nil"/>
            </w:tcBorders>
            <w:shd w:val="clear" w:color="auto" w:fill="FFFFFF"/>
            <w:vAlign w:val="center"/>
          </w:tcPr>
          <w:p w14:paraId="1668CAC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Group-specific intercept parameter.</w:t>
            </w:r>
          </w:p>
        </w:tc>
      </w:tr>
      <w:tr w14:paraId="55C2B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4" w:type="pct"/>
            <w:tcBorders>
              <w:top w:val="nil"/>
              <w:left w:val="nil"/>
              <w:bottom w:val="nil"/>
              <w:right w:val="single" w:color="000000" w:sz="12" w:space="0"/>
            </w:tcBorders>
            <w:shd w:val="clear" w:color="auto" w:fill="FFFFFF"/>
            <w:vAlign w:val="center"/>
          </w:tcPr>
          <w:p w14:paraId="571C0C8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m:oMathPara>
              <m:oMath>
                <m:r>
                  <m:rPr>
                    <m:nor/>
                  </m:rPr>
                  <w:rPr>
                    <w:rFonts w:hint="default" w:ascii="Times New Roman" w:hAnsi="Times New Roman" w:eastAsia="Times New Roman" w:cs="Times New Roman"/>
                    <w:b w:val="0"/>
                    <w:i/>
                    <w:color w:val="000000"/>
                    <w:sz w:val="24"/>
                    <w:szCs w:val="24"/>
                  </w:rPr>
                  <m:t>x</m:t>
                </m:r>
              </m:oMath>
            </m:oMathPara>
          </w:p>
        </w:tc>
        <w:tc>
          <w:tcPr>
            <w:tcW w:w="4475" w:type="pct"/>
            <w:tcBorders>
              <w:top w:val="nil"/>
              <w:left w:val="nil"/>
              <w:bottom w:val="nil"/>
              <w:right w:val="nil"/>
            </w:tcBorders>
            <w:shd w:val="clear" w:color="auto" w:fill="FFFFFF"/>
            <w:vAlign w:val="center"/>
          </w:tcPr>
          <w:p w14:paraId="2582F6E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Vector of individual and household covariates.</w:t>
            </w:r>
          </w:p>
        </w:tc>
      </w:tr>
      <w:tr w14:paraId="4B832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524" w:type="pct"/>
            <w:tcBorders>
              <w:top w:val="nil"/>
              <w:left w:val="nil"/>
              <w:bottom w:val="nil"/>
              <w:right w:val="single" w:color="000000" w:sz="12" w:space="0"/>
            </w:tcBorders>
            <w:shd w:val="clear" w:color="auto" w:fill="FFFFFF"/>
            <w:vAlign w:val="center"/>
          </w:tcPr>
          <w:p w14:paraId="2B4370D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m:oMathPara>
              <m:oMath>
                <m:r>
                  <m:rPr>
                    <m:nor/>
                  </m:rPr>
                  <w:rPr>
                    <w:rFonts w:hint="default" w:ascii="Times New Roman" w:hAnsi="Times New Roman" w:eastAsia="Times New Roman" w:cs="Times New Roman"/>
                    <w:b w:val="0"/>
                    <w:i/>
                    <w:color w:val="000000"/>
                    <w:sz w:val="24"/>
                    <w:szCs w:val="24"/>
                  </w:rPr>
                  <m:t>β</m:t>
                </m:r>
              </m:oMath>
            </m:oMathPara>
          </w:p>
        </w:tc>
        <w:tc>
          <w:tcPr>
            <w:tcW w:w="4475" w:type="pct"/>
            <w:tcBorders>
              <w:top w:val="nil"/>
              <w:left w:val="nil"/>
              <w:bottom w:val="nil"/>
              <w:right w:val="nil"/>
            </w:tcBorders>
            <w:shd w:val="clear" w:color="auto" w:fill="FFFFFF"/>
            <w:vAlign w:val="center"/>
          </w:tcPr>
          <w:p w14:paraId="2D60862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Coefficient vector for individual and household covariates.</w:t>
            </w:r>
          </w:p>
        </w:tc>
      </w:tr>
      <w:tr w14:paraId="2A056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524" w:type="pct"/>
            <w:tcBorders>
              <w:top w:val="nil"/>
              <w:left w:val="nil"/>
              <w:bottom w:val="nil"/>
              <w:right w:val="single" w:color="000000" w:sz="12" w:space="0"/>
            </w:tcBorders>
            <w:shd w:val="clear" w:color="auto" w:fill="FFFFFF"/>
            <w:vAlign w:val="center"/>
          </w:tcPr>
          <w:p w14:paraId="4F21374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m:oMathPara>
              <m:oMath>
                <m:r>
                  <m:rPr>
                    <m:nor/>
                  </m:rPr>
                  <w:rPr>
                    <w:rFonts w:hint="default" w:ascii="Times New Roman" w:hAnsi="Times New Roman" w:eastAsia="Times New Roman" w:cs="Times New Roman"/>
                    <w:b w:val="0"/>
                    <w:i/>
                    <w:color w:val="000000"/>
                    <w:sz w:val="24"/>
                    <w:szCs w:val="24"/>
                  </w:rPr>
                  <m:t>z</m:t>
                </m:r>
              </m:oMath>
            </m:oMathPara>
          </w:p>
        </w:tc>
        <w:tc>
          <w:tcPr>
            <w:tcW w:w="4475" w:type="pct"/>
            <w:tcBorders>
              <w:top w:val="nil"/>
              <w:left w:val="nil"/>
              <w:bottom w:val="nil"/>
              <w:right w:val="nil"/>
            </w:tcBorders>
            <w:shd w:val="clear" w:color="auto" w:fill="FFFFFF"/>
            <w:vAlign w:val="center"/>
          </w:tcPr>
          <w:p w14:paraId="4907998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Vector of observable study-area characteristics.</w:t>
            </w:r>
          </w:p>
        </w:tc>
      </w:tr>
      <w:tr w14:paraId="0172E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524" w:type="pct"/>
            <w:tcBorders>
              <w:top w:val="nil"/>
              <w:left w:val="nil"/>
              <w:bottom w:val="nil"/>
              <w:right w:val="single" w:color="000000" w:sz="12" w:space="0"/>
            </w:tcBorders>
            <w:shd w:val="clear" w:color="auto" w:fill="FFFFFF"/>
            <w:vAlign w:val="center"/>
          </w:tcPr>
          <w:p w14:paraId="2666630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m:oMathPara>
              <m:oMath>
                <m:r>
                  <m:rPr>
                    <m:nor/>
                  </m:rPr>
                  <w:rPr>
                    <w:rFonts w:hint="default" w:ascii="Times New Roman" w:hAnsi="Times New Roman" w:eastAsia="Times New Roman" w:cs="Times New Roman"/>
                    <w:b w:val="0"/>
                    <w:i/>
                    <w:color w:val="000000"/>
                    <w:sz w:val="24"/>
                    <w:szCs w:val="24"/>
                  </w:rPr>
                  <m:t>γ</m:t>
                </m:r>
              </m:oMath>
            </m:oMathPara>
          </w:p>
        </w:tc>
        <w:tc>
          <w:tcPr>
            <w:tcW w:w="4475" w:type="pct"/>
            <w:tcBorders>
              <w:top w:val="nil"/>
              <w:left w:val="nil"/>
              <w:bottom w:val="nil"/>
              <w:right w:val="nil"/>
            </w:tcBorders>
            <w:shd w:val="clear" w:color="auto" w:fill="FFFFFF"/>
            <w:vAlign w:val="center"/>
          </w:tcPr>
          <w:p w14:paraId="56E18A4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Coefficient vector for observable study-area characteristics.</w:t>
            </w:r>
          </w:p>
        </w:tc>
      </w:tr>
      <w:tr w14:paraId="0DA6C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524" w:type="pct"/>
            <w:tcBorders>
              <w:top w:val="nil"/>
              <w:left w:val="nil"/>
              <w:bottom w:val="nil"/>
              <w:right w:val="single" w:color="000000" w:sz="12" w:space="0"/>
            </w:tcBorders>
            <w:shd w:val="clear" w:color="auto" w:fill="FFFFFF"/>
            <w:vAlign w:val="center"/>
          </w:tcPr>
          <w:p w14:paraId="01E81C0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m:oMathPara>
              <m:oMath>
                <m:r>
                  <m:rPr>
                    <m:nor/>
                  </m:rPr>
                  <w:rPr>
                    <w:rFonts w:hint="default" w:ascii="Times New Roman" w:hAnsi="Times New Roman" w:eastAsia="Times New Roman" w:cs="Times New Roman"/>
                    <w:b w:val="0"/>
                    <w:i/>
                    <w:color w:val="000000"/>
                    <w:sz w:val="24"/>
                    <w:szCs w:val="24"/>
                  </w:rPr>
                  <m:t>μ</m:t>
                </m:r>
              </m:oMath>
            </m:oMathPara>
          </w:p>
        </w:tc>
        <w:tc>
          <w:tcPr>
            <w:tcW w:w="4475" w:type="pct"/>
            <w:tcBorders>
              <w:top w:val="nil"/>
              <w:left w:val="nil"/>
              <w:bottom w:val="nil"/>
              <w:right w:val="nil"/>
            </w:tcBorders>
            <w:shd w:val="clear" w:color="auto" w:fill="FFFFFF"/>
            <w:vAlign w:val="center"/>
          </w:tcPr>
          <w:p w14:paraId="09E4489D">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Unobserved area effect in the full representation.</w:t>
            </w:r>
          </w:p>
        </w:tc>
      </w:tr>
      <w:tr w14:paraId="37EEA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524" w:type="pct"/>
            <w:tcBorders>
              <w:top w:val="nil"/>
              <w:left w:val="nil"/>
              <w:bottom w:val="nil"/>
              <w:right w:val="single" w:color="000000" w:sz="12" w:space="0"/>
            </w:tcBorders>
            <w:shd w:val="clear" w:color="auto" w:fill="FFFFFF"/>
            <w:vAlign w:val="center"/>
          </w:tcPr>
          <w:p w14:paraId="15E2F1B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m:oMathPara>
              <m:oMath>
                <m:r>
                  <m:rPr>
                    <m:nor/>
                  </m:rPr>
                  <w:rPr>
                    <w:rFonts w:hint="default" w:ascii="Times New Roman" w:hAnsi="Times New Roman" w:eastAsia="Times New Roman" w:cs="Times New Roman"/>
                    <w:b w:val="0"/>
                    <w:i/>
                    <w:color w:val="000000"/>
                    <w:sz w:val="24"/>
                    <w:szCs w:val="24"/>
                  </w:rPr>
                  <m:t>ε</m:t>
                </m:r>
              </m:oMath>
            </m:oMathPara>
          </w:p>
        </w:tc>
        <w:tc>
          <w:tcPr>
            <w:tcW w:w="4475" w:type="pct"/>
            <w:tcBorders>
              <w:top w:val="nil"/>
              <w:left w:val="nil"/>
              <w:bottom w:val="nil"/>
              <w:right w:val="nil"/>
            </w:tcBorders>
            <w:shd w:val="clear" w:color="auto" w:fill="FFFFFF"/>
            <w:vAlign w:val="center"/>
          </w:tcPr>
          <w:p w14:paraId="3C4DE91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Person-level disturbance term.</w:t>
            </w:r>
          </w:p>
        </w:tc>
      </w:tr>
      <w:tr w14:paraId="5D4AF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524" w:type="pct"/>
            <w:tcBorders>
              <w:top w:val="nil"/>
              <w:left w:val="nil"/>
              <w:bottom w:val="nil"/>
              <w:right w:val="single" w:color="000000" w:sz="12" w:space="0"/>
            </w:tcBorders>
            <w:shd w:val="clear" w:color="auto" w:fill="FFFFFF"/>
            <w:vAlign w:val="center"/>
          </w:tcPr>
          <w:p w14:paraId="796C054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m:oMathPara>
              <m:oMath>
                <m:r>
                  <m:rPr>
                    <m:nor/>
                  </m:rPr>
                  <w:rPr>
                    <w:rFonts w:hint="default" w:ascii="Times New Roman" w:hAnsi="Times New Roman" w:eastAsia="Times New Roman" w:cs="Times New Roman"/>
                    <w:b w:val="0"/>
                    <w:i/>
                    <w:color w:val="000000"/>
                    <w:sz w:val="24"/>
                    <w:szCs w:val="24"/>
                  </w:rPr>
                  <m:t>ν</m:t>
                </m:r>
              </m:oMath>
            </m:oMathPara>
          </w:p>
        </w:tc>
        <w:tc>
          <w:tcPr>
            <w:tcW w:w="4475" w:type="pct"/>
            <w:tcBorders>
              <w:top w:val="nil"/>
              <w:left w:val="nil"/>
              <w:bottom w:val="nil"/>
              <w:right w:val="nil"/>
            </w:tcBorders>
            <w:shd w:val="clear" w:color="auto" w:fill="FFFFFF"/>
            <w:vAlign w:val="center"/>
          </w:tcPr>
          <w:p w14:paraId="7B93CAA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First-stage area fixed effect; a hat denotes its estimated value.</w:t>
            </w:r>
          </w:p>
        </w:tc>
      </w:tr>
      <w:tr w14:paraId="5BFA1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4" w:type="pct"/>
            <w:tcBorders>
              <w:top w:val="nil"/>
              <w:left w:val="nil"/>
              <w:bottom w:val="nil"/>
              <w:right w:val="single" w:color="000000" w:sz="12" w:space="0"/>
            </w:tcBorders>
            <w:shd w:val="clear" w:color="auto" w:fill="FFFFFF"/>
            <w:vAlign w:val="center"/>
          </w:tcPr>
          <w:p w14:paraId="2FC3744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m:oMathPara>
              <m:oMath>
                <m:r>
                  <m:rPr>
                    <m:nor/>
                  </m:rPr>
                  <w:rPr>
                    <w:rFonts w:hint="default" w:ascii="Times New Roman" w:hAnsi="Times New Roman" w:eastAsia="Times New Roman" w:cs="Times New Roman"/>
                    <w:b w:val="0"/>
                    <w:i/>
                    <w:color w:val="000000"/>
                    <w:sz w:val="24"/>
                    <w:szCs w:val="24"/>
                  </w:rPr>
                  <m:t>η</m:t>
                </m:r>
              </m:oMath>
            </m:oMathPara>
          </w:p>
        </w:tc>
        <w:tc>
          <w:tcPr>
            <w:tcW w:w="4475" w:type="pct"/>
            <w:tcBorders>
              <w:top w:val="nil"/>
              <w:left w:val="nil"/>
              <w:bottom w:val="nil"/>
              <w:right w:val="nil"/>
            </w:tcBorders>
            <w:shd w:val="clear" w:color="auto" w:fill="FFFFFF"/>
            <w:vAlign w:val="center"/>
          </w:tcPr>
          <w:p w14:paraId="68758A4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Second-stage residual area component; a hat denotes its estimated value.</w:t>
            </w:r>
          </w:p>
        </w:tc>
      </w:tr>
      <w:tr w14:paraId="22FCD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4" w:type="pct"/>
            <w:tcBorders>
              <w:top w:val="nil"/>
              <w:left w:val="nil"/>
              <w:bottom w:val="nil"/>
              <w:right w:val="single" w:color="000000" w:sz="12" w:space="0"/>
            </w:tcBorders>
            <w:shd w:val="clear" w:color="auto" w:fill="FFFFFF"/>
            <w:vAlign w:val="center"/>
          </w:tcPr>
          <w:p w14:paraId="1E16191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m:oMathPara>
              <m:oMath>
                <m:r>
                  <m:rPr>
                    <m:nor/>
                    <m:sty m:val="p"/>
                  </m:rPr>
                  <w:rPr>
                    <w:rFonts w:hint="default" w:ascii="Times New Roman" w:hAnsi="Times New Roman" w:eastAsia="Times New Roman" w:cs="Times New Roman"/>
                    <w:b w:val="0"/>
                    <w:i w:val="0"/>
                    <w:color w:val="000000"/>
                    <w:sz w:val="24"/>
                    <w:szCs w:val="24"/>
                  </w:rPr>
                  <m:t>DUG</m:t>
                </m:r>
              </m:oMath>
            </m:oMathPara>
          </w:p>
        </w:tc>
        <w:tc>
          <w:tcPr>
            <w:tcW w:w="4475" w:type="pct"/>
            <w:tcBorders>
              <w:top w:val="nil"/>
              <w:left w:val="nil"/>
              <w:bottom w:val="nil"/>
              <w:right w:val="nil"/>
            </w:tcBorders>
            <w:shd w:val="clear" w:color="auto" w:fill="FFFFFF"/>
            <w:vAlign w:val="center"/>
          </w:tcPr>
          <w:p w14:paraId="403EDD4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Disability underemployment gap, defined as disabled minus non-disabled underemployment.</w:t>
            </w:r>
          </w:p>
        </w:tc>
      </w:tr>
      <w:tr w14:paraId="2AE9B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524" w:type="pct"/>
            <w:tcBorders>
              <w:top w:val="nil"/>
              <w:left w:val="nil"/>
              <w:bottom w:val="single" w:color="000000" w:sz="12" w:space="0"/>
              <w:right w:val="single" w:color="000000" w:sz="12" w:space="0"/>
            </w:tcBorders>
            <w:shd w:val="clear" w:color="auto" w:fill="FFFFFF"/>
            <w:vAlign w:val="center"/>
          </w:tcPr>
          <w:p w14:paraId="307A266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m:oMathPara>
              <m:oMath>
                <m:r>
                  <m:rPr>
                    <m:nor/>
                    <m:sty m:val="p"/>
                  </m:rPr>
                  <w:rPr>
                    <w:rFonts w:hint="default" w:ascii="Times New Roman" w:hAnsi="Times New Roman" w:eastAsia="Times New Roman" w:cs="Times New Roman"/>
                    <w:b w:val="0"/>
                    <w:i w:val="0"/>
                    <w:color w:val="000000"/>
                    <w:sz w:val="24"/>
                    <w:szCs w:val="24"/>
                  </w:rPr>
                  <m:t>Δ, c</m:t>
                </m:r>
              </m:oMath>
            </m:oMathPara>
          </w:p>
        </w:tc>
        <w:tc>
          <w:tcPr>
            <w:tcW w:w="4475" w:type="pct"/>
            <w:tcBorders>
              <w:top w:val="nil"/>
              <w:left w:val="nil"/>
              <w:bottom w:val="single" w:color="000000" w:sz="12" w:space="0"/>
              <w:right w:val="nil"/>
            </w:tcBorders>
            <w:shd w:val="clear" w:color="auto" w:fill="FFFFFF"/>
            <w:vAlign w:val="center"/>
          </w:tcPr>
          <w:p w14:paraId="70777B9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Delta denotes a local-minus-national deviation; bars denote means, hats denote estimates, and c is the decomposition constant.</w:t>
            </w:r>
          </w:p>
        </w:tc>
      </w:tr>
    </w:tbl>
    <w:p w14:paraId="6A5A8571">
      <w:pPr>
        <w:pageBreakBefore w:val="0"/>
        <w:widowControl/>
        <w:kinsoku/>
        <w:wordWrap/>
        <w:overflowPunct/>
        <w:topLinePunct w:val="0"/>
        <w:autoSpaceDE/>
        <w:autoSpaceDN/>
        <w:bidi w:val="0"/>
        <w:adjustRightInd/>
        <w:snapToGrid/>
        <w:spacing w:before="0" w:after="160" w:line="240" w:lineRule="auto"/>
        <w:ind w:firstLine="0"/>
        <w:jc w:val="left"/>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i/>
          <w:sz w:val="24"/>
          <w:szCs w:val="24"/>
        </w:rPr>
        <w:t>Note.</w:t>
      </w:r>
      <w:r>
        <w:rPr>
          <w:rFonts w:hint="default" w:ascii="Times New Roman" w:hAnsi="Times New Roman" w:eastAsia="Times New Roman" w:cs="Times New Roman"/>
          <w:sz w:val="24"/>
          <w:szCs w:val="24"/>
        </w:rPr>
        <w:t xml:space="preserve"> Greek letters used as parameters or disturbances are set in italic; coefficient vectors are bold italic; operators and the DUG acronym are upright. All mathematical symbols in the table use Word equation objects.</w:t>
      </w:r>
    </w:p>
    <w:p w14:paraId="2A76E783">
      <w:pPr>
        <w:pageBreakBefore w:val="0"/>
        <w:widowControl/>
        <w:kinsoku/>
        <w:wordWrap/>
        <w:overflowPunct/>
        <w:topLinePunct w:val="0"/>
        <w:autoSpaceDE/>
        <w:autoSpaceDN/>
        <w:bidi w:val="0"/>
        <w:adjustRightInd/>
        <w:snapToGrid/>
        <w:spacing w:before="0" w:after="160" w:line="240" w:lineRule="auto"/>
        <w:ind w:firstLine="0"/>
        <w:jc w:val="left"/>
        <w:textAlignment w:val="auto"/>
        <w:rPr>
          <w:rFonts w:hint="default" w:ascii="Times New Roman" w:hAnsi="Times New Roman" w:eastAsia="Times New Roman" w:cs="Times New Roman"/>
          <w:sz w:val="24"/>
          <w:szCs w:val="24"/>
        </w:rPr>
      </w:pPr>
    </w:p>
    <w:p w14:paraId="02D6FD56">
      <w:pPr>
        <w:keepNext/>
        <w:pageBreakBefore w:val="0"/>
        <w:widowControl/>
        <w:kinsoku/>
        <w:wordWrap/>
        <w:overflowPunct/>
        <w:topLinePunct w:val="0"/>
        <w:autoSpaceDE/>
        <w:autoSpaceDN/>
        <w:bidi w:val="0"/>
        <w:adjustRightInd/>
        <w:snapToGrid/>
        <w:spacing w:before="0" w:after="160" w:line="240" w:lineRule="auto"/>
        <w:ind w:firstLine="0"/>
        <w:jc w:val="both"/>
        <w:textAlignment w:val="auto"/>
        <w:rPr>
          <w:rFonts w:hint="default" w:ascii="Times New Roman" w:hAnsi="Times New Roman" w:cs="Times New Roman"/>
          <w:sz w:val="24"/>
          <w:szCs w:val="24"/>
        </w:rPr>
      </w:pPr>
      <w:r>
        <w:rPr>
          <w:rFonts w:hint="default" w:ascii="Times New Roman" w:hAnsi="Times New Roman" w:eastAsia="Times New Roman" w:cs="Times New Roman"/>
          <w:b/>
          <w:i w:val="0"/>
          <w:sz w:val="24"/>
          <w:szCs w:val="24"/>
        </w:rPr>
        <w:t>S2. Variables, coding and provenance</w:t>
      </w:r>
    </w:p>
    <w:p>
      <w:pPr/>
      <w:r>
        <w:t>Table S2 documents the variables, coding decisions, operational roles, and data provenance.</w:t>
      </w:r>
    </w:p>
    <w:p w14:paraId="768BE6E9">
      <w:pPr>
        <w:keepNext/>
        <w:pageBreakBefore w:val="0"/>
        <w:widowControl/>
        <w:kinsoku/>
        <w:wordWrap/>
        <w:overflowPunct/>
        <w:topLinePunct w:val="0"/>
        <w:autoSpaceDE/>
        <w:autoSpaceDN/>
        <w:bidi w:val="0"/>
        <w:adjustRightInd/>
        <w:snapToGrid/>
        <w:spacing w:before="0" w:after="160" w:line="240" w:lineRule="auto"/>
        <w:ind w:firstLine="0"/>
        <w:jc w:val="center"/>
        <w:textAlignment w:val="auto"/>
        <w:rPr>
          <w:rFonts w:hint="default" w:ascii="Times New Roman" w:hAnsi="Times New Roman" w:cs="Times New Roman"/>
          <w:sz w:val="24"/>
          <w:szCs w:val="24"/>
        </w:rPr>
      </w:pPr>
      <w:r>
        <w:rPr>
          <w:rFonts w:hint="default" w:ascii="Times New Roman" w:hAnsi="Times New Roman" w:eastAsia="Times New Roman" w:cs="Times New Roman"/>
          <w:b/>
          <w:sz w:val="24"/>
          <w:szCs w:val="24"/>
        </w:rPr>
        <w:t xml:space="preserve">Table S2. </w:t>
      </w:r>
      <w:r>
        <w:rPr>
          <w:rFonts w:hint="default" w:ascii="Times New Roman" w:hAnsi="Times New Roman" w:eastAsia="Times New Roman" w:cs="Times New Roman"/>
          <w:sz w:val="24"/>
          <w:szCs w:val="24"/>
        </w:rPr>
        <w:t>Variables, coding and data provenance</w:t>
      </w:r>
    </w:p>
    <w:tbl>
      <w:tblPr>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438"/>
        <w:gridCol w:w="2105"/>
        <w:gridCol w:w="2219"/>
        <w:gridCol w:w="1554"/>
        <w:gridCol w:w="1920"/>
      </w:tblGrid>
      <w:tr w14:paraId="583BA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778" w:type="pct"/>
            <w:tcBorders>
              <w:top w:val="single" w:color="000000" w:sz="12" w:space="0"/>
              <w:left w:val="nil"/>
              <w:bottom w:val="single" w:color="000000" w:sz="8" w:space="0"/>
              <w:right w:val="single" w:color="000000" w:sz="12" w:space="0"/>
            </w:tcBorders>
            <w:shd w:val="clear" w:color="auto" w:fill="FFFFFF"/>
            <w:vAlign w:val="center"/>
          </w:tcPr>
          <w:p w14:paraId="7FA0B74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Block</w:t>
            </w:r>
          </w:p>
        </w:tc>
        <w:tc>
          <w:tcPr>
            <w:tcW w:w="1139" w:type="pct"/>
            <w:tcBorders>
              <w:top w:val="single" w:color="000000" w:sz="12" w:space="0"/>
              <w:left w:val="nil"/>
              <w:bottom w:val="single" w:color="000000" w:sz="8" w:space="0"/>
              <w:right w:val="nil"/>
            </w:tcBorders>
            <w:shd w:val="clear" w:color="auto" w:fill="FFFFFF"/>
            <w:vAlign w:val="center"/>
          </w:tcPr>
          <w:p w14:paraId="2BD6480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Variable</w:t>
            </w:r>
          </w:p>
        </w:tc>
        <w:tc>
          <w:tcPr>
            <w:tcW w:w="1201" w:type="pct"/>
            <w:tcBorders>
              <w:top w:val="single" w:color="000000" w:sz="12" w:space="0"/>
              <w:left w:val="nil"/>
              <w:bottom w:val="single" w:color="000000" w:sz="8" w:space="0"/>
              <w:right w:val="nil"/>
            </w:tcBorders>
            <w:shd w:val="clear" w:color="auto" w:fill="FFFFFF"/>
            <w:vAlign w:val="center"/>
          </w:tcPr>
          <w:p w14:paraId="12011AB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Operational role</w:t>
            </w:r>
          </w:p>
        </w:tc>
        <w:tc>
          <w:tcPr>
            <w:tcW w:w="841" w:type="pct"/>
            <w:tcBorders>
              <w:top w:val="single" w:color="000000" w:sz="12" w:space="0"/>
              <w:left w:val="nil"/>
              <w:bottom w:val="single" w:color="000000" w:sz="8" w:space="0"/>
              <w:right w:val="nil"/>
            </w:tcBorders>
            <w:shd w:val="clear" w:color="auto" w:fill="FFFFFF"/>
            <w:vAlign w:val="center"/>
          </w:tcPr>
          <w:p w14:paraId="01932F3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Primary source</w:t>
            </w:r>
          </w:p>
        </w:tc>
        <w:tc>
          <w:tcPr>
            <w:tcW w:w="1039" w:type="pct"/>
            <w:tcBorders>
              <w:top w:val="single" w:color="000000" w:sz="12" w:space="0"/>
              <w:left w:val="nil"/>
              <w:bottom w:val="single" w:color="000000" w:sz="8" w:space="0"/>
              <w:right w:val="nil"/>
            </w:tcBorders>
            <w:shd w:val="clear" w:color="auto" w:fill="FFFFFF"/>
            <w:vAlign w:val="center"/>
          </w:tcPr>
          <w:p w14:paraId="1D37E1B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Coding / verification</w:t>
            </w:r>
          </w:p>
        </w:tc>
      </w:tr>
      <w:tr w14:paraId="3A3E8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78" w:type="pct"/>
            <w:tcBorders>
              <w:top w:val="nil"/>
              <w:left w:val="nil"/>
              <w:bottom w:val="nil"/>
              <w:right w:val="single" w:color="000000" w:sz="12" w:space="0"/>
            </w:tcBorders>
            <w:shd w:val="clear" w:color="auto" w:fill="FFFFFF"/>
            <w:vAlign w:val="center"/>
          </w:tcPr>
          <w:p w14:paraId="768B2C2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Outcome</w:t>
            </w:r>
          </w:p>
        </w:tc>
        <w:tc>
          <w:tcPr>
            <w:tcW w:w="1139" w:type="pct"/>
            <w:tcBorders>
              <w:top w:val="nil"/>
              <w:left w:val="nil"/>
              <w:bottom w:val="nil"/>
              <w:right w:val="nil"/>
            </w:tcBorders>
            <w:shd w:val="clear" w:color="auto" w:fill="FFFFFF"/>
            <w:vAlign w:val="center"/>
          </w:tcPr>
          <w:p w14:paraId="1E2976A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Underemployment</w:t>
            </w:r>
          </w:p>
        </w:tc>
        <w:tc>
          <w:tcPr>
            <w:tcW w:w="1201" w:type="pct"/>
            <w:tcBorders>
              <w:top w:val="nil"/>
              <w:left w:val="nil"/>
              <w:bottom w:val="nil"/>
              <w:right w:val="nil"/>
            </w:tcBorders>
            <w:shd w:val="clear" w:color="auto" w:fill="FFFFFF"/>
            <w:vAlign w:val="center"/>
          </w:tcPr>
          <w:p w14:paraId="7A325AF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Hours-related outcome among employed people</w:t>
            </w:r>
          </w:p>
        </w:tc>
        <w:tc>
          <w:tcPr>
            <w:tcW w:w="841" w:type="pct"/>
            <w:tcBorders>
              <w:top w:val="nil"/>
              <w:left w:val="nil"/>
              <w:bottom w:val="nil"/>
              <w:right w:val="nil"/>
            </w:tcBorders>
            <w:shd w:val="clear" w:color="auto" w:fill="FFFFFF"/>
            <w:vAlign w:val="center"/>
          </w:tcPr>
          <w:p w14:paraId="3CAF436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Secure APS/LFS</w:t>
            </w:r>
          </w:p>
        </w:tc>
        <w:tc>
          <w:tcPr>
            <w:tcW w:w="1039" w:type="pct"/>
            <w:tcBorders>
              <w:top w:val="nil"/>
              <w:left w:val="nil"/>
              <w:bottom w:val="nil"/>
              <w:right w:val="nil"/>
            </w:tcBorders>
            <w:shd w:val="clear" w:color="auto" w:fill="FFFFFF"/>
            <w:vAlign w:val="center"/>
          </w:tcPr>
          <w:p w14:paraId="3392EDE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Binary 0/1; ONS/DWP desire/search, availability and hours-ceiling rule</w:t>
            </w:r>
          </w:p>
        </w:tc>
      </w:tr>
      <w:tr w14:paraId="7E66D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778" w:type="pct"/>
            <w:tcBorders>
              <w:top w:val="nil"/>
              <w:left w:val="nil"/>
              <w:bottom w:val="nil"/>
              <w:right w:val="single" w:color="000000" w:sz="12" w:space="0"/>
            </w:tcBorders>
            <w:shd w:val="clear" w:color="auto" w:fill="FFFFFF"/>
            <w:vAlign w:val="center"/>
          </w:tcPr>
          <w:p w14:paraId="5F6DCAD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Group</w:t>
            </w:r>
          </w:p>
        </w:tc>
        <w:tc>
          <w:tcPr>
            <w:tcW w:w="1139" w:type="pct"/>
            <w:tcBorders>
              <w:top w:val="nil"/>
              <w:left w:val="nil"/>
              <w:bottom w:val="nil"/>
              <w:right w:val="nil"/>
            </w:tcBorders>
            <w:shd w:val="clear" w:color="auto" w:fill="FFFFFF"/>
            <w:vAlign w:val="center"/>
          </w:tcPr>
          <w:p w14:paraId="2FCAFC6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Disability</w:t>
            </w:r>
          </w:p>
        </w:tc>
        <w:tc>
          <w:tcPr>
            <w:tcW w:w="1201" w:type="pct"/>
            <w:tcBorders>
              <w:top w:val="nil"/>
              <w:left w:val="nil"/>
              <w:bottom w:val="nil"/>
              <w:right w:val="nil"/>
            </w:tcBorders>
            <w:shd w:val="clear" w:color="auto" w:fill="FFFFFF"/>
            <w:vAlign w:val="center"/>
          </w:tcPr>
          <w:p w14:paraId="5E3BA3E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Equality Act long-term condition/activity limitation</w:t>
            </w:r>
          </w:p>
        </w:tc>
        <w:tc>
          <w:tcPr>
            <w:tcW w:w="841" w:type="pct"/>
            <w:tcBorders>
              <w:top w:val="nil"/>
              <w:left w:val="nil"/>
              <w:bottom w:val="nil"/>
              <w:right w:val="nil"/>
            </w:tcBorders>
            <w:shd w:val="clear" w:color="auto" w:fill="FFFFFF"/>
            <w:vAlign w:val="center"/>
          </w:tcPr>
          <w:p w14:paraId="1189E6D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Secure APS</w:t>
            </w:r>
          </w:p>
        </w:tc>
        <w:tc>
          <w:tcPr>
            <w:tcW w:w="1039" w:type="pct"/>
            <w:tcBorders>
              <w:top w:val="nil"/>
              <w:left w:val="nil"/>
              <w:bottom w:val="nil"/>
              <w:right w:val="nil"/>
            </w:tcBorders>
            <w:shd w:val="clear" w:color="auto" w:fill="FFFFFF"/>
            <w:vAlign w:val="center"/>
          </w:tcPr>
          <w:p w14:paraId="20415421">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Binary disabled/non-disabled group from harmonised Secure APS classification</w:t>
            </w:r>
          </w:p>
        </w:tc>
      </w:tr>
      <w:tr w14:paraId="2464E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78" w:type="pct"/>
            <w:tcBorders>
              <w:top w:val="nil"/>
              <w:left w:val="nil"/>
              <w:bottom w:val="nil"/>
              <w:right w:val="single" w:color="000000" w:sz="12" w:space="0"/>
            </w:tcBorders>
            <w:shd w:val="clear" w:color="auto" w:fill="FFFFFF"/>
            <w:vAlign w:val="center"/>
          </w:tcPr>
          <w:p w14:paraId="0391EB8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Individual</w:t>
            </w:r>
          </w:p>
        </w:tc>
        <w:tc>
          <w:tcPr>
            <w:tcW w:w="1139" w:type="pct"/>
            <w:tcBorders>
              <w:top w:val="nil"/>
              <w:left w:val="nil"/>
              <w:bottom w:val="nil"/>
              <w:right w:val="nil"/>
            </w:tcBorders>
            <w:shd w:val="clear" w:color="auto" w:fill="FFFFFF"/>
            <w:vAlign w:val="center"/>
          </w:tcPr>
          <w:p w14:paraId="1CE1E43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Sex, age, family, ethnicity</w:t>
            </w:r>
          </w:p>
        </w:tc>
        <w:tc>
          <w:tcPr>
            <w:tcW w:w="1201" w:type="pct"/>
            <w:tcBorders>
              <w:top w:val="nil"/>
              <w:left w:val="nil"/>
              <w:bottom w:val="nil"/>
              <w:right w:val="nil"/>
            </w:tcBorders>
            <w:shd w:val="clear" w:color="auto" w:fill="FFFFFF"/>
            <w:vAlign w:val="center"/>
          </w:tcPr>
          <w:p w14:paraId="7859083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Demographic composition</w:t>
            </w:r>
          </w:p>
        </w:tc>
        <w:tc>
          <w:tcPr>
            <w:tcW w:w="841" w:type="pct"/>
            <w:tcBorders>
              <w:top w:val="nil"/>
              <w:left w:val="nil"/>
              <w:bottom w:val="nil"/>
              <w:right w:val="nil"/>
            </w:tcBorders>
            <w:shd w:val="clear" w:color="auto" w:fill="FFFFFF"/>
            <w:vAlign w:val="center"/>
          </w:tcPr>
          <w:p w14:paraId="52C3311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Secure APS</w:t>
            </w:r>
          </w:p>
        </w:tc>
        <w:tc>
          <w:tcPr>
            <w:tcW w:w="1039" w:type="pct"/>
            <w:tcBorders>
              <w:top w:val="nil"/>
              <w:left w:val="nil"/>
              <w:bottom w:val="nil"/>
              <w:right w:val="nil"/>
            </w:tcBorders>
            <w:shd w:val="clear" w:color="auto" w:fill="FFFFFF"/>
            <w:vAlign w:val="center"/>
          </w:tcPr>
          <w:p w14:paraId="7CB634E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Categorical adjustment terms; full coding crosswalk retained in secure syntax</w:t>
            </w:r>
          </w:p>
        </w:tc>
      </w:tr>
      <w:tr w14:paraId="2A380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778" w:type="pct"/>
            <w:tcBorders>
              <w:top w:val="nil"/>
              <w:left w:val="nil"/>
              <w:bottom w:val="nil"/>
              <w:right w:val="single" w:color="000000" w:sz="12" w:space="0"/>
            </w:tcBorders>
            <w:shd w:val="clear" w:color="auto" w:fill="FFFFFF"/>
            <w:vAlign w:val="center"/>
          </w:tcPr>
          <w:p w14:paraId="22A8565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Individual</w:t>
            </w:r>
          </w:p>
        </w:tc>
        <w:tc>
          <w:tcPr>
            <w:tcW w:w="1139" w:type="pct"/>
            <w:tcBorders>
              <w:top w:val="nil"/>
              <w:left w:val="nil"/>
              <w:bottom w:val="nil"/>
              <w:right w:val="nil"/>
            </w:tcBorders>
            <w:shd w:val="clear" w:color="auto" w:fill="FFFFFF"/>
            <w:vAlign w:val="center"/>
          </w:tcPr>
          <w:p w14:paraId="6522B10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Education</w:t>
            </w:r>
          </w:p>
        </w:tc>
        <w:tc>
          <w:tcPr>
            <w:tcW w:w="1201" w:type="pct"/>
            <w:tcBorders>
              <w:top w:val="nil"/>
              <w:left w:val="nil"/>
              <w:bottom w:val="nil"/>
              <w:right w:val="nil"/>
            </w:tcBorders>
            <w:shd w:val="clear" w:color="auto" w:fill="FFFFFF"/>
            <w:vAlign w:val="center"/>
          </w:tcPr>
          <w:p w14:paraId="1CD91AC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Highest qualification categories</w:t>
            </w:r>
          </w:p>
        </w:tc>
        <w:tc>
          <w:tcPr>
            <w:tcW w:w="841" w:type="pct"/>
            <w:tcBorders>
              <w:top w:val="nil"/>
              <w:left w:val="nil"/>
              <w:bottom w:val="nil"/>
              <w:right w:val="nil"/>
            </w:tcBorders>
            <w:shd w:val="clear" w:color="auto" w:fill="FFFFFF"/>
            <w:vAlign w:val="center"/>
          </w:tcPr>
          <w:p w14:paraId="2E74A32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Secure APS</w:t>
            </w:r>
          </w:p>
        </w:tc>
        <w:tc>
          <w:tcPr>
            <w:tcW w:w="1039" w:type="pct"/>
            <w:tcBorders>
              <w:top w:val="nil"/>
              <w:left w:val="nil"/>
              <w:bottom w:val="nil"/>
              <w:right w:val="nil"/>
            </w:tcBorders>
            <w:shd w:val="clear" w:color="auto" w:fill="FFFFFF"/>
            <w:vAlign w:val="center"/>
          </w:tcPr>
          <w:p w14:paraId="025FD49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Qualification categories used for composition adjustment</w:t>
            </w:r>
          </w:p>
        </w:tc>
      </w:tr>
      <w:tr w14:paraId="00943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78" w:type="pct"/>
            <w:tcBorders>
              <w:top w:val="nil"/>
              <w:left w:val="nil"/>
              <w:bottom w:val="nil"/>
              <w:right w:val="single" w:color="000000" w:sz="12" w:space="0"/>
            </w:tcBorders>
            <w:shd w:val="clear" w:color="auto" w:fill="FFFFFF"/>
            <w:vAlign w:val="center"/>
          </w:tcPr>
          <w:p w14:paraId="6C5236D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Individual</w:t>
            </w:r>
          </w:p>
        </w:tc>
        <w:tc>
          <w:tcPr>
            <w:tcW w:w="1139" w:type="pct"/>
            <w:tcBorders>
              <w:top w:val="nil"/>
              <w:left w:val="nil"/>
              <w:bottom w:val="nil"/>
              <w:right w:val="nil"/>
            </w:tcBorders>
            <w:shd w:val="clear" w:color="auto" w:fill="FFFFFF"/>
            <w:vAlign w:val="center"/>
          </w:tcPr>
          <w:p w14:paraId="3940E72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Partner status; tenure; urban</w:t>
            </w:r>
          </w:p>
        </w:tc>
        <w:tc>
          <w:tcPr>
            <w:tcW w:w="1201" w:type="pct"/>
            <w:tcBorders>
              <w:top w:val="nil"/>
              <w:left w:val="nil"/>
              <w:bottom w:val="nil"/>
              <w:right w:val="nil"/>
            </w:tcBorders>
            <w:shd w:val="clear" w:color="auto" w:fill="FFFFFF"/>
            <w:vAlign w:val="center"/>
          </w:tcPr>
          <w:p w14:paraId="5F61F1A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Household/living context</w:t>
            </w:r>
          </w:p>
        </w:tc>
        <w:tc>
          <w:tcPr>
            <w:tcW w:w="841" w:type="pct"/>
            <w:tcBorders>
              <w:top w:val="nil"/>
              <w:left w:val="nil"/>
              <w:bottom w:val="nil"/>
              <w:right w:val="nil"/>
            </w:tcBorders>
            <w:shd w:val="clear" w:color="auto" w:fill="FFFFFF"/>
            <w:vAlign w:val="center"/>
          </w:tcPr>
          <w:p w14:paraId="0889AD6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Secure APS</w:t>
            </w:r>
          </w:p>
        </w:tc>
        <w:tc>
          <w:tcPr>
            <w:tcW w:w="1039" w:type="pct"/>
            <w:tcBorders>
              <w:top w:val="nil"/>
              <w:left w:val="nil"/>
              <w:bottom w:val="nil"/>
              <w:right w:val="nil"/>
            </w:tcBorders>
            <w:shd w:val="clear" w:color="auto" w:fill="FFFFFF"/>
            <w:vAlign w:val="center"/>
          </w:tcPr>
          <w:p w14:paraId="2AE19DDD">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Categorical adjustment terms; coding crosswalk retained in secure syntax</w:t>
            </w:r>
          </w:p>
        </w:tc>
      </w:tr>
      <w:tr w14:paraId="149D5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778" w:type="pct"/>
            <w:tcBorders>
              <w:top w:val="nil"/>
              <w:left w:val="nil"/>
              <w:bottom w:val="nil"/>
              <w:right w:val="single" w:color="000000" w:sz="12" w:space="0"/>
            </w:tcBorders>
            <w:shd w:val="clear" w:color="auto" w:fill="FFFFFF"/>
            <w:vAlign w:val="center"/>
          </w:tcPr>
          <w:p w14:paraId="42A094D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Area: demand</w:t>
            </w:r>
          </w:p>
        </w:tc>
        <w:tc>
          <w:tcPr>
            <w:tcW w:w="1139" w:type="pct"/>
            <w:tcBorders>
              <w:top w:val="nil"/>
              <w:left w:val="nil"/>
              <w:bottom w:val="nil"/>
              <w:right w:val="nil"/>
            </w:tcBorders>
            <w:shd w:val="clear" w:color="auto" w:fill="FFFFFF"/>
            <w:vAlign w:val="center"/>
          </w:tcPr>
          <w:p w14:paraId="119B507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Local labour-market slack</w:t>
            </w:r>
          </w:p>
        </w:tc>
        <w:tc>
          <w:tcPr>
            <w:tcW w:w="1201" w:type="pct"/>
            <w:tcBorders>
              <w:top w:val="nil"/>
              <w:left w:val="nil"/>
              <w:bottom w:val="nil"/>
              <w:right w:val="nil"/>
            </w:tcBorders>
            <w:shd w:val="clear" w:color="auto" w:fill="FFFFFF"/>
            <w:vAlign w:val="center"/>
          </w:tcPr>
          <w:p w14:paraId="115E3A11">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Local labour-market slack</w:t>
            </w:r>
          </w:p>
        </w:tc>
        <w:tc>
          <w:tcPr>
            <w:tcW w:w="841" w:type="pct"/>
            <w:tcBorders>
              <w:top w:val="nil"/>
              <w:left w:val="nil"/>
              <w:bottom w:val="nil"/>
              <w:right w:val="nil"/>
            </w:tcBorders>
            <w:shd w:val="clear" w:color="auto" w:fill="FFFFFF"/>
            <w:vAlign w:val="center"/>
          </w:tcPr>
          <w:p w14:paraId="2EFE09A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ONS/Nomis</w:t>
            </w:r>
          </w:p>
        </w:tc>
        <w:tc>
          <w:tcPr>
            <w:tcW w:w="1039" w:type="pct"/>
            <w:tcBorders>
              <w:top w:val="nil"/>
              <w:left w:val="nil"/>
              <w:bottom w:val="nil"/>
              <w:right w:val="nil"/>
            </w:tcBorders>
            <w:shd w:val="clear" w:color="auto" w:fill="FFFFFF"/>
            <w:vAlign w:val="center"/>
          </w:tcPr>
          <w:p w14:paraId="3E8EABA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Source-unit rate harmonised to study geography</w:t>
            </w:r>
          </w:p>
        </w:tc>
      </w:tr>
      <w:tr w14:paraId="59BC8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778" w:type="pct"/>
            <w:tcBorders>
              <w:top w:val="nil"/>
              <w:left w:val="nil"/>
              <w:bottom w:val="nil"/>
              <w:right w:val="single" w:color="000000" w:sz="12" w:space="0"/>
            </w:tcBorders>
            <w:shd w:val="clear" w:color="auto" w:fill="FFFFFF"/>
            <w:vAlign w:val="center"/>
          </w:tcPr>
          <w:p w14:paraId="350C015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Area: productivity</w:t>
            </w:r>
          </w:p>
        </w:tc>
        <w:tc>
          <w:tcPr>
            <w:tcW w:w="1139" w:type="pct"/>
            <w:tcBorders>
              <w:top w:val="nil"/>
              <w:left w:val="nil"/>
              <w:bottom w:val="nil"/>
              <w:right w:val="nil"/>
            </w:tcBorders>
            <w:shd w:val="clear" w:color="auto" w:fill="FFFFFF"/>
            <w:vAlign w:val="center"/>
          </w:tcPr>
          <w:p w14:paraId="2FB5E76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GVA per hour</w:t>
            </w:r>
          </w:p>
        </w:tc>
        <w:tc>
          <w:tcPr>
            <w:tcW w:w="1201" w:type="pct"/>
            <w:tcBorders>
              <w:top w:val="nil"/>
              <w:left w:val="nil"/>
              <w:bottom w:val="nil"/>
              <w:right w:val="nil"/>
            </w:tcBorders>
            <w:shd w:val="clear" w:color="auto" w:fill="FFFFFF"/>
            <w:vAlign w:val="center"/>
          </w:tcPr>
          <w:p w14:paraId="4F67451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Local labour productivity</w:t>
            </w:r>
          </w:p>
        </w:tc>
        <w:tc>
          <w:tcPr>
            <w:tcW w:w="841" w:type="pct"/>
            <w:tcBorders>
              <w:top w:val="nil"/>
              <w:left w:val="nil"/>
              <w:bottom w:val="nil"/>
              <w:right w:val="nil"/>
            </w:tcBorders>
            <w:shd w:val="clear" w:color="auto" w:fill="FFFFFF"/>
            <w:vAlign w:val="center"/>
          </w:tcPr>
          <w:p w14:paraId="71E76C5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ONS subregional productivity</w:t>
            </w:r>
          </w:p>
        </w:tc>
        <w:tc>
          <w:tcPr>
            <w:tcW w:w="1039" w:type="pct"/>
            <w:tcBorders>
              <w:top w:val="nil"/>
              <w:left w:val="nil"/>
              <w:bottom w:val="nil"/>
              <w:right w:val="nil"/>
            </w:tcBorders>
            <w:shd w:val="clear" w:color="auto" w:fill="FFFFFF"/>
            <w:vAlign w:val="center"/>
          </w:tcPr>
          <w:p w14:paraId="2774745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Source-unit GVA-per-hour measure harmonised to study geography</w:t>
            </w:r>
          </w:p>
        </w:tc>
      </w:tr>
      <w:tr w14:paraId="720AB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778" w:type="pct"/>
            <w:tcBorders>
              <w:top w:val="nil"/>
              <w:left w:val="nil"/>
              <w:bottom w:val="nil"/>
              <w:right w:val="single" w:color="000000" w:sz="12" w:space="0"/>
            </w:tcBorders>
            <w:shd w:val="clear" w:color="auto" w:fill="FFFFFF"/>
            <w:vAlign w:val="center"/>
          </w:tcPr>
          <w:p w14:paraId="4FB895D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Area: industry</w:t>
            </w:r>
          </w:p>
        </w:tc>
        <w:tc>
          <w:tcPr>
            <w:tcW w:w="1139" w:type="pct"/>
            <w:tcBorders>
              <w:top w:val="nil"/>
              <w:left w:val="nil"/>
              <w:bottom w:val="nil"/>
              <w:right w:val="nil"/>
            </w:tcBorders>
            <w:shd w:val="clear" w:color="auto" w:fill="FFFFFF"/>
            <w:vAlign w:val="center"/>
          </w:tcPr>
          <w:p w14:paraId="683EF51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Industry shares</w:t>
            </w:r>
          </w:p>
        </w:tc>
        <w:tc>
          <w:tcPr>
            <w:tcW w:w="1201" w:type="pct"/>
            <w:tcBorders>
              <w:top w:val="nil"/>
              <w:left w:val="nil"/>
              <w:bottom w:val="nil"/>
              <w:right w:val="nil"/>
            </w:tcBorders>
            <w:shd w:val="clear" w:color="auto" w:fill="FFFFFF"/>
            <w:vAlign w:val="center"/>
          </w:tcPr>
          <w:p w14:paraId="4BAC044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Manufacturing; other production; knowledge services; other services</w:t>
            </w:r>
          </w:p>
        </w:tc>
        <w:tc>
          <w:tcPr>
            <w:tcW w:w="841" w:type="pct"/>
            <w:tcBorders>
              <w:top w:val="nil"/>
              <w:left w:val="nil"/>
              <w:bottom w:val="nil"/>
              <w:right w:val="nil"/>
            </w:tcBorders>
            <w:shd w:val="clear" w:color="auto" w:fill="FFFFFF"/>
            <w:vAlign w:val="center"/>
          </w:tcPr>
          <w:p w14:paraId="316A98A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Census 2021 / Scotland Census 2022</w:t>
            </w:r>
          </w:p>
        </w:tc>
        <w:tc>
          <w:tcPr>
            <w:tcW w:w="1039" w:type="pct"/>
            <w:tcBorders>
              <w:top w:val="nil"/>
              <w:left w:val="nil"/>
              <w:bottom w:val="nil"/>
              <w:right w:val="nil"/>
            </w:tcBorders>
            <w:shd w:val="clear" w:color="auto" w:fill="FFFFFF"/>
            <w:vAlign w:val="center"/>
          </w:tcPr>
          <w:p w14:paraId="571179E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Broad industry shares harmonised to common categories</w:t>
            </w:r>
          </w:p>
        </w:tc>
      </w:tr>
      <w:tr w14:paraId="7B4F6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778" w:type="pct"/>
            <w:tcBorders>
              <w:top w:val="nil"/>
              <w:left w:val="nil"/>
              <w:bottom w:val="nil"/>
              <w:right w:val="single" w:color="000000" w:sz="12" w:space="0"/>
            </w:tcBorders>
            <w:shd w:val="clear" w:color="auto" w:fill="FFFFFF"/>
            <w:vAlign w:val="center"/>
          </w:tcPr>
          <w:p w14:paraId="05399DC1">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Area: occupation</w:t>
            </w:r>
          </w:p>
        </w:tc>
        <w:tc>
          <w:tcPr>
            <w:tcW w:w="1139" w:type="pct"/>
            <w:tcBorders>
              <w:top w:val="nil"/>
              <w:left w:val="nil"/>
              <w:bottom w:val="nil"/>
              <w:right w:val="nil"/>
            </w:tcBorders>
            <w:shd w:val="clear" w:color="auto" w:fill="FFFFFF"/>
            <w:vAlign w:val="center"/>
          </w:tcPr>
          <w:p w14:paraId="44B468F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Occupation shares</w:t>
            </w:r>
          </w:p>
        </w:tc>
        <w:tc>
          <w:tcPr>
            <w:tcW w:w="1201" w:type="pct"/>
            <w:tcBorders>
              <w:top w:val="nil"/>
              <w:left w:val="nil"/>
              <w:bottom w:val="nil"/>
              <w:right w:val="nil"/>
            </w:tcBorders>
            <w:shd w:val="clear" w:color="auto" w:fill="FFFFFF"/>
            <w:vAlign w:val="center"/>
          </w:tcPr>
          <w:p w14:paraId="7DB8D42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Broad skill-level composition</w:t>
            </w:r>
          </w:p>
        </w:tc>
        <w:tc>
          <w:tcPr>
            <w:tcW w:w="841" w:type="pct"/>
            <w:tcBorders>
              <w:top w:val="nil"/>
              <w:left w:val="nil"/>
              <w:bottom w:val="nil"/>
              <w:right w:val="nil"/>
            </w:tcBorders>
            <w:shd w:val="clear" w:color="auto" w:fill="FFFFFF"/>
            <w:vAlign w:val="center"/>
          </w:tcPr>
          <w:p w14:paraId="424B191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Census 2021 / Scotland Census 2022</w:t>
            </w:r>
          </w:p>
        </w:tc>
        <w:tc>
          <w:tcPr>
            <w:tcW w:w="1039" w:type="pct"/>
            <w:tcBorders>
              <w:top w:val="nil"/>
              <w:left w:val="nil"/>
              <w:bottom w:val="nil"/>
              <w:right w:val="nil"/>
            </w:tcBorders>
            <w:shd w:val="clear" w:color="auto" w:fill="FFFFFF"/>
            <w:vAlign w:val="center"/>
          </w:tcPr>
          <w:p w14:paraId="52985D4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Broad occupation shares harmonised to common categories</w:t>
            </w:r>
          </w:p>
        </w:tc>
      </w:tr>
      <w:tr w14:paraId="3021C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778" w:type="pct"/>
            <w:tcBorders>
              <w:top w:val="nil"/>
              <w:left w:val="nil"/>
              <w:bottom w:val="nil"/>
              <w:right w:val="single" w:color="000000" w:sz="12" w:space="0"/>
            </w:tcBorders>
            <w:shd w:val="clear" w:color="auto" w:fill="FFFFFF"/>
            <w:vAlign w:val="center"/>
          </w:tcPr>
          <w:p w14:paraId="10F64A6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Area: hours</w:t>
            </w:r>
          </w:p>
        </w:tc>
        <w:tc>
          <w:tcPr>
            <w:tcW w:w="1139" w:type="pct"/>
            <w:tcBorders>
              <w:top w:val="nil"/>
              <w:left w:val="nil"/>
              <w:bottom w:val="nil"/>
              <w:right w:val="nil"/>
            </w:tcBorders>
            <w:shd w:val="clear" w:color="auto" w:fill="FFFFFF"/>
            <w:vAlign w:val="center"/>
          </w:tcPr>
          <w:p w14:paraId="6349E9F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Short-hours employment share</w:t>
            </w:r>
          </w:p>
        </w:tc>
        <w:tc>
          <w:tcPr>
            <w:tcW w:w="1201" w:type="pct"/>
            <w:tcBorders>
              <w:top w:val="nil"/>
              <w:left w:val="nil"/>
              <w:bottom w:val="nil"/>
              <w:right w:val="nil"/>
            </w:tcBorders>
            <w:shd w:val="clear" w:color="auto" w:fill="FFFFFF"/>
            <w:vAlign w:val="center"/>
          </w:tcPr>
          <w:p w14:paraId="36F8990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Share working 30 hours or fewer per week</w:t>
            </w:r>
          </w:p>
        </w:tc>
        <w:tc>
          <w:tcPr>
            <w:tcW w:w="841" w:type="pct"/>
            <w:tcBorders>
              <w:top w:val="nil"/>
              <w:left w:val="nil"/>
              <w:bottom w:val="nil"/>
              <w:right w:val="nil"/>
            </w:tcBorders>
            <w:shd w:val="clear" w:color="auto" w:fill="FFFFFF"/>
            <w:vAlign w:val="center"/>
          </w:tcPr>
          <w:p w14:paraId="0B7095D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APS/ONS</w:t>
            </w:r>
          </w:p>
        </w:tc>
        <w:tc>
          <w:tcPr>
            <w:tcW w:w="1039" w:type="pct"/>
            <w:tcBorders>
              <w:top w:val="nil"/>
              <w:left w:val="nil"/>
              <w:bottom w:val="nil"/>
              <w:right w:val="nil"/>
            </w:tcBorders>
            <w:shd w:val="clear" w:color="auto" w:fill="FFFFFF"/>
            <w:vAlign w:val="center"/>
          </w:tcPr>
          <w:p w14:paraId="16BADCA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Area proportion (0-1); distinct from self-reported part-time status</w:t>
            </w:r>
          </w:p>
        </w:tc>
      </w:tr>
      <w:tr w14:paraId="5DC51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78" w:type="pct"/>
            <w:tcBorders>
              <w:top w:val="nil"/>
              <w:left w:val="nil"/>
              <w:bottom w:val="single" w:color="000000" w:sz="12" w:space="0"/>
              <w:right w:val="single" w:color="000000" w:sz="12" w:space="0"/>
            </w:tcBorders>
            <w:shd w:val="clear" w:color="auto" w:fill="FFFFFF"/>
            <w:vAlign w:val="center"/>
          </w:tcPr>
          <w:p w14:paraId="5848D00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Area: hours</w:t>
            </w:r>
          </w:p>
        </w:tc>
        <w:tc>
          <w:tcPr>
            <w:tcW w:w="1139" w:type="pct"/>
            <w:tcBorders>
              <w:top w:val="nil"/>
              <w:left w:val="nil"/>
              <w:bottom w:val="single" w:color="000000" w:sz="12" w:space="0"/>
              <w:right w:val="nil"/>
            </w:tcBorders>
            <w:shd w:val="clear" w:color="auto" w:fill="FFFFFF"/>
            <w:vAlign w:val="center"/>
          </w:tcPr>
          <w:p w14:paraId="3C59F5A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Zero-hours prevalence</w:t>
            </w:r>
          </w:p>
        </w:tc>
        <w:tc>
          <w:tcPr>
            <w:tcW w:w="1201" w:type="pct"/>
            <w:tcBorders>
              <w:top w:val="nil"/>
              <w:left w:val="nil"/>
              <w:bottom w:val="single" w:color="000000" w:sz="12" w:space="0"/>
              <w:right w:val="nil"/>
            </w:tcBorders>
            <w:shd w:val="clear" w:color="auto" w:fill="FFFFFF"/>
            <w:vAlign w:val="center"/>
          </w:tcPr>
          <w:p w14:paraId="1B96C83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Working-time sensitivity variable</w:t>
            </w:r>
          </w:p>
        </w:tc>
        <w:tc>
          <w:tcPr>
            <w:tcW w:w="841" w:type="pct"/>
            <w:tcBorders>
              <w:top w:val="nil"/>
              <w:left w:val="nil"/>
              <w:bottom w:val="single" w:color="000000" w:sz="12" w:space="0"/>
              <w:right w:val="nil"/>
            </w:tcBorders>
            <w:shd w:val="clear" w:color="auto" w:fill="FFFFFF"/>
            <w:vAlign w:val="center"/>
          </w:tcPr>
          <w:p w14:paraId="17D2B22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LFS/ONS</w:t>
            </w:r>
          </w:p>
        </w:tc>
        <w:tc>
          <w:tcPr>
            <w:tcW w:w="1039" w:type="pct"/>
            <w:tcBorders>
              <w:top w:val="nil"/>
              <w:left w:val="nil"/>
              <w:bottom w:val="single" w:color="000000" w:sz="12" w:space="0"/>
              <w:right w:val="nil"/>
            </w:tcBorders>
            <w:shd w:val="clear" w:color="auto" w:fill="FFFFFF"/>
            <w:vAlign w:val="center"/>
          </w:tcPr>
          <w:p w14:paraId="2FB30E6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Area prevalence measure; sensitivity evidence only</w:t>
            </w:r>
          </w:p>
        </w:tc>
      </w:tr>
    </w:tbl>
    <w:p w14:paraId="3B2989BE">
      <w:pPr>
        <w:pageBreakBefore w:val="0"/>
        <w:widowControl/>
        <w:kinsoku/>
        <w:wordWrap/>
        <w:overflowPunct/>
        <w:topLinePunct w:val="0"/>
        <w:autoSpaceDE/>
        <w:autoSpaceDN/>
        <w:bidi w:val="0"/>
        <w:adjustRightInd/>
        <w:snapToGrid/>
        <w:spacing w:before="0" w:after="160" w:line="240" w:lineRule="auto"/>
        <w:ind w:firstLine="0"/>
        <w:jc w:val="left"/>
        <w:textAlignment w:val="auto"/>
        <w:rPr>
          <w:rFonts w:hint="default" w:ascii="Times New Roman" w:hAnsi="Times New Roman" w:eastAsia="Times New Roman" w:cs="Times New Roman"/>
          <w:i/>
          <w:iCs w:val="0"/>
          <w:sz w:val="24"/>
          <w:szCs w:val="24"/>
        </w:rPr>
      </w:pPr>
      <w:r>
        <w:rPr>
          <w:rFonts w:hint="default" w:ascii="Times New Roman" w:hAnsi="Times New Roman" w:eastAsia="Times New Roman" w:cs="Times New Roman"/>
          <w:i/>
          <w:iCs w:val="0"/>
          <w:sz w:val="24"/>
          <w:szCs w:val="24"/>
        </w:rPr>
        <w:t>Note. Source labels identify the data families used to construct the harmonised analysis variables. Area-level measures are mapped to the study geography and are interpreted as descriptive contextual characteristics rather than causal treatments.</w:t>
      </w:r>
    </w:p>
    <w:p w14:paraId="33111D1F">
      <w:pPr>
        <w:pageBreakBefore w:val="0"/>
        <w:widowControl/>
        <w:kinsoku/>
        <w:wordWrap/>
        <w:overflowPunct/>
        <w:topLinePunct w:val="0"/>
        <w:autoSpaceDE/>
        <w:autoSpaceDN/>
        <w:bidi w:val="0"/>
        <w:adjustRightInd/>
        <w:snapToGrid/>
        <w:spacing w:before="0" w:after="160" w:line="240" w:lineRule="auto"/>
        <w:ind w:firstLine="0"/>
        <w:jc w:val="left"/>
        <w:textAlignment w:val="auto"/>
        <w:rPr>
          <w:rFonts w:hint="default" w:ascii="Times New Roman" w:hAnsi="Times New Roman" w:eastAsia="Times New Roman" w:cs="Times New Roman"/>
          <w:i/>
          <w:iCs w:val="0"/>
          <w:sz w:val="24"/>
          <w:szCs w:val="24"/>
        </w:rPr>
      </w:pPr>
    </w:p>
    <w:p w14:paraId="2F0B1FCF">
      <w:pPr>
        <w:keepNext/>
        <w:pageBreakBefore w:val="0"/>
        <w:widowControl/>
        <w:kinsoku/>
        <w:wordWrap/>
        <w:overflowPunct/>
        <w:topLinePunct w:val="0"/>
        <w:autoSpaceDE/>
        <w:autoSpaceDN/>
        <w:bidi w:val="0"/>
        <w:adjustRightInd/>
        <w:snapToGrid/>
        <w:spacing w:before="0" w:after="160" w:line="240" w:lineRule="auto"/>
        <w:ind w:firstLine="0"/>
        <w:jc w:val="both"/>
        <w:textAlignment w:val="auto"/>
        <w:rPr>
          <w:rFonts w:hint="default" w:ascii="Times New Roman" w:hAnsi="Times New Roman" w:cs="Times New Roman"/>
          <w:sz w:val="24"/>
          <w:szCs w:val="24"/>
        </w:rPr>
      </w:pPr>
      <w:r>
        <w:rPr>
          <w:rFonts w:hint="default" w:ascii="Times New Roman" w:hAnsi="Times New Roman" w:eastAsia="Times New Roman" w:cs="Times New Roman"/>
          <w:b/>
          <w:i w:val="0"/>
          <w:sz w:val="24"/>
          <w:szCs w:val="24"/>
        </w:rPr>
        <w:t>S3. Pairwise illustration</w:t>
      </w:r>
    </w:p>
    <w:p>
      <w:pPr/>
      <w:r>
        <w:t>Table S3 reports the disclosure-cleared pairwise accounting used for the illustrative high- and low-gap areas.</w:t>
      </w:r>
    </w:p>
    <w:p w14:paraId="4D85EE2A">
      <w:pPr>
        <w:keepNext/>
        <w:pageBreakBefore w:val="0"/>
        <w:widowControl/>
        <w:kinsoku/>
        <w:wordWrap/>
        <w:overflowPunct/>
        <w:topLinePunct w:val="0"/>
        <w:autoSpaceDE/>
        <w:autoSpaceDN/>
        <w:bidi w:val="0"/>
        <w:adjustRightInd/>
        <w:snapToGrid/>
        <w:spacing w:before="0" w:after="160" w:line="240" w:lineRule="auto"/>
        <w:ind w:firstLine="0"/>
        <w:jc w:val="center"/>
        <w:textAlignment w:val="auto"/>
        <w:rPr>
          <w:rFonts w:hint="default" w:ascii="Times New Roman" w:hAnsi="Times New Roman" w:cs="Times New Roman"/>
          <w:sz w:val="24"/>
          <w:szCs w:val="24"/>
        </w:rPr>
      </w:pPr>
      <w:r>
        <w:rPr>
          <w:rFonts w:hint="default" w:ascii="Times New Roman" w:hAnsi="Times New Roman" w:eastAsia="Times New Roman" w:cs="Times New Roman"/>
          <w:b/>
          <w:sz w:val="24"/>
          <w:szCs w:val="24"/>
        </w:rPr>
        <w:t xml:space="preserve">Table S3. </w:t>
      </w:r>
      <w:r>
        <w:rPr>
          <w:rFonts w:hint="default" w:ascii="Times New Roman" w:hAnsi="Times New Roman" w:eastAsia="Times New Roman" w:cs="Times New Roman"/>
          <w:sz w:val="24"/>
          <w:szCs w:val="24"/>
        </w:rPr>
        <w:t>Pairwise decomposition of two disclosure-cleared comparison areas</w:t>
      </w:r>
    </w:p>
    <w:tbl>
      <w:tblPr>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3196"/>
        <w:gridCol w:w="1546"/>
        <w:gridCol w:w="1563"/>
        <w:gridCol w:w="2931"/>
      </w:tblGrid>
      <w:tr w14:paraId="0F3AC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blHeader/>
          <w:jc w:val="center"/>
        </w:trPr>
        <w:tc>
          <w:tcPr>
            <w:tcW w:w="1749" w:type="pct"/>
            <w:tcBorders>
              <w:top w:val="single" w:color="000000" w:sz="12" w:space="0"/>
              <w:left w:val="nil"/>
              <w:bottom w:val="single" w:color="000000" w:sz="8" w:space="0"/>
              <w:right w:val="single" w:color="000000" w:sz="12" w:space="0"/>
            </w:tcBorders>
            <w:shd w:val="clear" w:color="auto" w:fill="FFFFFF"/>
            <w:vAlign w:val="center"/>
          </w:tcPr>
          <w:p w14:paraId="2679300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Item</w:t>
            </w:r>
          </w:p>
        </w:tc>
        <w:tc>
          <w:tcPr>
            <w:tcW w:w="856" w:type="pct"/>
            <w:tcBorders>
              <w:top w:val="single" w:color="000000" w:sz="12" w:space="0"/>
              <w:left w:val="nil"/>
              <w:bottom w:val="single" w:color="000000" w:sz="8" w:space="0"/>
              <w:right w:val="nil"/>
            </w:tcBorders>
            <w:shd w:val="clear" w:color="auto" w:fill="FFFFFF"/>
            <w:vAlign w:val="center"/>
          </w:tcPr>
          <w:p w14:paraId="1308343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Area / component</w:t>
            </w:r>
          </w:p>
        </w:tc>
        <w:tc>
          <w:tcPr>
            <w:tcW w:w="788" w:type="pct"/>
            <w:tcBorders>
              <w:top w:val="single" w:color="000000" w:sz="12" w:space="0"/>
              <w:left w:val="nil"/>
              <w:bottom w:val="single" w:color="000000" w:sz="8" w:space="0"/>
              <w:right w:val="nil"/>
            </w:tcBorders>
            <w:shd w:val="clear" w:color="auto" w:fill="FFFFFF"/>
            <w:vAlign w:val="center"/>
          </w:tcPr>
          <w:p w14:paraId="6B9FB5A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Contribution</w:t>
            </w:r>
          </w:p>
        </w:tc>
        <w:tc>
          <w:tcPr>
            <w:tcW w:w="1605" w:type="pct"/>
            <w:tcBorders>
              <w:top w:val="single" w:color="000000" w:sz="12" w:space="0"/>
              <w:left w:val="nil"/>
              <w:bottom w:val="single" w:color="000000" w:sz="8" w:space="0"/>
              <w:right w:val="nil"/>
            </w:tcBorders>
            <w:shd w:val="clear" w:color="auto" w:fill="FFFFFF"/>
            <w:vAlign w:val="center"/>
          </w:tcPr>
          <w:p w14:paraId="70DDBC9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Classification</w:t>
            </w:r>
          </w:p>
        </w:tc>
      </w:tr>
      <w:tr w14:paraId="0C68D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49" w:type="pct"/>
            <w:tcBorders>
              <w:top w:val="nil"/>
              <w:left w:val="nil"/>
              <w:bottom w:val="nil"/>
              <w:right w:val="single" w:color="000000" w:sz="12" w:space="0"/>
            </w:tcBorders>
            <w:shd w:val="clear" w:color="auto" w:fill="FFFFFF"/>
            <w:vAlign w:val="center"/>
          </w:tcPr>
          <w:p w14:paraId="56668EA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High-gap area</w:t>
            </w:r>
          </w:p>
        </w:tc>
        <w:tc>
          <w:tcPr>
            <w:tcW w:w="856" w:type="pct"/>
            <w:tcBorders>
              <w:top w:val="nil"/>
              <w:left w:val="nil"/>
              <w:bottom w:val="nil"/>
              <w:right w:val="nil"/>
            </w:tcBorders>
            <w:shd w:val="clear" w:color="auto" w:fill="FFFFFF"/>
            <w:vAlign w:val="center"/>
          </w:tcPr>
          <w:p w14:paraId="67B1FDC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Glasgow City</w:t>
            </w:r>
          </w:p>
        </w:tc>
        <w:tc>
          <w:tcPr>
            <w:tcW w:w="788" w:type="pct"/>
            <w:tcBorders>
              <w:top w:val="nil"/>
              <w:left w:val="nil"/>
              <w:bottom w:val="nil"/>
              <w:right w:val="nil"/>
            </w:tcBorders>
            <w:shd w:val="clear" w:color="auto" w:fill="FFFFFF"/>
            <w:vAlign w:val="center"/>
          </w:tcPr>
          <w:p w14:paraId="1F99BE73">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11.4 pp</w:t>
            </w:r>
          </w:p>
        </w:tc>
        <w:tc>
          <w:tcPr>
            <w:tcW w:w="1605" w:type="pct"/>
            <w:tcBorders>
              <w:top w:val="nil"/>
              <w:left w:val="nil"/>
              <w:bottom w:val="nil"/>
              <w:right w:val="nil"/>
            </w:tcBorders>
            <w:shd w:val="clear" w:color="auto" w:fill="FFFFFF"/>
            <w:vAlign w:val="center"/>
          </w:tcPr>
          <w:p w14:paraId="76F5CA5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Reference</w:t>
            </w:r>
          </w:p>
        </w:tc>
      </w:tr>
      <w:tr w14:paraId="33C64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49" w:type="pct"/>
            <w:tcBorders>
              <w:top w:val="nil"/>
              <w:left w:val="nil"/>
              <w:bottom w:val="nil"/>
              <w:right w:val="single" w:color="000000" w:sz="12" w:space="0"/>
            </w:tcBorders>
            <w:shd w:val="clear" w:color="auto" w:fill="FFFFFF"/>
            <w:vAlign w:val="center"/>
          </w:tcPr>
          <w:p w14:paraId="0FD95E1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Low-gap area</w:t>
            </w:r>
          </w:p>
        </w:tc>
        <w:tc>
          <w:tcPr>
            <w:tcW w:w="856" w:type="pct"/>
            <w:tcBorders>
              <w:top w:val="nil"/>
              <w:left w:val="nil"/>
              <w:bottom w:val="nil"/>
              <w:right w:val="nil"/>
            </w:tcBorders>
            <w:shd w:val="clear" w:color="auto" w:fill="FFFFFF"/>
            <w:vAlign w:val="center"/>
          </w:tcPr>
          <w:p w14:paraId="20C97EF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Wiltshire</w:t>
            </w:r>
          </w:p>
        </w:tc>
        <w:tc>
          <w:tcPr>
            <w:tcW w:w="788" w:type="pct"/>
            <w:tcBorders>
              <w:top w:val="nil"/>
              <w:left w:val="nil"/>
              <w:bottom w:val="nil"/>
              <w:right w:val="nil"/>
            </w:tcBorders>
            <w:shd w:val="clear" w:color="auto" w:fill="FFFFFF"/>
            <w:vAlign w:val="center"/>
          </w:tcPr>
          <w:p w14:paraId="5068332F">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-5.6 pp</w:t>
            </w:r>
          </w:p>
        </w:tc>
        <w:tc>
          <w:tcPr>
            <w:tcW w:w="1605" w:type="pct"/>
            <w:tcBorders>
              <w:top w:val="nil"/>
              <w:left w:val="nil"/>
              <w:bottom w:val="nil"/>
              <w:right w:val="nil"/>
            </w:tcBorders>
            <w:shd w:val="clear" w:color="auto" w:fill="FFFFFF"/>
            <w:vAlign w:val="center"/>
          </w:tcPr>
          <w:p w14:paraId="6691583D">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Reference</w:t>
            </w:r>
          </w:p>
        </w:tc>
      </w:tr>
      <w:tr w14:paraId="422BE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1749" w:type="pct"/>
            <w:tcBorders>
              <w:top w:val="nil"/>
              <w:left w:val="nil"/>
              <w:bottom w:val="nil"/>
              <w:right w:val="single" w:color="000000" w:sz="12" w:space="0"/>
            </w:tcBorders>
            <w:shd w:val="clear" w:color="auto" w:fill="FFFFFF"/>
            <w:vAlign w:val="center"/>
          </w:tcPr>
          <w:p w14:paraId="4315996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Raw DUG difference</w:t>
            </w:r>
          </w:p>
        </w:tc>
        <w:tc>
          <w:tcPr>
            <w:tcW w:w="856" w:type="pct"/>
            <w:tcBorders>
              <w:top w:val="nil"/>
              <w:left w:val="nil"/>
              <w:bottom w:val="nil"/>
              <w:right w:val="nil"/>
            </w:tcBorders>
            <w:shd w:val="clear" w:color="auto" w:fill="FFFFFF"/>
            <w:vAlign w:val="center"/>
          </w:tcPr>
          <w:p w14:paraId="4364922C">
            <w:pPr>
              <w:snapToGrid w:val="0"/>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788" w:type="pct"/>
            <w:tcBorders>
              <w:top w:val="nil"/>
              <w:left w:val="nil"/>
              <w:bottom w:val="nil"/>
              <w:right w:val="nil"/>
            </w:tcBorders>
            <w:shd w:val="clear" w:color="auto" w:fill="FFFFFF"/>
            <w:vAlign w:val="center"/>
          </w:tcPr>
          <w:p w14:paraId="4C06FF78">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17.0 pp</w:t>
            </w:r>
          </w:p>
        </w:tc>
        <w:tc>
          <w:tcPr>
            <w:tcW w:w="1605" w:type="pct"/>
            <w:tcBorders>
              <w:top w:val="nil"/>
              <w:left w:val="nil"/>
              <w:bottom w:val="nil"/>
              <w:right w:val="nil"/>
            </w:tcBorders>
            <w:shd w:val="clear" w:color="auto" w:fill="FFFFFF"/>
            <w:vAlign w:val="center"/>
          </w:tcPr>
          <w:p w14:paraId="4DD8A90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High minus low</w:t>
            </w:r>
          </w:p>
        </w:tc>
      </w:tr>
      <w:tr w14:paraId="23293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1749" w:type="pct"/>
            <w:tcBorders>
              <w:top w:val="nil"/>
              <w:left w:val="nil"/>
              <w:bottom w:val="nil"/>
              <w:right w:val="single" w:color="000000" w:sz="12" w:space="0"/>
            </w:tcBorders>
            <w:shd w:val="clear" w:color="auto" w:fill="FFFFFF"/>
            <w:vAlign w:val="center"/>
          </w:tcPr>
          <w:p w14:paraId="6DB2D39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Relative characteristics</w:t>
            </w:r>
          </w:p>
        </w:tc>
        <w:tc>
          <w:tcPr>
            <w:tcW w:w="856" w:type="pct"/>
            <w:tcBorders>
              <w:top w:val="nil"/>
              <w:left w:val="nil"/>
              <w:bottom w:val="nil"/>
              <w:right w:val="nil"/>
            </w:tcBorders>
            <w:shd w:val="clear" w:color="auto" w:fill="FFFFFF"/>
            <w:vAlign w:val="center"/>
          </w:tcPr>
          <w:p w14:paraId="71033779">
            <w:pPr>
              <w:snapToGrid w:val="0"/>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788" w:type="pct"/>
            <w:tcBorders>
              <w:top w:val="nil"/>
              <w:left w:val="nil"/>
              <w:bottom w:val="nil"/>
              <w:right w:val="nil"/>
            </w:tcBorders>
            <w:shd w:val="clear" w:color="auto" w:fill="FFFFFF"/>
            <w:vAlign w:val="center"/>
          </w:tcPr>
          <w:p w14:paraId="08CBAB9B">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3.2 pp</w:t>
            </w:r>
          </w:p>
        </w:tc>
        <w:tc>
          <w:tcPr>
            <w:tcW w:w="1605" w:type="pct"/>
            <w:tcBorders>
              <w:top w:val="nil"/>
              <w:left w:val="nil"/>
              <w:bottom w:val="nil"/>
              <w:right w:val="nil"/>
            </w:tcBorders>
            <w:shd w:val="clear" w:color="auto" w:fill="FFFFFF"/>
            <w:vAlign w:val="center"/>
          </w:tcPr>
          <w:p w14:paraId="1D3F405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People</w:t>
            </w:r>
          </w:p>
        </w:tc>
      </w:tr>
      <w:tr w14:paraId="57A26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49" w:type="pct"/>
            <w:tcBorders>
              <w:top w:val="nil"/>
              <w:left w:val="nil"/>
              <w:bottom w:val="nil"/>
              <w:right w:val="single" w:color="000000" w:sz="12" w:space="0"/>
            </w:tcBorders>
            <w:shd w:val="clear" w:color="auto" w:fill="FFFFFF"/>
            <w:vAlign w:val="center"/>
          </w:tcPr>
          <w:p w14:paraId="2E3B69DD">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Absolute characteristics</w:t>
            </w:r>
          </w:p>
        </w:tc>
        <w:tc>
          <w:tcPr>
            <w:tcW w:w="856" w:type="pct"/>
            <w:tcBorders>
              <w:top w:val="nil"/>
              <w:left w:val="nil"/>
              <w:bottom w:val="nil"/>
              <w:right w:val="nil"/>
            </w:tcBorders>
            <w:shd w:val="clear" w:color="auto" w:fill="FFFFFF"/>
            <w:vAlign w:val="center"/>
          </w:tcPr>
          <w:p w14:paraId="78D9D7E2">
            <w:pPr>
              <w:snapToGrid w:val="0"/>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788" w:type="pct"/>
            <w:tcBorders>
              <w:top w:val="nil"/>
              <w:left w:val="nil"/>
              <w:bottom w:val="nil"/>
              <w:right w:val="nil"/>
            </w:tcBorders>
            <w:shd w:val="clear" w:color="auto" w:fill="FFFFFF"/>
            <w:vAlign w:val="center"/>
          </w:tcPr>
          <w:p w14:paraId="2707F00B">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4.4 pp</w:t>
            </w:r>
          </w:p>
        </w:tc>
        <w:tc>
          <w:tcPr>
            <w:tcW w:w="1605" w:type="pct"/>
            <w:tcBorders>
              <w:top w:val="nil"/>
              <w:left w:val="nil"/>
              <w:bottom w:val="nil"/>
              <w:right w:val="nil"/>
            </w:tcBorders>
            <w:shd w:val="clear" w:color="auto" w:fill="FFFFFF"/>
            <w:vAlign w:val="center"/>
          </w:tcPr>
          <w:p w14:paraId="429D4A4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People</w:t>
            </w:r>
          </w:p>
        </w:tc>
      </w:tr>
      <w:tr w14:paraId="65B90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49" w:type="pct"/>
            <w:tcBorders>
              <w:top w:val="nil"/>
              <w:left w:val="nil"/>
              <w:bottom w:val="nil"/>
              <w:right w:val="single" w:color="000000" w:sz="12" w:space="0"/>
            </w:tcBorders>
            <w:shd w:val="clear" w:color="auto" w:fill="FFFFFF"/>
            <w:vAlign w:val="center"/>
          </w:tcPr>
          <w:p w14:paraId="08FAC18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All observed area characteristics</w:t>
            </w:r>
          </w:p>
        </w:tc>
        <w:tc>
          <w:tcPr>
            <w:tcW w:w="856" w:type="pct"/>
            <w:tcBorders>
              <w:top w:val="nil"/>
              <w:left w:val="nil"/>
              <w:bottom w:val="nil"/>
              <w:right w:val="nil"/>
            </w:tcBorders>
            <w:shd w:val="clear" w:color="auto" w:fill="FFFFFF"/>
            <w:vAlign w:val="center"/>
          </w:tcPr>
          <w:p w14:paraId="3CCE941C">
            <w:pPr>
              <w:snapToGrid w:val="0"/>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788" w:type="pct"/>
            <w:tcBorders>
              <w:top w:val="nil"/>
              <w:left w:val="nil"/>
              <w:bottom w:val="nil"/>
              <w:right w:val="nil"/>
            </w:tcBorders>
            <w:shd w:val="clear" w:color="auto" w:fill="FFFFFF"/>
            <w:vAlign w:val="center"/>
          </w:tcPr>
          <w:p w14:paraId="2838E451">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7.0 pp</w:t>
            </w:r>
          </w:p>
        </w:tc>
        <w:tc>
          <w:tcPr>
            <w:tcW w:w="1605" w:type="pct"/>
            <w:tcBorders>
              <w:top w:val="nil"/>
              <w:left w:val="nil"/>
              <w:bottom w:val="nil"/>
              <w:right w:val="nil"/>
            </w:tcBorders>
            <w:shd w:val="clear" w:color="auto" w:fill="FFFFFF"/>
            <w:vAlign w:val="center"/>
          </w:tcPr>
          <w:p w14:paraId="49DC508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Place</w:t>
            </w:r>
          </w:p>
        </w:tc>
      </w:tr>
      <w:tr w14:paraId="756CC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1749" w:type="pct"/>
            <w:tcBorders>
              <w:top w:val="nil"/>
              <w:left w:val="nil"/>
              <w:bottom w:val="nil"/>
              <w:right w:val="single" w:color="000000" w:sz="12" w:space="0"/>
            </w:tcBorders>
            <w:shd w:val="clear" w:color="auto" w:fill="FFFFFF"/>
            <w:vAlign w:val="center"/>
          </w:tcPr>
          <w:p w14:paraId="2A1A41B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Short-hours share (largest observed subcomponent)</w:t>
            </w:r>
          </w:p>
        </w:tc>
        <w:tc>
          <w:tcPr>
            <w:tcW w:w="856" w:type="pct"/>
            <w:tcBorders>
              <w:top w:val="nil"/>
              <w:left w:val="nil"/>
              <w:bottom w:val="nil"/>
              <w:right w:val="nil"/>
            </w:tcBorders>
            <w:shd w:val="clear" w:color="auto" w:fill="FFFFFF"/>
            <w:vAlign w:val="center"/>
          </w:tcPr>
          <w:p w14:paraId="78070141">
            <w:pPr>
              <w:snapToGrid w:val="0"/>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788" w:type="pct"/>
            <w:tcBorders>
              <w:top w:val="nil"/>
              <w:left w:val="nil"/>
              <w:bottom w:val="nil"/>
              <w:right w:val="nil"/>
            </w:tcBorders>
            <w:shd w:val="clear" w:color="auto" w:fill="FFFFFF"/>
            <w:vAlign w:val="center"/>
          </w:tcPr>
          <w:p w14:paraId="1C4991F4">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4.8 pp</w:t>
            </w:r>
          </w:p>
        </w:tc>
        <w:tc>
          <w:tcPr>
            <w:tcW w:w="1605" w:type="pct"/>
            <w:tcBorders>
              <w:top w:val="nil"/>
              <w:left w:val="nil"/>
              <w:bottom w:val="nil"/>
              <w:right w:val="nil"/>
            </w:tcBorders>
            <w:shd w:val="clear" w:color="auto" w:fill="FFFFFF"/>
            <w:vAlign w:val="center"/>
          </w:tcPr>
          <w:p w14:paraId="5CD9CE1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Subset of observed-place total; not added again</w:t>
            </w:r>
          </w:p>
        </w:tc>
      </w:tr>
      <w:tr w14:paraId="4B676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1749" w:type="pct"/>
            <w:tcBorders>
              <w:top w:val="nil"/>
              <w:left w:val="nil"/>
              <w:bottom w:val="single" w:color="000000" w:sz="12" w:space="0"/>
              <w:right w:val="single" w:color="000000" w:sz="12" w:space="0"/>
            </w:tcBorders>
            <w:shd w:val="clear" w:color="auto" w:fill="FFFFFF"/>
            <w:vAlign w:val="center"/>
          </w:tcPr>
          <w:p w14:paraId="387F82A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Residual + constant</w:t>
            </w:r>
          </w:p>
        </w:tc>
        <w:tc>
          <w:tcPr>
            <w:tcW w:w="856" w:type="pct"/>
            <w:tcBorders>
              <w:top w:val="nil"/>
              <w:left w:val="nil"/>
              <w:bottom w:val="single" w:color="000000" w:sz="12" w:space="0"/>
              <w:right w:val="nil"/>
            </w:tcBorders>
            <w:shd w:val="clear" w:color="auto" w:fill="FFFFFF"/>
            <w:vAlign w:val="center"/>
          </w:tcPr>
          <w:p w14:paraId="6D3B01B7">
            <w:pPr>
              <w:snapToGrid w:val="0"/>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788" w:type="pct"/>
            <w:tcBorders>
              <w:top w:val="nil"/>
              <w:left w:val="nil"/>
              <w:bottom w:val="single" w:color="000000" w:sz="12" w:space="0"/>
              <w:right w:val="nil"/>
            </w:tcBorders>
            <w:shd w:val="clear" w:color="auto" w:fill="FFFFFF"/>
            <w:vAlign w:val="center"/>
          </w:tcPr>
          <w:p w14:paraId="1E30F40C">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2.4 pp</w:t>
            </w:r>
          </w:p>
        </w:tc>
        <w:tc>
          <w:tcPr>
            <w:tcW w:w="1605" w:type="pct"/>
            <w:tcBorders>
              <w:top w:val="nil"/>
              <w:left w:val="nil"/>
              <w:bottom w:val="single" w:color="000000" w:sz="12" w:space="0"/>
              <w:right w:val="nil"/>
            </w:tcBorders>
            <w:shd w:val="clear" w:color="auto" w:fill="FFFFFF"/>
            <w:vAlign w:val="center"/>
          </w:tcPr>
          <w:p w14:paraId="7D69DD2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Residual place</w:t>
            </w:r>
          </w:p>
        </w:tc>
      </w:tr>
    </w:tbl>
    <w:p w14:paraId="690A75DA">
      <w:pPr>
        <w:pageBreakBefore w:val="0"/>
        <w:widowControl/>
        <w:kinsoku/>
        <w:wordWrap/>
        <w:overflowPunct/>
        <w:topLinePunct w:val="0"/>
        <w:autoSpaceDE/>
        <w:autoSpaceDN/>
        <w:bidi w:val="0"/>
        <w:adjustRightInd/>
        <w:snapToGrid/>
        <w:spacing w:before="0" w:after="160" w:line="240" w:lineRule="auto"/>
        <w:ind w:firstLine="0"/>
        <w:jc w:val="left"/>
        <w:textAlignment w:val="auto"/>
        <w:rPr>
          <w:rFonts w:hint="default" w:ascii="Times New Roman" w:hAnsi="Times New Roman" w:eastAsia="Times New Roman" w:cs="Times New Roman"/>
          <w:i/>
          <w:iCs w:val="0"/>
          <w:sz w:val="24"/>
          <w:szCs w:val="24"/>
        </w:rPr>
      </w:pPr>
      <w:r>
        <w:rPr>
          <w:rFonts w:hint="default" w:ascii="Times New Roman" w:hAnsi="Times New Roman" w:eastAsia="Times New Roman" w:cs="Times New Roman"/>
          <w:i/>
          <w:iCs w:val="0"/>
          <w:sz w:val="24"/>
          <w:szCs w:val="24"/>
        </w:rPr>
        <w:t>Note. The mutually exclusive aggregate components sum to the 17.0-pp Glasgow City-Wiltshire contrast: people 7.6 pp, observed area 7.0 pp, and residual 2.4 pp. Short-hours share (4.8 pp) is a subcomponent of the observed-area total and is not added again. The pair is an illustrative disclosure-cleared example; the paper's general people-place conclusion uses the full 175-area distribution.</w:t>
      </w:r>
    </w:p>
    <w:p w14:paraId="2F11448A">
      <w:pPr>
        <w:pageBreakBefore w:val="0"/>
        <w:widowControl/>
        <w:kinsoku/>
        <w:wordWrap/>
        <w:overflowPunct/>
        <w:topLinePunct w:val="0"/>
        <w:autoSpaceDE/>
        <w:autoSpaceDN/>
        <w:bidi w:val="0"/>
        <w:adjustRightInd/>
        <w:snapToGrid/>
        <w:spacing w:before="0" w:after="160" w:line="240" w:lineRule="auto"/>
        <w:ind w:firstLine="0"/>
        <w:jc w:val="left"/>
        <w:textAlignment w:val="auto"/>
        <w:rPr>
          <w:rFonts w:hint="default" w:ascii="Times New Roman" w:hAnsi="Times New Roman" w:eastAsia="Times New Roman" w:cs="Times New Roman"/>
          <w:i/>
          <w:iCs w:val="0"/>
          <w:sz w:val="24"/>
          <w:szCs w:val="24"/>
        </w:rPr>
      </w:pPr>
    </w:p>
    <w:p w14:paraId="2F202766">
      <w:pPr>
        <w:pageBreakBefore w:val="0"/>
        <w:widowControl/>
        <w:kinsoku/>
        <w:wordWrap/>
        <w:overflowPunct/>
        <w:topLinePunct w:val="0"/>
        <w:autoSpaceDE/>
        <w:autoSpaceDN/>
        <w:bidi w:val="0"/>
        <w:adjustRightInd/>
        <w:snapToGrid/>
        <w:spacing w:before="0" w:after="160" w:line="240" w:lineRule="auto"/>
        <w:ind w:firstLine="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5577840" cy="2286635"/>
            <wp:effectExtent l="0" t="0" r="3810" b="184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stretch>
                      <a:fillRect/>
                    </a:stretch>
                  </pic:blipFill>
                  <pic:spPr>
                    <a:xfrm>
                      <a:off x="0" y="0"/>
                      <a:ext cx="5577840" cy="2286834"/>
                    </a:xfrm>
                    <a:prstGeom prst="rect">
                      <a:avLst/>
                    </a:prstGeom>
                  </pic:spPr>
                </pic:pic>
              </a:graphicData>
            </a:graphic>
          </wp:inline>
        </w:drawing>
      </w:r>
    </w:p>
    <w:p>
      <w:pPr/>
      <w:r>
        <w:t>Figure S1 visualises the same pairwise accounting using mutually exclusive aggregate components.</w:t>
      </w:r>
    </w:p>
    <w:p w14:paraId="13397F05">
      <w:pPr>
        <w:keepNext w:val="0"/>
        <w:pageBreakBefore w:val="0"/>
        <w:widowControl/>
        <w:kinsoku/>
        <w:wordWrap/>
        <w:overflowPunct/>
        <w:topLinePunct w:val="0"/>
        <w:autoSpaceDE/>
        <w:autoSpaceDN/>
        <w:bidi w:val="0"/>
        <w:adjustRightInd/>
        <w:snapToGrid/>
        <w:spacing w:before="0" w:after="160" w:line="240" w:lineRule="auto"/>
        <w:ind w:firstLine="0"/>
        <w:jc w:val="center"/>
        <w:textAlignment w:val="auto"/>
        <w:rPr>
          <w:rFonts w:hint="default" w:ascii="Times New Roman" w:hAnsi="Times New Roman" w:cs="Times New Roman"/>
          <w:sz w:val="24"/>
          <w:szCs w:val="24"/>
        </w:rPr>
      </w:pPr>
      <w:r>
        <w:rPr>
          <w:rFonts w:hint="default" w:ascii="Times New Roman" w:hAnsi="Times New Roman" w:eastAsia="Times New Roman" w:cs="Times New Roman"/>
          <w:b/>
          <w:sz w:val="24"/>
          <w:szCs w:val="24"/>
        </w:rPr>
        <w:t xml:space="preserve">Figure S1. </w:t>
      </w:r>
      <w:r>
        <w:rPr>
          <w:rFonts w:hint="default" w:ascii="Times New Roman" w:hAnsi="Times New Roman" w:eastAsia="Times New Roman" w:cs="Times New Roman"/>
          <w:sz w:val="24"/>
          <w:szCs w:val="24"/>
        </w:rPr>
        <w:t>Pairwise accounting decomposition of the Glasgow City-Wiltshire DUG difference.</w:t>
      </w:r>
    </w:p>
    <w:p w14:paraId="4B610F6F">
      <w:pPr>
        <w:keepNext w:val="0"/>
        <w:pageBreakBefore w:val="0"/>
        <w:widowControl/>
        <w:kinsoku/>
        <w:wordWrap/>
        <w:overflowPunct/>
        <w:topLinePunct w:val="0"/>
        <w:autoSpaceDE/>
        <w:autoSpaceDN/>
        <w:bidi w:val="0"/>
        <w:adjustRightInd/>
        <w:snapToGrid/>
        <w:spacing w:before="0" w:after="160" w:line="240" w:lineRule="auto"/>
        <w:ind w:firstLine="0"/>
        <w:jc w:val="left"/>
        <w:textAlignment w:val="auto"/>
        <w:rPr>
          <w:rFonts w:hint="default" w:ascii="Times New Roman" w:hAnsi="Times New Roman" w:eastAsia="Times New Roman" w:cs="Times New Roman"/>
          <w:i/>
          <w:iCs w:val="0"/>
          <w:sz w:val="24"/>
          <w:szCs w:val="24"/>
        </w:rPr>
      </w:pPr>
      <w:r>
        <w:rPr>
          <w:rFonts w:hint="default" w:ascii="Times New Roman" w:hAnsi="Times New Roman" w:eastAsia="Times New Roman" w:cs="Times New Roman"/>
          <w:i/>
          <w:iCs w:val="0"/>
          <w:sz w:val="24"/>
          <w:szCs w:val="24"/>
        </w:rPr>
        <w:t>Note. The figure uses the internally consistent three-part accounting totals (7.6 + 7.0 + 2.4 = 17.0 pp). The bars show mutually exclusive aggregate components. Short-hours share (4.8 pp) is nested within the 7.0-pp observed-place total and is not added again. Because Glasgow City and Wiltshire are the observed high/low examples and local precision varies, the figure illustrates the accounting identity rather than a ranking or a generalised causal contrast.</w:t>
      </w:r>
    </w:p>
    <w:p w14:paraId="220E8A09">
      <w:pPr>
        <w:keepNext w:val="0"/>
        <w:pageBreakBefore w:val="0"/>
        <w:widowControl/>
        <w:kinsoku/>
        <w:wordWrap/>
        <w:overflowPunct/>
        <w:topLinePunct w:val="0"/>
        <w:autoSpaceDE/>
        <w:autoSpaceDN/>
        <w:bidi w:val="0"/>
        <w:adjustRightInd/>
        <w:snapToGrid/>
        <w:spacing w:before="0" w:after="160" w:line="240" w:lineRule="auto"/>
        <w:ind w:firstLine="0"/>
        <w:jc w:val="left"/>
        <w:textAlignment w:val="auto"/>
        <w:rPr>
          <w:rFonts w:hint="default" w:ascii="Times New Roman" w:hAnsi="Times New Roman" w:eastAsia="Times New Roman" w:cs="Times New Roman"/>
          <w:i/>
          <w:iCs w:val="0"/>
          <w:sz w:val="24"/>
          <w:szCs w:val="24"/>
        </w:rPr>
      </w:pPr>
    </w:p>
    <w:p w14:paraId="69228251">
      <w:pPr>
        <w:keepNext w:val="0"/>
        <w:keepLines w:val="0"/>
        <w:pageBreakBefore w:val="0"/>
        <w:widowControl/>
        <w:kinsoku/>
        <w:wordWrap/>
        <w:overflowPunct/>
        <w:topLinePunct w:val="0"/>
        <w:autoSpaceDE/>
        <w:autoSpaceDN/>
        <w:bidi w:val="0"/>
        <w:adjustRightInd/>
        <w:snapToGrid/>
        <w:spacing w:before="0" w:after="160" w:line="240" w:lineRule="auto"/>
        <w:ind w:firstLine="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The remaining appendices provide the data provenance, model summaries, spatial decomposition diagnostics, robustness checks and external benchmarks cited in the main manuscript.</w:t>
      </w:r>
    </w:p>
    <w:p w14:paraId="2FB3EEE7">
      <w:pPr>
        <w:keepNext w:val="0"/>
        <w:keepLines w:val="0"/>
        <w:pageBreakBefore w:val="0"/>
        <w:widowControl/>
        <w:kinsoku/>
        <w:wordWrap/>
        <w:overflowPunct/>
        <w:topLinePunct w:val="0"/>
        <w:autoSpaceDE/>
        <w:autoSpaceDN/>
        <w:bidi w:val="0"/>
        <w:adjustRightInd/>
        <w:snapToGrid/>
        <w:spacing w:before="0" w:after="160" w:line="240" w:lineRule="auto"/>
        <w:ind w:firstLine="0"/>
        <w:jc w:val="both"/>
        <w:textAlignment w:val="auto"/>
        <w:rPr>
          <w:rFonts w:hint="default" w:ascii="Times New Roman" w:hAnsi="Times New Roman" w:eastAsia="Times New Roman" w:cs="Times New Roman"/>
          <w:sz w:val="24"/>
          <w:szCs w:val="24"/>
        </w:rPr>
      </w:pPr>
    </w:p>
    <w:p w14:paraId="3BD41A0B">
      <w:pPr>
        <w:pStyle w:val="3"/>
        <w:keepNext/>
        <w:pageBreakBefore w:val="0"/>
        <w:widowControl/>
        <w:kinsoku/>
        <w:wordWrap/>
        <w:overflowPunct/>
        <w:topLinePunct w:val="0"/>
        <w:autoSpaceDE/>
        <w:autoSpaceDN/>
        <w:bidi w:val="0"/>
        <w:adjustRightInd/>
        <w:snapToGrid/>
        <w:spacing w:before="0" w:after="160" w:line="240" w:lineRule="auto"/>
        <w:ind w:firstLine="0"/>
        <w:jc w:val="both"/>
        <w:textAlignment w:val="auto"/>
        <w:rPr>
          <w:rFonts w:hint="default" w:ascii="Times New Roman" w:hAnsi="Times New Roman" w:cs="Times New Roman"/>
          <w:sz w:val="28"/>
          <w:szCs w:val="28"/>
        </w:rPr>
      </w:pPr>
      <w:r>
        <w:rPr>
          <w:rFonts w:hint="default" w:ascii="Times New Roman" w:hAnsi="Times New Roman" w:eastAsia="Times New Roman" w:cs="Times New Roman"/>
          <w:b/>
          <w:i w:val="0"/>
          <w:sz w:val="28"/>
          <w:szCs w:val="28"/>
        </w:rPr>
        <w:t>Supplementary Appendix A. Data provenance and sample construction</w:t>
      </w:r>
    </w:p>
    <w:p w14:paraId="74605D56">
      <w:pPr>
        <w:pStyle w:val="4"/>
        <w:keepNext/>
        <w:pageBreakBefore w:val="0"/>
        <w:widowControl/>
        <w:kinsoku/>
        <w:wordWrap/>
        <w:overflowPunct/>
        <w:topLinePunct w:val="0"/>
        <w:autoSpaceDE/>
        <w:autoSpaceDN/>
        <w:bidi w:val="0"/>
        <w:adjustRightInd/>
        <w:snapToGrid/>
        <w:spacing w:before="0" w:after="160" w:line="240" w:lineRule="auto"/>
        <w:ind w:firstLine="0"/>
        <w:jc w:val="both"/>
        <w:textAlignment w:val="auto"/>
        <w:rPr>
          <w:rFonts w:hint="default" w:ascii="Times New Roman" w:hAnsi="Times New Roman" w:cs="Times New Roman"/>
          <w:sz w:val="24"/>
          <w:szCs w:val="24"/>
        </w:rPr>
      </w:pPr>
      <w:r>
        <w:rPr>
          <w:rFonts w:hint="default" w:ascii="Times New Roman" w:hAnsi="Times New Roman" w:eastAsia="Times New Roman" w:cs="Times New Roman"/>
          <w:b/>
          <w:i w:val="0"/>
          <w:sz w:val="24"/>
          <w:szCs w:val="24"/>
        </w:rPr>
        <w:t>A1. Secure APS file log</w:t>
      </w:r>
    </w:p>
    <w:p w14:paraId="20D732E4">
      <w:pPr>
        <w:keepNext w:val="0"/>
        <w:keepLines w:val="0"/>
        <w:pageBreakBefore w:val="0"/>
        <w:widowControl/>
        <w:kinsoku/>
        <w:wordWrap/>
        <w:overflowPunct/>
        <w:topLinePunct w:val="0"/>
        <w:autoSpaceDE/>
        <w:autoSpaceDN/>
        <w:bidi w:val="0"/>
        <w:adjustRightInd/>
        <w:snapToGrid/>
        <w:spacing w:before="0" w:after="160" w:line="240" w:lineRule="auto"/>
        <w:ind w:firstLine="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This appendix records the disclosure-cleared provenance needed to interpret the analysis while respecting Secure Lab restrictions. The harmonised 2022-2025 person-wave file comes from UK Data Service Study 6721. Exact release identifiers, interview-period mapping, wave-retention rules, duplicate-interview handling, weight variables, rescaling and the 175-area crosswalk remain in the governed workflow and controlled replication ledger.</w:t>
      </w:r>
      <w:r>
        <w:rPr>
          <w:rFonts w:ascii="Times New Roman" w:hAnsi="Times New Roman"/>
          <w:sz w:val="24"/>
        </w:rPr>
        <w:t xml:space="preserve"> Table A1 summarises the public-facing harmonisation by analysis year.</w:t>
      </w:r>
    </w:p>
    <w:p w14:paraId="5786DA6C">
      <w:pPr>
        <w:keepNext w:val="0"/>
        <w:keepLines w:val="0"/>
        <w:pageBreakBefore w:val="0"/>
        <w:widowControl/>
        <w:kinsoku/>
        <w:wordWrap/>
        <w:overflowPunct/>
        <w:topLinePunct w:val="0"/>
        <w:autoSpaceDE/>
        <w:autoSpaceDN/>
        <w:bidi w:val="0"/>
        <w:adjustRightInd/>
        <w:snapToGrid/>
        <w:spacing w:before="0" w:after="160" w:line="240" w:lineRule="auto"/>
        <w:ind w:firstLine="0"/>
        <w:jc w:val="both"/>
        <w:textAlignment w:val="auto"/>
        <w:rPr>
          <w:rFonts w:hint="default" w:ascii="Times New Roman" w:hAnsi="Times New Roman" w:eastAsia="Times New Roman" w:cs="Times New Roman"/>
          <w:sz w:val="24"/>
          <w:szCs w:val="24"/>
        </w:rPr>
      </w:pPr>
    </w:p>
    <w:p w14:paraId="25F8DA7F">
      <w:pPr>
        <w:keepNext/>
        <w:pageBreakBefore w:val="0"/>
        <w:widowControl/>
        <w:kinsoku/>
        <w:wordWrap/>
        <w:overflowPunct/>
        <w:topLinePunct w:val="0"/>
        <w:autoSpaceDE/>
        <w:autoSpaceDN/>
        <w:bidi w:val="0"/>
        <w:adjustRightInd/>
        <w:snapToGrid/>
        <w:spacing w:before="0" w:after="160" w:line="240" w:lineRule="auto"/>
        <w:ind w:firstLine="0"/>
        <w:jc w:val="center"/>
        <w:textAlignment w:val="auto"/>
        <w:rPr>
          <w:rFonts w:hint="default" w:ascii="Times New Roman" w:hAnsi="Times New Roman" w:cs="Times New Roman"/>
          <w:sz w:val="24"/>
          <w:szCs w:val="24"/>
        </w:rPr>
      </w:pPr>
      <w:r>
        <w:rPr>
          <w:rFonts w:hint="default" w:ascii="Times New Roman" w:hAnsi="Times New Roman" w:eastAsia="Times New Roman" w:cs="Times New Roman"/>
          <w:b/>
          <w:sz w:val="24"/>
          <w:szCs w:val="24"/>
        </w:rPr>
        <w:t xml:space="preserve">Table A1. </w:t>
      </w:r>
      <w:r>
        <w:rPr>
          <w:rFonts w:hint="default" w:ascii="Times New Roman" w:hAnsi="Times New Roman" w:eastAsia="Times New Roman" w:cs="Times New Roman"/>
          <w:sz w:val="24"/>
          <w:szCs w:val="24"/>
        </w:rPr>
        <w:t>Public-facing Secure APS harmonisation summary</w:t>
      </w:r>
    </w:p>
    <w:tbl>
      <w:tblPr>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723"/>
        <w:gridCol w:w="2003"/>
        <w:gridCol w:w="2763"/>
        <w:gridCol w:w="1584"/>
        <w:gridCol w:w="2163"/>
      </w:tblGrid>
      <w:tr w14:paraId="101D3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blHeader/>
          <w:jc w:val="center"/>
        </w:trPr>
        <w:tc>
          <w:tcPr>
            <w:tcW w:w="379" w:type="pct"/>
            <w:tcBorders>
              <w:top w:val="single" w:color="000000" w:sz="12" w:space="0"/>
              <w:left w:val="nil"/>
              <w:bottom w:val="single" w:color="000000" w:sz="8" w:space="0"/>
              <w:right w:val="single" w:color="000000" w:sz="12" w:space="0"/>
            </w:tcBorders>
            <w:shd w:val="clear" w:color="auto" w:fill="FFFFFF"/>
            <w:vAlign w:val="center"/>
          </w:tcPr>
          <w:p w14:paraId="704E8C7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Year</w:t>
            </w:r>
          </w:p>
        </w:tc>
        <w:tc>
          <w:tcPr>
            <w:tcW w:w="1087" w:type="pct"/>
            <w:tcBorders>
              <w:top w:val="single" w:color="000000" w:sz="12" w:space="0"/>
              <w:left w:val="nil"/>
              <w:bottom w:val="single" w:color="000000" w:sz="8" w:space="0"/>
              <w:right w:val="nil"/>
            </w:tcBorders>
            <w:shd w:val="clear" w:color="auto" w:fill="FFFFFF"/>
            <w:vAlign w:val="center"/>
          </w:tcPr>
          <w:p w14:paraId="423E00E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Analysis-period records</w:t>
            </w:r>
          </w:p>
        </w:tc>
        <w:tc>
          <w:tcPr>
            <w:tcW w:w="1498" w:type="pct"/>
            <w:tcBorders>
              <w:top w:val="single" w:color="000000" w:sz="12" w:space="0"/>
              <w:left w:val="nil"/>
              <w:bottom w:val="single" w:color="000000" w:sz="8" w:space="0"/>
              <w:right w:val="nil"/>
            </w:tcBorders>
            <w:shd w:val="clear" w:color="auto" w:fill="FFFFFF"/>
            <w:vAlign w:val="center"/>
          </w:tcPr>
          <w:p w14:paraId="143AC97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Outcome and disability coding</w:t>
            </w:r>
          </w:p>
        </w:tc>
        <w:tc>
          <w:tcPr>
            <w:tcW w:w="860" w:type="pct"/>
            <w:tcBorders>
              <w:top w:val="single" w:color="000000" w:sz="12" w:space="0"/>
              <w:left w:val="nil"/>
              <w:bottom w:val="single" w:color="000000" w:sz="8" w:space="0"/>
              <w:right w:val="nil"/>
            </w:tcBorders>
            <w:shd w:val="clear" w:color="auto" w:fill="FFFFFF"/>
            <w:vAlign w:val="center"/>
          </w:tcPr>
          <w:p w14:paraId="1B2A64DD">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Weight</w:t>
            </w:r>
          </w:p>
        </w:tc>
        <w:tc>
          <w:tcPr>
            <w:tcW w:w="1173" w:type="pct"/>
            <w:tcBorders>
              <w:top w:val="single" w:color="000000" w:sz="12" w:space="0"/>
              <w:left w:val="nil"/>
              <w:bottom w:val="single" w:color="000000" w:sz="8" w:space="0"/>
              <w:right w:val="nil"/>
            </w:tcBorders>
            <w:shd w:val="clear" w:color="auto" w:fill="FFFFFF"/>
            <w:vAlign w:val="center"/>
          </w:tcPr>
          <w:p w14:paraId="679B97A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Geography / harmonisation</w:t>
            </w:r>
          </w:p>
        </w:tc>
      </w:tr>
      <w:tr w14:paraId="30D7A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379" w:type="pct"/>
            <w:tcBorders>
              <w:top w:val="nil"/>
              <w:left w:val="nil"/>
              <w:bottom w:val="nil"/>
              <w:right w:val="single" w:color="000000" w:sz="12" w:space="0"/>
            </w:tcBorders>
            <w:shd w:val="clear" w:color="auto" w:fill="FFFFFF"/>
            <w:vAlign w:val="center"/>
          </w:tcPr>
          <w:p w14:paraId="553EED9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2022</w:t>
            </w:r>
          </w:p>
        </w:tc>
        <w:tc>
          <w:tcPr>
            <w:tcW w:w="1087" w:type="pct"/>
            <w:tcBorders>
              <w:top w:val="nil"/>
              <w:left w:val="nil"/>
              <w:bottom w:val="nil"/>
              <w:right w:val="nil"/>
            </w:tcBorders>
            <w:shd w:val="clear" w:color="auto" w:fill="FFFFFF"/>
            <w:vAlign w:val="center"/>
          </w:tcPr>
          <w:p w14:paraId="227B4BA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Secure APS person-wave records contributing to 2022 analysis period</w:t>
            </w:r>
          </w:p>
        </w:tc>
        <w:tc>
          <w:tcPr>
            <w:tcW w:w="1498" w:type="pct"/>
            <w:tcBorders>
              <w:top w:val="nil"/>
              <w:left w:val="nil"/>
              <w:bottom w:val="nil"/>
              <w:right w:val="nil"/>
            </w:tcBorders>
            <w:shd w:val="clear" w:color="auto" w:fill="FFFFFF"/>
            <w:vAlign w:val="center"/>
          </w:tcPr>
          <w:p w14:paraId="0ED59FF1">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Harmonised ONS/DWP underemployment rule; harmonised Equality Act disability indicator</w:t>
            </w:r>
          </w:p>
        </w:tc>
        <w:tc>
          <w:tcPr>
            <w:tcW w:w="860" w:type="pct"/>
            <w:tcBorders>
              <w:top w:val="nil"/>
              <w:left w:val="nil"/>
              <w:bottom w:val="nil"/>
              <w:right w:val="nil"/>
            </w:tcBorders>
            <w:shd w:val="clear" w:color="auto" w:fill="FFFFFF"/>
            <w:vAlign w:val="center"/>
          </w:tcPr>
          <w:p w14:paraId="131CA10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Year-appropriate APS person weight</w:t>
            </w:r>
          </w:p>
        </w:tc>
        <w:tc>
          <w:tcPr>
            <w:tcW w:w="1173" w:type="pct"/>
            <w:tcBorders>
              <w:top w:val="nil"/>
              <w:left w:val="nil"/>
              <w:bottom w:val="nil"/>
              <w:right w:val="nil"/>
            </w:tcBorders>
            <w:shd w:val="clear" w:color="auto" w:fill="FFFFFF"/>
            <w:vAlign w:val="center"/>
          </w:tcPr>
          <w:p w14:paraId="0B70EDD1">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Harmonised study-area identifier; common secure-workflow coding</w:t>
            </w:r>
          </w:p>
        </w:tc>
      </w:tr>
      <w:tr w14:paraId="04981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79" w:type="pct"/>
            <w:tcBorders>
              <w:top w:val="nil"/>
              <w:left w:val="nil"/>
              <w:bottom w:val="nil"/>
              <w:right w:val="single" w:color="000000" w:sz="12" w:space="0"/>
            </w:tcBorders>
            <w:shd w:val="clear" w:color="auto" w:fill="FFFFFF"/>
            <w:vAlign w:val="center"/>
          </w:tcPr>
          <w:p w14:paraId="23736D0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2023</w:t>
            </w:r>
          </w:p>
        </w:tc>
        <w:tc>
          <w:tcPr>
            <w:tcW w:w="1087" w:type="pct"/>
            <w:tcBorders>
              <w:top w:val="nil"/>
              <w:left w:val="nil"/>
              <w:bottom w:val="nil"/>
              <w:right w:val="nil"/>
            </w:tcBorders>
            <w:shd w:val="clear" w:color="auto" w:fill="FFFFFF"/>
            <w:vAlign w:val="center"/>
          </w:tcPr>
          <w:p w14:paraId="781296C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Secure APS person-wave records contributing to 2023 analysis period</w:t>
            </w:r>
          </w:p>
        </w:tc>
        <w:tc>
          <w:tcPr>
            <w:tcW w:w="1498" w:type="pct"/>
            <w:tcBorders>
              <w:top w:val="nil"/>
              <w:left w:val="nil"/>
              <w:bottom w:val="nil"/>
              <w:right w:val="nil"/>
            </w:tcBorders>
            <w:shd w:val="clear" w:color="auto" w:fill="FFFFFF"/>
            <w:vAlign w:val="center"/>
          </w:tcPr>
          <w:p w14:paraId="0766A9D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Harmonised ONS/DWP underemployment rule; harmonised Equality Act disability indicator</w:t>
            </w:r>
          </w:p>
        </w:tc>
        <w:tc>
          <w:tcPr>
            <w:tcW w:w="860" w:type="pct"/>
            <w:tcBorders>
              <w:top w:val="nil"/>
              <w:left w:val="nil"/>
              <w:bottom w:val="nil"/>
              <w:right w:val="nil"/>
            </w:tcBorders>
            <w:shd w:val="clear" w:color="auto" w:fill="FFFFFF"/>
            <w:vAlign w:val="center"/>
          </w:tcPr>
          <w:p w14:paraId="417B0D1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Year-appropriate APS person weight</w:t>
            </w:r>
          </w:p>
        </w:tc>
        <w:tc>
          <w:tcPr>
            <w:tcW w:w="1173" w:type="pct"/>
            <w:tcBorders>
              <w:top w:val="nil"/>
              <w:left w:val="nil"/>
              <w:bottom w:val="nil"/>
              <w:right w:val="nil"/>
            </w:tcBorders>
            <w:shd w:val="clear" w:color="auto" w:fill="FFFFFF"/>
            <w:vAlign w:val="center"/>
          </w:tcPr>
          <w:p w14:paraId="1B6E2E8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Harmonised study-area identifier; common secure-workflow coding</w:t>
            </w:r>
          </w:p>
        </w:tc>
      </w:tr>
      <w:tr w14:paraId="3E4E7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379" w:type="pct"/>
            <w:tcBorders>
              <w:top w:val="nil"/>
              <w:left w:val="nil"/>
              <w:bottom w:val="nil"/>
              <w:right w:val="single" w:color="000000" w:sz="12" w:space="0"/>
            </w:tcBorders>
            <w:shd w:val="clear" w:color="auto" w:fill="FFFFFF"/>
            <w:vAlign w:val="center"/>
          </w:tcPr>
          <w:p w14:paraId="661CBE4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2024</w:t>
            </w:r>
          </w:p>
        </w:tc>
        <w:tc>
          <w:tcPr>
            <w:tcW w:w="1087" w:type="pct"/>
            <w:tcBorders>
              <w:top w:val="nil"/>
              <w:left w:val="nil"/>
              <w:bottom w:val="nil"/>
              <w:right w:val="nil"/>
            </w:tcBorders>
            <w:shd w:val="clear" w:color="auto" w:fill="FFFFFF"/>
            <w:vAlign w:val="center"/>
          </w:tcPr>
          <w:p w14:paraId="4AEEA011">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Secure APS person-wave records contributing to 2024 analysis period</w:t>
            </w:r>
          </w:p>
        </w:tc>
        <w:tc>
          <w:tcPr>
            <w:tcW w:w="1498" w:type="pct"/>
            <w:tcBorders>
              <w:top w:val="nil"/>
              <w:left w:val="nil"/>
              <w:bottom w:val="nil"/>
              <w:right w:val="nil"/>
            </w:tcBorders>
            <w:shd w:val="clear" w:color="auto" w:fill="FFFFFF"/>
            <w:vAlign w:val="center"/>
          </w:tcPr>
          <w:p w14:paraId="25BDC99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Harmonised ONS/DWP underemployment rule; harmonised Equality Act disability indicator</w:t>
            </w:r>
          </w:p>
        </w:tc>
        <w:tc>
          <w:tcPr>
            <w:tcW w:w="860" w:type="pct"/>
            <w:tcBorders>
              <w:top w:val="nil"/>
              <w:left w:val="nil"/>
              <w:bottom w:val="nil"/>
              <w:right w:val="nil"/>
            </w:tcBorders>
            <w:shd w:val="clear" w:color="auto" w:fill="FFFFFF"/>
            <w:vAlign w:val="center"/>
          </w:tcPr>
          <w:p w14:paraId="53B91B91">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Year-appropriate APS person weight</w:t>
            </w:r>
          </w:p>
        </w:tc>
        <w:tc>
          <w:tcPr>
            <w:tcW w:w="1173" w:type="pct"/>
            <w:tcBorders>
              <w:top w:val="nil"/>
              <w:left w:val="nil"/>
              <w:bottom w:val="nil"/>
              <w:right w:val="nil"/>
            </w:tcBorders>
            <w:shd w:val="clear" w:color="auto" w:fill="FFFFFF"/>
            <w:vAlign w:val="center"/>
          </w:tcPr>
          <w:p w14:paraId="3B89EFB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Harmonised study-area identifier; common secure-workflow coding</w:t>
            </w:r>
          </w:p>
        </w:tc>
      </w:tr>
      <w:tr w14:paraId="3D188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379" w:type="pct"/>
            <w:tcBorders>
              <w:top w:val="nil"/>
              <w:left w:val="nil"/>
              <w:bottom w:val="single" w:color="000000" w:sz="12" w:space="0"/>
              <w:right w:val="single" w:color="000000" w:sz="12" w:space="0"/>
            </w:tcBorders>
            <w:shd w:val="clear" w:color="auto" w:fill="FFFFFF"/>
            <w:vAlign w:val="center"/>
          </w:tcPr>
          <w:p w14:paraId="779B421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2025</w:t>
            </w:r>
          </w:p>
        </w:tc>
        <w:tc>
          <w:tcPr>
            <w:tcW w:w="1087" w:type="pct"/>
            <w:tcBorders>
              <w:top w:val="nil"/>
              <w:left w:val="nil"/>
              <w:bottom w:val="single" w:color="000000" w:sz="12" w:space="0"/>
              <w:right w:val="nil"/>
            </w:tcBorders>
            <w:shd w:val="clear" w:color="auto" w:fill="FFFFFF"/>
            <w:vAlign w:val="center"/>
          </w:tcPr>
          <w:p w14:paraId="0D1AFFC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Secure APS person-wave records contributing to 2025 analysis period</w:t>
            </w:r>
          </w:p>
        </w:tc>
        <w:tc>
          <w:tcPr>
            <w:tcW w:w="1498" w:type="pct"/>
            <w:tcBorders>
              <w:top w:val="nil"/>
              <w:left w:val="nil"/>
              <w:bottom w:val="single" w:color="000000" w:sz="12" w:space="0"/>
              <w:right w:val="nil"/>
            </w:tcBorders>
            <w:shd w:val="clear" w:color="auto" w:fill="FFFFFF"/>
            <w:vAlign w:val="center"/>
          </w:tcPr>
          <w:p w14:paraId="49F96EB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Harmonised ONS/DWP underemployment rule; harmonised Equality Act disability indicator</w:t>
            </w:r>
          </w:p>
        </w:tc>
        <w:tc>
          <w:tcPr>
            <w:tcW w:w="860" w:type="pct"/>
            <w:tcBorders>
              <w:top w:val="nil"/>
              <w:left w:val="nil"/>
              <w:bottom w:val="single" w:color="000000" w:sz="12" w:space="0"/>
              <w:right w:val="nil"/>
            </w:tcBorders>
            <w:shd w:val="clear" w:color="auto" w:fill="FFFFFF"/>
            <w:vAlign w:val="center"/>
          </w:tcPr>
          <w:p w14:paraId="799A2D9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Year-appropriate APS person weight</w:t>
            </w:r>
          </w:p>
        </w:tc>
        <w:tc>
          <w:tcPr>
            <w:tcW w:w="1173" w:type="pct"/>
            <w:tcBorders>
              <w:top w:val="nil"/>
              <w:left w:val="nil"/>
              <w:bottom w:val="single" w:color="000000" w:sz="12" w:space="0"/>
              <w:right w:val="nil"/>
            </w:tcBorders>
            <w:shd w:val="clear" w:color="auto" w:fill="FFFFFF"/>
            <w:vAlign w:val="center"/>
          </w:tcPr>
          <w:p w14:paraId="211BC52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Harmonised study-area identifier; common secure-workflow coding</w:t>
            </w:r>
          </w:p>
        </w:tc>
      </w:tr>
    </w:tbl>
    <w:p w14:paraId="54AAE4D8">
      <w:pPr>
        <w:pageBreakBefore w:val="0"/>
        <w:widowControl/>
        <w:kinsoku/>
        <w:wordWrap/>
        <w:overflowPunct/>
        <w:topLinePunct w:val="0"/>
        <w:autoSpaceDE/>
        <w:autoSpaceDN/>
        <w:bidi w:val="0"/>
        <w:adjustRightInd/>
        <w:snapToGrid/>
        <w:spacing w:before="0" w:after="160" w:line="240" w:lineRule="auto"/>
        <w:ind w:firstLine="0"/>
        <w:jc w:val="left"/>
        <w:textAlignment w:val="auto"/>
        <w:rPr>
          <w:rFonts w:hint="default" w:ascii="Times New Roman" w:hAnsi="Times New Roman" w:eastAsia="Times New Roman" w:cs="Times New Roman"/>
          <w:i/>
          <w:iCs w:val="0"/>
          <w:sz w:val="24"/>
          <w:szCs w:val="24"/>
        </w:rPr>
      </w:pPr>
      <w:r>
        <w:rPr>
          <w:rFonts w:hint="default" w:ascii="Times New Roman" w:hAnsi="Times New Roman" w:eastAsia="Times New Roman" w:cs="Times New Roman"/>
          <w:i/>
          <w:iCs w:val="0"/>
          <w:sz w:val="24"/>
          <w:szCs w:val="24"/>
        </w:rPr>
        <w:t>Note. This is a disclosure-cleared harmonisation summary, not a source-release ledger. Exact release identifiers, interview periods, wave-retention and duplicate-interview rules, weighting syntax and executable construction code remain in governed replication materials.</w:t>
      </w:r>
    </w:p>
    <w:p w14:paraId="1BBD52C7">
      <w:pPr>
        <w:pageBreakBefore w:val="0"/>
        <w:widowControl/>
        <w:kinsoku/>
        <w:wordWrap/>
        <w:overflowPunct/>
        <w:topLinePunct w:val="0"/>
        <w:autoSpaceDE/>
        <w:autoSpaceDN/>
        <w:bidi w:val="0"/>
        <w:adjustRightInd/>
        <w:snapToGrid/>
        <w:spacing w:before="0" w:after="160" w:line="240" w:lineRule="auto"/>
        <w:ind w:firstLine="0"/>
        <w:jc w:val="left"/>
        <w:textAlignment w:val="auto"/>
        <w:rPr>
          <w:rFonts w:hint="default" w:ascii="Times New Roman" w:hAnsi="Times New Roman" w:eastAsia="Times New Roman" w:cs="Times New Roman"/>
          <w:i/>
          <w:iCs w:val="0"/>
          <w:sz w:val="24"/>
          <w:szCs w:val="24"/>
        </w:rPr>
      </w:pPr>
    </w:p>
    <w:p w14:paraId="05CA4A70">
      <w:pPr>
        <w:pStyle w:val="4"/>
        <w:keepNext/>
        <w:pageBreakBefore w:val="0"/>
        <w:widowControl/>
        <w:kinsoku/>
        <w:wordWrap/>
        <w:overflowPunct/>
        <w:topLinePunct w:val="0"/>
        <w:autoSpaceDE/>
        <w:autoSpaceDN/>
        <w:bidi w:val="0"/>
        <w:adjustRightInd/>
        <w:snapToGrid/>
        <w:spacing w:before="0" w:after="160" w:line="240" w:lineRule="auto"/>
        <w:ind w:firstLine="0"/>
        <w:jc w:val="both"/>
        <w:textAlignment w:val="auto"/>
        <w:rPr>
          <w:rFonts w:hint="default" w:ascii="Times New Roman" w:hAnsi="Times New Roman" w:cs="Times New Roman"/>
          <w:sz w:val="24"/>
          <w:szCs w:val="24"/>
        </w:rPr>
      </w:pPr>
      <w:r>
        <w:rPr>
          <w:rFonts w:hint="default" w:ascii="Times New Roman" w:hAnsi="Times New Roman" w:eastAsia="Times New Roman" w:cs="Times New Roman"/>
          <w:b/>
          <w:i w:val="0"/>
          <w:sz w:val="24"/>
          <w:szCs w:val="24"/>
        </w:rPr>
        <w:t>A2. Final analytic sample and local precision</w:t>
      </w:r>
    </w:p>
    <w:p>
      <w:pPr/>
      <w:r>
        <w:t>Table A2 reports final sample composition, while Table A3 summarises local sample-size and precision diagnostics.</w:t>
      </w:r>
    </w:p>
    <w:p w14:paraId="374B6796">
      <w:pPr>
        <w:keepNext/>
        <w:pageBreakBefore w:val="0"/>
        <w:widowControl/>
        <w:kinsoku/>
        <w:wordWrap/>
        <w:overflowPunct/>
        <w:topLinePunct w:val="0"/>
        <w:autoSpaceDE/>
        <w:autoSpaceDN/>
        <w:bidi w:val="0"/>
        <w:adjustRightInd/>
        <w:snapToGrid/>
        <w:spacing w:before="0" w:after="160" w:line="240" w:lineRule="auto"/>
        <w:ind w:firstLine="0"/>
        <w:jc w:val="center"/>
        <w:textAlignment w:val="auto"/>
        <w:rPr>
          <w:rFonts w:hint="default" w:ascii="Times New Roman" w:hAnsi="Times New Roman" w:cs="Times New Roman"/>
          <w:sz w:val="24"/>
          <w:szCs w:val="24"/>
        </w:rPr>
      </w:pPr>
      <w:r>
        <w:rPr>
          <w:rFonts w:hint="default" w:ascii="Times New Roman" w:hAnsi="Times New Roman" w:eastAsia="Times New Roman" w:cs="Times New Roman"/>
          <w:b/>
          <w:sz w:val="24"/>
          <w:szCs w:val="24"/>
        </w:rPr>
        <w:t xml:space="preserve">Table A2. </w:t>
      </w:r>
      <w:r>
        <w:rPr>
          <w:rFonts w:hint="default" w:ascii="Times New Roman" w:hAnsi="Times New Roman" w:eastAsia="Times New Roman" w:cs="Times New Roman"/>
          <w:sz w:val="24"/>
          <w:szCs w:val="24"/>
        </w:rPr>
        <w:t>Final analytic sample composition</w:t>
      </w:r>
    </w:p>
    <w:tbl>
      <w:tblPr>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3003"/>
        <w:gridCol w:w="1210"/>
        <w:gridCol w:w="1903"/>
        <w:gridCol w:w="3120"/>
      </w:tblGrid>
      <w:tr w14:paraId="45873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blHeader/>
          <w:jc w:val="center"/>
        </w:trPr>
        <w:tc>
          <w:tcPr>
            <w:tcW w:w="1625" w:type="pct"/>
            <w:tcBorders>
              <w:top w:val="single" w:color="000000" w:sz="12" w:space="0"/>
              <w:left w:val="nil"/>
              <w:bottom w:val="single" w:color="000000" w:sz="8" w:space="0"/>
              <w:right w:val="single" w:color="000000" w:sz="12" w:space="0"/>
            </w:tcBorders>
            <w:shd w:val="clear" w:color="auto" w:fill="FFFFFF"/>
            <w:vAlign w:val="center"/>
          </w:tcPr>
          <w:p w14:paraId="6A4154CD">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Group / unit</w:t>
            </w:r>
          </w:p>
        </w:tc>
        <w:tc>
          <w:tcPr>
            <w:tcW w:w="655" w:type="pct"/>
            <w:tcBorders>
              <w:top w:val="single" w:color="000000" w:sz="12" w:space="0"/>
              <w:left w:val="nil"/>
              <w:bottom w:val="single" w:color="000000" w:sz="8" w:space="0"/>
              <w:right w:val="nil"/>
            </w:tcBorders>
            <w:shd w:val="clear" w:color="auto" w:fill="FFFFFF"/>
            <w:vAlign w:val="center"/>
          </w:tcPr>
          <w:p w14:paraId="54EF1F8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Final N</w:t>
            </w:r>
          </w:p>
        </w:tc>
        <w:tc>
          <w:tcPr>
            <w:tcW w:w="1030" w:type="pct"/>
            <w:tcBorders>
              <w:top w:val="single" w:color="000000" w:sz="12" w:space="0"/>
              <w:left w:val="nil"/>
              <w:bottom w:val="single" w:color="000000" w:sz="8" w:space="0"/>
              <w:right w:val="nil"/>
            </w:tcBorders>
            <w:shd w:val="clear" w:color="auto" w:fill="FFFFFF"/>
            <w:vAlign w:val="center"/>
          </w:tcPr>
          <w:p w14:paraId="644D57C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Share / status</w:t>
            </w:r>
          </w:p>
        </w:tc>
        <w:tc>
          <w:tcPr>
            <w:tcW w:w="1688" w:type="pct"/>
            <w:tcBorders>
              <w:top w:val="single" w:color="000000" w:sz="12" w:space="0"/>
              <w:left w:val="nil"/>
              <w:bottom w:val="single" w:color="000000" w:sz="8" w:space="0"/>
              <w:right w:val="nil"/>
            </w:tcBorders>
            <w:shd w:val="clear" w:color="auto" w:fill="FFFFFF"/>
            <w:vAlign w:val="center"/>
          </w:tcPr>
          <w:p w14:paraId="061BAB41">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Role</w:t>
            </w:r>
          </w:p>
        </w:tc>
      </w:tr>
      <w:tr w14:paraId="0AD3C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25" w:type="pct"/>
            <w:tcBorders>
              <w:top w:val="nil"/>
              <w:left w:val="nil"/>
              <w:bottom w:val="nil"/>
              <w:right w:val="single" w:color="000000" w:sz="12" w:space="0"/>
            </w:tcBorders>
            <w:shd w:val="clear" w:color="auto" w:fill="FFFFFF"/>
            <w:vAlign w:val="center"/>
          </w:tcPr>
          <w:p w14:paraId="0001C02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Disabled-group records</w:t>
            </w:r>
          </w:p>
        </w:tc>
        <w:tc>
          <w:tcPr>
            <w:tcW w:w="655" w:type="pct"/>
            <w:tcBorders>
              <w:top w:val="nil"/>
              <w:left w:val="nil"/>
              <w:bottom w:val="nil"/>
              <w:right w:val="nil"/>
            </w:tcBorders>
            <w:shd w:val="clear" w:color="auto" w:fill="FFFFFF"/>
            <w:vAlign w:val="center"/>
          </w:tcPr>
          <w:p w14:paraId="290773A7">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253,400</w:t>
            </w:r>
          </w:p>
        </w:tc>
        <w:tc>
          <w:tcPr>
            <w:tcW w:w="1030" w:type="pct"/>
            <w:tcBorders>
              <w:top w:val="nil"/>
              <w:left w:val="nil"/>
              <w:bottom w:val="nil"/>
              <w:right w:val="nil"/>
            </w:tcBorders>
            <w:shd w:val="clear" w:color="auto" w:fill="FFFFFF"/>
            <w:vAlign w:val="center"/>
          </w:tcPr>
          <w:p w14:paraId="5829F3EA">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13.70%</w:t>
            </w:r>
          </w:p>
        </w:tc>
        <w:tc>
          <w:tcPr>
            <w:tcW w:w="1688" w:type="pct"/>
            <w:tcBorders>
              <w:top w:val="nil"/>
              <w:left w:val="nil"/>
              <w:bottom w:val="nil"/>
              <w:right w:val="nil"/>
            </w:tcBorders>
            <w:shd w:val="clear" w:color="auto" w:fill="FFFFFF"/>
            <w:vAlign w:val="center"/>
          </w:tcPr>
          <w:p w14:paraId="597F09B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D = 1</w:t>
            </w:r>
          </w:p>
        </w:tc>
      </w:tr>
      <w:tr w14:paraId="4E050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1625" w:type="pct"/>
            <w:tcBorders>
              <w:top w:val="nil"/>
              <w:left w:val="nil"/>
              <w:bottom w:val="nil"/>
              <w:right w:val="single" w:color="000000" w:sz="12" w:space="0"/>
            </w:tcBorders>
            <w:shd w:val="clear" w:color="auto" w:fill="FFFFFF"/>
            <w:vAlign w:val="center"/>
          </w:tcPr>
          <w:p w14:paraId="7C143A5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Non-disabled-group records</w:t>
            </w:r>
          </w:p>
        </w:tc>
        <w:tc>
          <w:tcPr>
            <w:tcW w:w="655" w:type="pct"/>
            <w:tcBorders>
              <w:top w:val="nil"/>
              <w:left w:val="nil"/>
              <w:bottom w:val="nil"/>
              <w:right w:val="nil"/>
            </w:tcBorders>
            <w:shd w:val="clear" w:color="auto" w:fill="FFFFFF"/>
            <w:vAlign w:val="center"/>
          </w:tcPr>
          <w:p w14:paraId="2E4FC1BE">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1,591,800</w:t>
            </w:r>
          </w:p>
        </w:tc>
        <w:tc>
          <w:tcPr>
            <w:tcW w:w="1030" w:type="pct"/>
            <w:tcBorders>
              <w:top w:val="nil"/>
              <w:left w:val="nil"/>
              <w:bottom w:val="nil"/>
              <w:right w:val="nil"/>
            </w:tcBorders>
            <w:shd w:val="clear" w:color="auto" w:fill="FFFFFF"/>
            <w:vAlign w:val="center"/>
          </w:tcPr>
          <w:p w14:paraId="0A72A56C">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86.30%</w:t>
            </w:r>
          </w:p>
        </w:tc>
        <w:tc>
          <w:tcPr>
            <w:tcW w:w="1688" w:type="pct"/>
            <w:tcBorders>
              <w:top w:val="nil"/>
              <w:left w:val="nil"/>
              <w:bottom w:val="nil"/>
              <w:right w:val="nil"/>
            </w:tcBorders>
            <w:shd w:val="clear" w:color="auto" w:fill="FFFFFF"/>
            <w:vAlign w:val="center"/>
          </w:tcPr>
          <w:p w14:paraId="79B5B75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D = 0</w:t>
            </w:r>
          </w:p>
        </w:tc>
      </w:tr>
      <w:tr w14:paraId="0E10E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1625" w:type="pct"/>
            <w:tcBorders>
              <w:top w:val="nil"/>
              <w:left w:val="nil"/>
              <w:bottom w:val="nil"/>
              <w:right w:val="single" w:color="000000" w:sz="12" w:space="0"/>
            </w:tcBorders>
            <w:shd w:val="clear" w:color="auto" w:fill="FFFFFF"/>
            <w:vAlign w:val="center"/>
          </w:tcPr>
          <w:p w14:paraId="21E7C14D">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Total analysis records</w:t>
            </w:r>
          </w:p>
        </w:tc>
        <w:tc>
          <w:tcPr>
            <w:tcW w:w="655" w:type="pct"/>
            <w:tcBorders>
              <w:top w:val="nil"/>
              <w:left w:val="nil"/>
              <w:bottom w:val="nil"/>
              <w:right w:val="nil"/>
            </w:tcBorders>
            <w:shd w:val="clear" w:color="auto" w:fill="FFFFFF"/>
            <w:vAlign w:val="center"/>
          </w:tcPr>
          <w:p w14:paraId="420D65CA">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1,845,200</w:t>
            </w:r>
          </w:p>
        </w:tc>
        <w:tc>
          <w:tcPr>
            <w:tcW w:w="1030" w:type="pct"/>
            <w:tcBorders>
              <w:top w:val="nil"/>
              <w:left w:val="nil"/>
              <w:bottom w:val="nil"/>
              <w:right w:val="nil"/>
            </w:tcBorders>
            <w:shd w:val="clear" w:color="auto" w:fill="FFFFFF"/>
            <w:vAlign w:val="center"/>
          </w:tcPr>
          <w:p w14:paraId="69B33E3D">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100.00%</w:t>
            </w:r>
          </w:p>
        </w:tc>
        <w:tc>
          <w:tcPr>
            <w:tcW w:w="1688" w:type="pct"/>
            <w:tcBorders>
              <w:top w:val="nil"/>
              <w:left w:val="nil"/>
              <w:bottom w:val="nil"/>
              <w:right w:val="nil"/>
            </w:tcBorders>
            <w:shd w:val="clear" w:color="auto" w:fill="FFFFFF"/>
            <w:vAlign w:val="center"/>
          </w:tcPr>
          <w:p w14:paraId="4CFBDE3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First-stage estimation sample</w:t>
            </w:r>
          </w:p>
        </w:tc>
      </w:tr>
      <w:tr w14:paraId="5D61C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25" w:type="pct"/>
            <w:tcBorders>
              <w:top w:val="nil"/>
              <w:left w:val="nil"/>
              <w:bottom w:val="single" w:color="000000" w:sz="12" w:space="0"/>
              <w:right w:val="single" w:color="000000" w:sz="12" w:space="0"/>
            </w:tcBorders>
            <w:shd w:val="clear" w:color="auto" w:fill="FFFFFF"/>
            <w:vAlign w:val="center"/>
          </w:tcPr>
          <w:p w14:paraId="213FC6F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Harmonised study areas</w:t>
            </w:r>
          </w:p>
        </w:tc>
        <w:tc>
          <w:tcPr>
            <w:tcW w:w="655" w:type="pct"/>
            <w:tcBorders>
              <w:top w:val="nil"/>
              <w:left w:val="nil"/>
              <w:bottom w:val="single" w:color="000000" w:sz="12" w:space="0"/>
              <w:right w:val="nil"/>
            </w:tcBorders>
            <w:shd w:val="clear" w:color="auto" w:fill="FFFFFF"/>
            <w:vAlign w:val="center"/>
          </w:tcPr>
          <w:p w14:paraId="01A2C62E">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175</w:t>
            </w:r>
          </w:p>
        </w:tc>
        <w:tc>
          <w:tcPr>
            <w:tcW w:w="1030" w:type="pct"/>
            <w:tcBorders>
              <w:top w:val="nil"/>
              <w:left w:val="nil"/>
              <w:bottom w:val="single" w:color="000000" w:sz="12" w:space="0"/>
              <w:right w:val="nil"/>
            </w:tcBorders>
            <w:shd w:val="clear" w:color="auto" w:fill="FFFFFF"/>
            <w:vAlign w:val="center"/>
          </w:tcPr>
          <w:p w14:paraId="143B974B">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Study geography</w:t>
            </w:r>
          </w:p>
        </w:tc>
        <w:tc>
          <w:tcPr>
            <w:tcW w:w="1688" w:type="pct"/>
            <w:tcBorders>
              <w:top w:val="nil"/>
              <w:left w:val="nil"/>
              <w:bottom w:val="single" w:color="000000" w:sz="12" w:space="0"/>
              <w:right w:val="nil"/>
            </w:tcBorders>
            <w:shd w:val="clear" w:color="auto" w:fill="FFFFFF"/>
            <w:vAlign w:val="center"/>
          </w:tcPr>
          <w:p w14:paraId="1CF47C2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Area fixed-effect units</w:t>
            </w:r>
          </w:p>
        </w:tc>
      </w:tr>
    </w:tbl>
    <w:p w14:paraId="17077696">
      <w:pPr>
        <w:pageBreakBefore w:val="0"/>
        <w:widowControl/>
        <w:kinsoku/>
        <w:wordWrap/>
        <w:overflowPunct/>
        <w:topLinePunct w:val="0"/>
        <w:autoSpaceDE/>
        <w:autoSpaceDN/>
        <w:bidi w:val="0"/>
        <w:adjustRightInd/>
        <w:snapToGrid/>
        <w:spacing w:before="0" w:after="160" w:line="240" w:lineRule="auto"/>
        <w:ind w:firstLine="0"/>
        <w:jc w:val="left"/>
        <w:textAlignment w:val="auto"/>
        <w:rPr>
          <w:rFonts w:hint="default" w:ascii="Times New Roman" w:hAnsi="Times New Roman" w:cs="Times New Roman"/>
          <w:i/>
          <w:iCs w:val="0"/>
          <w:sz w:val="24"/>
          <w:szCs w:val="24"/>
        </w:rPr>
      </w:pPr>
      <w:r>
        <w:rPr>
          <w:rFonts w:hint="default" w:ascii="Times New Roman" w:hAnsi="Times New Roman" w:eastAsia="Times New Roman" w:cs="Times New Roman"/>
          <w:i/>
          <w:iCs w:val="0"/>
          <w:sz w:val="24"/>
          <w:szCs w:val="24"/>
        </w:rPr>
        <w:t>Note. Counts are pooled person-wave analysis records, not unique people. No unverified intermediate attrition counts are reconstructed; the harmonised study-area crosswalk is retained in governed analysis materials.</w:t>
      </w:r>
    </w:p>
    <w:p w14:paraId="32D8BE35">
      <w:pPr>
        <w:keepNext/>
        <w:pageBreakBefore w:val="0"/>
        <w:widowControl/>
        <w:kinsoku/>
        <w:wordWrap/>
        <w:overflowPunct/>
        <w:topLinePunct w:val="0"/>
        <w:autoSpaceDE/>
        <w:autoSpaceDN/>
        <w:bidi w:val="0"/>
        <w:adjustRightInd/>
        <w:snapToGrid/>
        <w:spacing w:before="0" w:after="160" w:line="240" w:lineRule="auto"/>
        <w:ind w:firstLine="0"/>
        <w:jc w:val="center"/>
        <w:textAlignment w:val="auto"/>
        <w:rPr>
          <w:rFonts w:hint="default" w:ascii="Times New Roman" w:hAnsi="Times New Roman" w:eastAsia="Times New Roman" w:cs="Times New Roman"/>
          <w:b/>
          <w:sz w:val="24"/>
          <w:szCs w:val="24"/>
        </w:rPr>
      </w:pPr>
    </w:p>
    <w:p w14:paraId="25E538BE">
      <w:pPr>
        <w:keepNext/>
        <w:pageBreakBefore w:val="0"/>
        <w:widowControl/>
        <w:kinsoku/>
        <w:wordWrap/>
        <w:overflowPunct/>
        <w:topLinePunct w:val="0"/>
        <w:autoSpaceDE/>
        <w:autoSpaceDN/>
        <w:bidi w:val="0"/>
        <w:adjustRightInd/>
        <w:snapToGrid/>
        <w:spacing w:before="0" w:after="160" w:line="240" w:lineRule="auto"/>
        <w:ind w:firstLine="0"/>
        <w:jc w:val="center"/>
        <w:textAlignment w:val="auto"/>
        <w:rPr>
          <w:rFonts w:hint="default" w:ascii="Times New Roman" w:hAnsi="Times New Roman" w:cs="Times New Roman"/>
          <w:sz w:val="24"/>
          <w:szCs w:val="24"/>
        </w:rPr>
      </w:pPr>
      <w:r>
        <w:rPr>
          <w:rFonts w:hint="default" w:ascii="Times New Roman" w:hAnsi="Times New Roman" w:eastAsia="Times New Roman" w:cs="Times New Roman"/>
          <w:b/>
          <w:sz w:val="24"/>
          <w:szCs w:val="24"/>
        </w:rPr>
        <w:t xml:space="preserve">Table A3. </w:t>
      </w:r>
      <w:r>
        <w:rPr>
          <w:rFonts w:hint="default" w:ascii="Times New Roman" w:hAnsi="Times New Roman" w:eastAsia="Times New Roman" w:cs="Times New Roman"/>
          <w:sz w:val="24"/>
          <w:szCs w:val="24"/>
        </w:rPr>
        <w:t>Local sample-size and precision diagnostics</w:t>
      </w:r>
    </w:p>
    <w:tbl>
      <w:tblPr>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4353"/>
        <w:gridCol w:w="876"/>
        <w:gridCol w:w="876"/>
        <w:gridCol w:w="1101"/>
        <w:gridCol w:w="1015"/>
        <w:gridCol w:w="1015"/>
      </w:tblGrid>
      <w:tr w14:paraId="7D675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blHeader/>
          <w:jc w:val="center"/>
        </w:trPr>
        <w:tc>
          <w:tcPr>
            <w:tcW w:w="2356" w:type="pct"/>
            <w:tcBorders>
              <w:top w:val="single" w:color="000000" w:sz="12" w:space="0"/>
              <w:left w:val="nil"/>
              <w:bottom w:val="single" w:color="000000" w:sz="8" w:space="0"/>
              <w:right w:val="single" w:color="000000" w:sz="12" w:space="0"/>
            </w:tcBorders>
            <w:shd w:val="clear" w:color="auto" w:fill="FFFFFF"/>
            <w:vAlign w:val="center"/>
          </w:tcPr>
          <w:p w14:paraId="02366E5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Diagnostic</w:t>
            </w:r>
          </w:p>
        </w:tc>
        <w:tc>
          <w:tcPr>
            <w:tcW w:w="474" w:type="pct"/>
            <w:tcBorders>
              <w:top w:val="single" w:color="000000" w:sz="12" w:space="0"/>
              <w:left w:val="nil"/>
              <w:bottom w:val="single" w:color="000000" w:sz="8" w:space="0"/>
              <w:right w:val="nil"/>
            </w:tcBorders>
            <w:shd w:val="clear" w:color="auto" w:fill="FFFFFF"/>
            <w:vAlign w:val="center"/>
          </w:tcPr>
          <w:p w14:paraId="03D9335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Min.</w:t>
            </w:r>
          </w:p>
        </w:tc>
        <w:tc>
          <w:tcPr>
            <w:tcW w:w="474" w:type="pct"/>
            <w:tcBorders>
              <w:top w:val="single" w:color="000000" w:sz="12" w:space="0"/>
              <w:left w:val="nil"/>
              <w:bottom w:val="single" w:color="000000" w:sz="8" w:space="0"/>
              <w:right w:val="nil"/>
            </w:tcBorders>
            <w:shd w:val="clear" w:color="auto" w:fill="FFFFFF"/>
            <w:vAlign w:val="center"/>
          </w:tcPr>
          <w:p w14:paraId="451859B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P10</w:t>
            </w:r>
          </w:p>
        </w:tc>
        <w:tc>
          <w:tcPr>
            <w:tcW w:w="596" w:type="pct"/>
            <w:tcBorders>
              <w:top w:val="single" w:color="000000" w:sz="12" w:space="0"/>
              <w:left w:val="nil"/>
              <w:bottom w:val="single" w:color="000000" w:sz="8" w:space="0"/>
              <w:right w:val="nil"/>
            </w:tcBorders>
            <w:shd w:val="clear" w:color="auto" w:fill="FFFFFF"/>
            <w:vAlign w:val="center"/>
          </w:tcPr>
          <w:p w14:paraId="2ADBA5F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Median</w:t>
            </w:r>
          </w:p>
        </w:tc>
        <w:tc>
          <w:tcPr>
            <w:tcW w:w="549" w:type="pct"/>
            <w:tcBorders>
              <w:top w:val="single" w:color="000000" w:sz="12" w:space="0"/>
              <w:left w:val="nil"/>
              <w:bottom w:val="single" w:color="000000" w:sz="8" w:space="0"/>
              <w:right w:val="nil"/>
            </w:tcBorders>
            <w:shd w:val="clear" w:color="auto" w:fill="FFFFFF"/>
            <w:vAlign w:val="center"/>
          </w:tcPr>
          <w:p w14:paraId="515D43E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P90</w:t>
            </w:r>
          </w:p>
        </w:tc>
        <w:tc>
          <w:tcPr>
            <w:tcW w:w="549" w:type="pct"/>
            <w:tcBorders>
              <w:top w:val="single" w:color="000000" w:sz="12" w:space="0"/>
              <w:left w:val="nil"/>
              <w:bottom w:val="single" w:color="000000" w:sz="8" w:space="0"/>
              <w:right w:val="nil"/>
            </w:tcBorders>
            <w:shd w:val="clear" w:color="auto" w:fill="FFFFFF"/>
            <w:vAlign w:val="center"/>
          </w:tcPr>
          <w:p w14:paraId="4AB3C8B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Max.</w:t>
            </w:r>
          </w:p>
        </w:tc>
      </w:tr>
      <w:tr w14:paraId="0225A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2356" w:type="pct"/>
            <w:tcBorders>
              <w:top w:val="nil"/>
              <w:left w:val="nil"/>
              <w:bottom w:val="nil"/>
              <w:right w:val="single" w:color="000000" w:sz="12" w:space="0"/>
            </w:tcBorders>
            <w:shd w:val="clear" w:color="auto" w:fill="FFFFFF"/>
            <w:vAlign w:val="center"/>
          </w:tcPr>
          <w:p w14:paraId="33AB20F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Disabled workers per study area</w:t>
            </w:r>
          </w:p>
        </w:tc>
        <w:tc>
          <w:tcPr>
            <w:tcW w:w="474" w:type="pct"/>
            <w:tcBorders>
              <w:top w:val="nil"/>
              <w:left w:val="nil"/>
              <w:bottom w:val="nil"/>
              <w:right w:val="nil"/>
            </w:tcBorders>
            <w:shd w:val="clear" w:color="auto" w:fill="FFFFFF"/>
            <w:vAlign w:val="center"/>
          </w:tcPr>
          <w:p w14:paraId="7BF14093">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95</w:t>
            </w:r>
          </w:p>
        </w:tc>
        <w:tc>
          <w:tcPr>
            <w:tcW w:w="474" w:type="pct"/>
            <w:tcBorders>
              <w:top w:val="nil"/>
              <w:left w:val="nil"/>
              <w:bottom w:val="nil"/>
              <w:right w:val="nil"/>
            </w:tcBorders>
            <w:shd w:val="clear" w:color="auto" w:fill="FFFFFF"/>
            <w:vAlign w:val="center"/>
          </w:tcPr>
          <w:p w14:paraId="6CCBCEEF">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215</w:t>
            </w:r>
          </w:p>
        </w:tc>
        <w:tc>
          <w:tcPr>
            <w:tcW w:w="596" w:type="pct"/>
            <w:tcBorders>
              <w:top w:val="nil"/>
              <w:left w:val="nil"/>
              <w:bottom w:val="nil"/>
              <w:right w:val="nil"/>
            </w:tcBorders>
            <w:shd w:val="clear" w:color="auto" w:fill="FFFFFF"/>
            <w:vAlign w:val="center"/>
          </w:tcPr>
          <w:p w14:paraId="787CAB98">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1,240</w:t>
            </w:r>
          </w:p>
        </w:tc>
        <w:tc>
          <w:tcPr>
            <w:tcW w:w="549" w:type="pct"/>
            <w:tcBorders>
              <w:top w:val="nil"/>
              <w:left w:val="nil"/>
              <w:bottom w:val="nil"/>
              <w:right w:val="nil"/>
            </w:tcBorders>
            <w:shd w:val="clear" w:color="auto" w:fill="FFFFFF"/>
            <w:vAlign w:val="center"/>
          </w:tcPr>
          <w:p w14:paraId="6D5DC47F">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2,850</w:t>
            </w:r>
          </w:p>
        </w:tc>
        <w:tc>
          <w:tcPr>
            <w:tcW w:w="549" w:type="pct"/>
            <w:tcBorders>
              <w:top w:val="nil"/>
              <w:left w:val="nil"/>
              <w:bottom w:val="nil"/>
              <w:right w:val="nil"/>
            </w:tcBorders>
            <w:shd w:val="clear" w:color="auto" w:fill="FFFFFF"/>
            <w:vAlign w:val="center"/>
          </w:tcPr>
          <w:p w14:paraId="313E13E3">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4,280</w:t>
            </w:r>
          </w:p>
        </w:tc>
      </w:tr>
      <w:tr w14:paraId="72590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2356" w:type="pct"/>
            <w:tcBorders>
              <w:top w:val="nil"/>
              <w:left w:val="nil"/>
              <w:bottom w:val="nil"/>
              <w:right w:val="single" w:color="000000" w:sz="12" w:space="0"/>
            </w:tcBorders>
            <w:shd w:val="clear" w:color="auto" w:fill="FFFFFF"/>
            <w:vAlign w:val="center"/>
          </w:tcPr>
          <w:p w14:paraId="58F10C1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Non-disabled workers per study area</w:t>
            </w:r>
          </w:p>
        </w:tc>
        <w:tc>
          <w:tcPr>
            <w:tcW w:w="474" w:type="pct"/>
            <w:tcBorders>
              <w:top w:val="nil"/>
              <w:left w:val="nil"/>
              <w:bottom w:val="nil"/>
              <w:right w:val="nil"/>
            </w:tcBorders>
            <w:shd w:val="clear" w:color="auto" w:fill="FFFFFF"/>
            <w:vAlign w:val="center"/>
          </w:tcPr>
          <w:p w14:paraId="3600F411">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1,850</w:t>
            </w:r>
          </w:p>
        </w:tc>
        <w:tc>
          <w:tcPr>
            <w:tcW w:w="474" w:type="pct"/>
            <w:tcBorders>
              <w:top w:val="nil"/>
              <w:left w:val="nil"/>
              <w:bottom w:val="nil"/>
              <w:right w:val="nil"/>
            </w:tcBorders>
            <w:shd w:val="clear" w:color="auto" w:fill="FFFFFF"/>
            <w:vAlign w:val="center"/>
          </w:tcPr>
          <w:p w14:paraId="4221FB50">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3,420</w:t>
            </w:r>
          </w:p>
        </w:tc>
        <w:tc>
          <w:tcPr>
            <w:tcW w:w="596" w:type="pct"/>
            <w:tcBorders>
              <w:top w:val="nil"/>
              <w:left w:val="nil"/>
              <w:bottom w:val="nil"/>
              <w:right w:val="nil"/>
            </w:tcBorders>
            <w:shd w:val="clear" w:color="auto" w:fill="FFFFFF"/>
            <w:vAlign w:val="center"/>
          </w:tcPr>
          <w:p w14:paraId="6E1392C1">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8,900</w:t>
            </w:r>
          </w:p>
        </w:tc>
        <w:tc>
          <w:tcPr>
            <w:tcW w:w="549" w:type="pct"/>
            <w:tcBorders>
              <w:top w:val="nil"/>
              <w:left w:val="nil"/>
              <w:bottom w:val="nil"/>
              <w:right w:val="nil"/>
            </w:tcBorders>
            <w:shd w:val="clear" w:color="auto" w:fill="FFFFFF"/>
            <w:vAlign w:val="center"/>
          </w:tcPr>
          <w:p w14:paraId="721278AE">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15,600</w:t>
            </w:r>
          </w:p>
        </w:tc>
        <w:tc>
          <w:tcPr>
            <w:tcW w:w="549" w:type="pct"/>
            <w:tcBorders>
              <w:top w:val="nil"/>
              <w:left w:val="nil"/>
              <w:bottom w:val="nil"/>
              <w:right w:val="nil"/>
            </w:tcBorders>
            <w:shd w:val="clear" w:color="auto" w:fill="FFFFFF"/>
            <w:vAlign w:val="center"/>
          </w:tcPr>
          <w:p w14:paraId="5778C172">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28,400</w:t>
            </w:r>
          </w:p>
        </w:tc>
      </w:tr>
      <w:tr w14:paraId="32370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2356" w:type="pct"/>
            <w:tcBorders>
              <w:top w:val="nil"/>
              <w:left w:val="nil"/>
              <w:bottom w:val="nil"/>
              <w:right w:val="single" w:color="000000" w:sz="12" w:space="0"/>
            </w:tcBorders>
            <w:shd w:val="clear" w:color="auto" w:fill="FFFFFF"/>
            <w:vAlign w:val="center"/>
          </w:tcPr>
          <w:p w14:paraId="029AC13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SE of local disabled rate</w:t>
            </w:r>
          </w:p>
        </w:tc>
        <w:tc>
          <w:tcPr>
            <w:tcW w:w="474" w:type="pct"/>
            <w:tcBorders>
              <w:top w:val="nil"/>
              <w:left w:val="nil"/>
              <w:bottom w:val="nil"/>
              <w:right w:val="nil"/>
            </w:tcBorders>
            <w:shd w:val="clear" w:color="auto" w:fill="FFFFFF"/>
            <w:vAlign w:val="center"/>
          </w:tcPr>
          <w:p w14:paraId="32D3A571">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0.012</w:t>
            </w:r>
          </w:p>
        </w:tc>
        <w:tc>
          <w:tcPr>
            <w:tcW w:w="474" w:type="pct"/>
            <w:tcBorders>
              <w:top w:val="nil"/>
              <w:left w:val="nil"/>
              <w:bottom w:val="nil"/>
              <w:right w:val="nil"/>
            </w:tcBorders>
            <w:shd w:val="clear" w:color="auto" w:fill="FFFFFF"/>
            <w:vAlign w:val="center"/>
          </w:tcPr>
          <w:p w14:paraId="46A4FC90">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0.018</w:t>
            </w:r>
          </w:p>
        </w:tc>
        <w:tc>
          <w:tcPr>
            <w:tcW w:w="596" w:type="pct"/>
            <w:tcBorders>
              <w:top w:val="nil"/>
              <w:left w:val="nil"/>
              <w:bottom w:val="nil"/>
              <w:right w:val="nil"/>
            </w:tcBorders>
            <w:shd w:val="clear" w:color="auto" w:fill="FFFFFF"/>
            <w:vAlign w:val="center"/>
          </w:tcPr>
          <w:p w14:paraId="7D55C569">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0.031</w:t>
            </w:r>
          </w:p>
        </w:tc>
        <w:tc>
          <w:tcPr>
            <w:tcW w:w="549" w:type="pct"/>
            <w:tcBorders>
              <w:top w:val="nil"/>
              <w:left w:val="nil"/>
              <w:bottom w:val="nil"/>
              <w:right w:val="nil"/>
            </w:tcBorders>
            <w:shd w:val="clear" w:color="auto" w:fill="FFFFFF"/>
            <w:vAlign w:val="center"/>
          </w:tcPr>
          <w:p w14:paraId="66D5C6C9">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0.052</w:t>
            </w:r>
          </w:p>
        </w:tc>
        <w:tc>
          <w:tcPr>
            <w:tcW w:w="549" w:type="pct"/>
            <w:tcBorders>
              <w:top w:val="nil"/>
              <w:left w:val="nil"/>
              <w:bottom w:val="nil"/>
              <w:right w:val="nil"/>
            </w:tcBorders>
            <w:shd w:val="clear" w:color="auto" w:fill="FFFFFF"/>
            <w:vAlign w:val="center"/>
          </w:tcPr>
          <w:p w14:paraId="5E623558">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0.078</w:t>
            </w:r>
          </w:p>
        </w:tc>
      </w:tr>
      <w:tr w14:paraId="5BE5F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2356" w:type="pct"/>
            <w:tcBorders>
              <w:top w:val="nil"/>
              <w:left w:val="nil"/>
              <w:bottom w:val="single" w:color="000000" w:sz="12" w:space="0"/>
              <w:right w:val="single" w:color="000000" w:sz="12" w:space="0"/>
            </w:tcBorders>
            <w:shd w:val="clear" w:color="auto" w:fill="FFFFFF"/>
            <w:vAlign w:val="center"/>
          </w:tcPr>
          <w:p w14:paraId="1202AE0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SE of local non-disabled rate</w:t>
            </w:r>
          </w:p>
        </w:tc>
        <w:tc>
          <w:tcPr>
            <w:tcW w:w="474" w:type="pct"/>
            <w:tcBorders>
              <w:top w:val="nil"/>
              <w:left w:val="nil"/>
              <w:bottom w:val="single" w:color="000000" w:sz="12" w:space="0"/>
              <w:right w:val="nil"/>
            </w:tcBorders>
            <w:shd w:val="clear" w:color="auto" w:fill="FFFFFF"/>
            <w:vAlign w:val="center"/>
          </w:tcPr>
          <w:p w14:paraId="2373621C">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0.004</w:t>
            </w:r>
          </w:p>
        </w:tc>
        <w:tc>
          <w:tcPr>
            <w:tcW w:w="474" w:type="pct"/>
            <w:tcBorders>
              <w:top w:val="nil"/>
              <w:left w:val="nil"/>
              <w:bottom w:val="single" w:color="000000" w:sz="12" w:space="0"/>
              <w:right w:val="nil"/>
            </w:tcBorders>
            <w:shd w:val="clear" w:color="auto" w:fill="FFFFFF"/>
            <w:vAlign w:val="center"/>
          </w:tcPr>
          <w:p w14:paraId="6F0D7C90">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0.006</w:t>
            </w:r>
          </w:p>
        </w:tc>
        <w:tc>
          <w:tcPr>
            <w:tcW w:w="596" w:type="pct"/>
            <w:tcBorders>
              <w:top w:val="nil"/>
              <w:left w:val="nil"/>
              <w:bottom w:val="single" w:color="000000" w:sz="12" w:space="0"/>
              <w:right w:val="nil"/>
            </w:tcBorders>
            <w:shd w:val="clear" w:color="auto" w:fill="FFFFFF"/>
            <w:vAlign w:val="center"/>
          </w:tcPr>
          <w:p w14:paraId="7A5D28FA">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0.011</w:t>
            </w:r>
          </w:p>
        </w:tc>
        <w:tc>
          <w:tcPr>
            <w:tcW w:w="549" w:type="pct"/>
            <w:tcBorders>
              <w:top w:val="nil"/>
              <w:left w:val="nil"/>
              <w:bottom w:val="single" w:color="000000" w:sz="12" w:space="0"/>
              <w:right w:val="nil"/>
            </w:tcBorders>
            <w:shd w:val="clear" w:color="auto" w:fill="FFFFFF"/>
            <w:vAlign w:val="center"/>
          </w:tcPr>
          <w:p w14:paraId="19F34694">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0.019</w:t>
            </w:r>
          </w:p>
        </w:tc>
        <w:tc>
          <w:tcPr>
            <w:tcW w:w="549" w:type="pct"/>
            <w:tcBorders>
              <w:top w:val="nil"/>
              <w:left w:val="nil"/>
              <w:bottom w:val="single" w:color="000000" w:sz="12" w:space="0"/>
              <w:right w:val="nil"/>
            </w:tcBorders>
            <w:shd w:val="clear" w:color="auto" w:fill="FFFFFF"/>
            <w:vAlign w:val="center"/>
          </w:tcPr>
          <w:p w14:paraId="6E9D7F85">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0.028</w:t>
            </w:r>
          </w:p>
        </w:tc>
      </w:tr>
    </w:tbl>
    <w:p w14:paraId="5199D7A8">
      <w:pPr>
        <w:pageBreakBefore w:val="0"/>
        <w:widowControl/>
        <w:kinsoku/>
        <w:wordWrap/>
        <w:overflowPunct/>
        <w:topLinePunct w:val="0"/>
        <w:autoSpaceDE/>
        <w:autoSpaceDN/>
        <w:bidi w:val="0"/>
        <w:adjustRightInd/>
        <w:snapToGrid/>
        <w:spacing w:before="0" w:after="160" w:line="240" w:lineRule="auto"/>
        <w:ind w:firstLine="0"/>
        <w:jc w:val="left"/>
        <w:textAlignment w:val="auto"/>
        <w:rPr>
          <w:rFonts w:hint="default" w:ascii="Times New Roman" w:hAnsi="Times New Roman" w:cs="Times New Roman"/>
          <w:i/>
          <w:iCs w:val="0"/>
          <w:sz w:val="24"/>
          <w:szCs w:val="24"/>
        </w:rPr>
      </w:pPr>
      <w:r>
        <w:rPr>
          <w:rFonts w:hint="default" w:ascii="Times New Roman" w:hAnsi="Times New Roman" w:eastAsia="Times New Roman" w:cs="Times New Roman"/>
          <w:i/>
          <w:iCs w:val="0"/>
          <w:sz w:val="24"/>
          <w:szCs w:val="24"/>
        </w:rPr>
        <w:t>Note. Precision varies materially by group and area. The median SE of the local disabled-worker underemployment rate is 0.031 (3.1 pp), compared with 0.011 (1.1 pp) for the non-disabled rate. Public outputs do not contain the full area-level covariance or replicate information required to subtract sampling variance from cross-area DUG dispersion. The manuscript therefore reports dispersion in estimated local gaps, treats endpoint examples as illustrative, and does not rank areas by statistical significance.</w:t>
      </w:r>
    </w:p>
    <w:p w14:paraId="3CC17C06">
      <w:pPr>
        <w:pStyle w:val="4"/>
        <w:keepNext/>
        <w:pageBreakBefore w:val="0"/>
        <w:widowControl/>
        <w:kinsoku/>
        <w:wordWrap/>
        <w:overflowPunct/>
        <w:topLinePunct w:val="0"/>
        <w:autoSpaceDE/>
        <w:autoSpaceDN/>
        <w:bidi w:val="0"/>
        <w:adjustRightInd/>
        <w:snapToGrid/>
        <w:spacing w:before="0" w:after="160" w:line="240" w:lineRule="auto"/>
        <w:ind w:firstLine="0"/>
        <w:jc w:val="both"/>
        <w:textAlignment w:val="auto"/>
        <w:rPr>
          <w:rFonts w:hint="default" w:ascii="Times New Roman" w:hAnsi="Times New Roman" w:cs="Times New Roman"/>
          <w:sz w:val="24"/>
          <w:szCs w:val="24"/>
        </w:rPr>
      </w:pPr>
      <w:r>
        <w:rPr>
          <w:rFonts w:hint="default" w:ascii="Times New Roman" w:hAnsi="Times New Roman" w:eastAsia="Times New Roman" w:cs="Times New Roman"/>
          <w:b/>
          <w:i w:val="0"/>
          <w:sz w:val="24"/>
          <w:szCs w:val="24"/>
        </w:rPr>
        <w:t>A3. Outcome coding and validation</w:t>
      </w:r>
    </w:p>
    <w:p w14:paraId="15DD0FF0">
      <w:pPr>
        <w:keepNext w:val="0"/>
        <w:keepLines w:val="0"/>
        <w:pageBreakBefore w:val="0"/>
        <w:widowControl/>
        <w:kinsoku/>
        <w:wordWrap/>
        <w:overflowPunct/>
        <w:topLinePunct w:val="0"/>
        <w:autoSpaceDE/>
        <w:autoSpaceDN/>
        <w:bidi w:val="0"/>
        <w:adjustRightInd/>
        <w:snapToGrid/>
        <w:spacing w:before="0" w:after="160" w:line="240" w:lineRule="auto"/>
        <w:ind w:firstLine="0"/>
        <w:jc w:val="both"/>
        <w:textAlignment w:val="auto"/>
        <w:rPr>
          <w:rFonts w:hint="default" w:ascii="Times New Roman" w:hAnsi="Times New Roman" w:eastAsia="Times New Roman" w:cs="Times New Roman"/>
          <w:b w:val="0"/>
          <w:i w:val="0"/>
          <w:sz w:val="24"/>
          <w:szCs w:val="24"/>
        </w:rPr>
      </w:pPr>
      <w:r>
        <w:rPr>
          <w:rFonts w:hint="default" w:ascii="Times New Roman" w:hAnsi="Times New Roman" w:eastAsia="Times New Roman" w:cs="Times New Roman"/>
          <w:b w:val="0"/>
          <w:i w:val="0"/>
          <w:sz w:val="24"/>
          <w:szCs w:val="24"/>
        </w:rPr>
        <w:t>The harmonised underemployment derivation follows the current ONS/DWP rule: wanting longer hours or seeking an additional/replacement job, availability within two weeks and the age-specific weekly-hours ceiling. In the analysis file, UNDEREMP equals one when the harmonised desire/search condition, availability condition and hours ceiling are jointly satisfied. Table A4 compares the resulting national estimates with published benchmarks. This specification is sufficient to identify the analytical outcome without reproducing protected or version-specific raw item names in the public appendix.</w:t>
      </w:r>
    </w:p>
    <w:p w14:paraId="5F080E35">
      <w:pPr>
        <w:keepNext w:val="0"/>
        <w:keepLines w:val="0"/>
        <w:pageBreakBefore w:val="0"/>
        <w:widowControl/>
        <w:kinsoku/>
        <w:wordWrap/>
        <w:overflowPunct/>
        <w:topLinePunct w:val="0"/>
        <w:autoSpaceDE/>
        <w:autoSpaceDN/>
        <w:bidi w:val="0"/>
        <w:adjustRightInd/>
        <w:snapToGrid/>
        <w:spacing w:before="0" w:after="160" w:line="240" w:lineRule="auto"/>
        <w:ind w:firstLine="0"/>
        <w:jc w:val="both"/>
        <w:textAlignment w:val="auto"/>
        <w:rPr>
          <w:rFonts w:hint="default" w:ascii="Times New Roman" w:hAnsi="Times New Roman" w:eastAsia="Times New Roman" w:cs="Times New Roman"/>
          <w:b w:val="0"/>
          <w:i w:val="0"/>
          <w:sz w:val="24"/>
          <w:szCs w:val="24"/>
        </w:rPr>
      </w:pPr>
    </w:p>
    <w:p w14:paraId="0F7D4797">
      <w:pPr>
        <w:keepNext/>
        <w:pageBreakBefore w:val="0"/>
        <w:widowControl/>
        <w:kinsoku/>
        <w:wordWrap/>
        <w:overflowPunct/>
        <w:topLinePunct w:val="0"/>
        <w:autoSpaceDE/>
        <w:autoSpaceDN/>
        <w:bidi w:val="0"/>
        <w:adjustRightInd/>
        <w:snapToGrid/>
        <w:spacing w:before="0" w:after="160" w:line="240" w:lineRule="auto"/>
        <w:ind w:firstLine="0"/>
        <w:jc w:val="center"/>
        <w:textAlignment w:val="auto"/>
        <w:rPr>
          <w:rFonts w:hint="default" w:ascii="Times New Roman" w:hAnsi="Times New Roman" w:cs="Times New Roman"/>
          <w:sz w:val="24"/>
          <w:szCs w:val="24"/>
        </w:rPr>
      </w:pPr>
      <w:r>
        <w:rPr>
          <w:rFonts w:hint="default" w:ascii="Times New Roman" w:hAnsi="Times New Roman" w:eastAsia="Times New Roman" w:cs="Times New Roman"/>
          <w:b/>
          <w:sz w:val="24"/>
          <w:szCs w:val="24"/>
        </w:rPr>
        <w:t xml:space="preserve">Table A4. </w:t>
      </w:r>
      <w:r>
        <w:rPr>
          <w:rFonts w:hint="default" w:ascii="Times New Roman" w:hAnsi="Times New Roman" w:eastAsia="Times New Roman" w:cs="Times New Roman"/>
          <w:sz w:val="24"/>
          <w:szCs w:val="24"/>
        </w:rPr>
        <w:t>Outcome validation against official benchmarks</w:t>
      </w:r>
    </w:p>
    <w:tbl>
      <w:tblPr>
        <w:tblW w:w="499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698"/>
        <w:gridCol w:w="1661"/>
        <w:gridCol w:w="1565"/>
        <w:gridCol w:w="2439"/>
        <w:gridCol w:w="1872"/>
      </w:tblGrid>
      <w:tr w14:paraId="4DA36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blHeader/>
          <w:jc w:val="center"/>
        </w:trPr>
        <w:tc>
          <w:tcPr>
            <w:tcW w:w="919" w:type="pct"/>
            <w:tcBorders>
              <w:top w:val="single" w:color="000000" w:sz="12" w:space="0"/>
              <w:left w:val="nil"/>
              <w:bottom w:val="single" w:color="000000" w:sz="8" w:space="0"/>
              <w:right w:val="single" w:color="000000" w:sz="12" w:space="0"/>
            </w:tcBorders>
            <w:shd w:val="clear" w:color="auto" w:fill="FFFFFF"/>
            <w:vAlign w:val="center"/>
          </w:tcPr>
          <w:p w14:paraId="68F3190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Period</w:t>
            </w:r>
          </w:p>
        </w:tc>
        <w:tc>
          <w:tcPr>
            <w:tcW w:w="899" w:type="pct"/>
            <w:tcBorders>
              <w:top w:val="single" w:color="000000" w:sz="12" w:space="0"/>
              <w:left w:val="nil"/>
              <w:bottom w:val="single" w:color="000000" w:sz="8" w:space="0"/>
              <w:right w:val="nil"/>
            </w:tcBorders>
            <w:shd w:val="clear" w:color="auto" w:fill="FFFFFF"/>
            <w:vAlign w:val="center"/>
          </w:tcPr>
          <w:p w14:paraId="6E1F0E1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Group</w:t>
            </w:r>
          </w:p>
        </w:tc>
        <w:tc>
          <w:tcPr>
            <w:tcW w:w="847" w:type="pct"/>
            <w:tcBorders>
              <w:top w:val="single" w:color="000000" w:sz="12" w:space="0"/>
              <w:left w:val="nil"/>
              <w:bottom w:val="single" w:color="000000" w:sz="8" w:space="0"/>
              <w:right w:val="nil"/>
            </w:tcBorders>
            <w:shd w:val="clear" w:color="auto" w:fill="FFFFFF"/>
            <w:vAlign w:val="center"/>
          </w:tcPr>
          <w:p w14:paraId="042B73B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Published %</w:t>
            </w:r>
          </w:p>
        </w:tc>
        <w:tc>
          <w:tcPr>
            <w:tcW w:w="1320" w:type="pct"/>
            <w:tcBorders>
              <w:top w:val="single" w:color="000000" w:sz="12" w:space="0"/>
              <w:left w:val="nil"/>
              <w:bottom w:val="single" w:color="000000" w:sz="8" w:space="0"/>
              <w:right w:val="nil"/>
            </w:tcBorders>
            <w:shd w:val="clear" w:color="auto" w:fill="FFFFFF"/>
            <w:vAlign w:val="center"/>
          </w:tcPr>
          <w:p w14:paraId="14B9451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Secure replication %</w:t>
            </w:r>
          </w:p>
        </w:tc>
        <w:tc>
          <w:tcPr>
            <w:tcW w:w="1013" w:type="pct"/>
            <w:tcBorders>
              <w:top w:val="single" w:color="000000" w:sz="12" w:space="0"/>
              <w:left w:val="nil"/>
              <w:bottom w:val="single" w:color="000000" w:sz="8" w:space="0"/>
              <w:right w:val="nil"/>
            </w:tcBorders>
            <w:shd w:val="clear" w:color="auto" w:fill="FFFFFF"/>
            <w:vAlign w:val="center"/>
          </w:tcPr>
          <w:p w14:paraId="2EB9A02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Difference (pp)</w:t>
            </w:r>
          </w:p>
        </w:tc>
      </w:tr>
      <w:tr w14:paraId="32665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blHeader/>
          <w:jc w:val="center"/>
        </w:trPr>
        <w:tc>
          <w:tcPr>
            <w:tcW w:w="919" w:type="pct"/>
            <w:tcBorders>
              <w:top w:val="nil"/>
              <w:left w:val="nil"/>
              <w:bottom w:val="nil"/>
              <w:right w:val="single" w:color="000000" w:sz="12" w:space="0"/>
            </w:tcBorders>
            <w:shd w:val="clear" w:color="auto" w:fill="FFFFFF"/>
            <w:vAlign w:val="center"/>
          </w:tcPr>
          <w:p w14:paraId="0068F03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Apr-Jun 2024</w:t>
            </w:r>
          </w:p>
        </w:tc>
        <w:tc>
          <w:tcPr>
            <w:tcW w:w="899" w:type="pct"/>
            <w:tcBorders>
              <w:top w:val="nil"/>
              <w:left w:val="nil"/>
              <w:bottom w:val="nil"/>
              <w:right w:val="nil"/>
            </w:tcBorders>
            <w:shd w:val="clear" w:color="auto" w:fill="FFFFFF"/>
            <w:vAlign w:val="center"/>
          </w:tcPr>
          <w:p w14:paraId="07B43A3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Disabled</w:t>
            </w:r>
          </w:p>
        </w:tc>
        <w:tc>
          <w:tcPr>
            <w:tcW w:w="847" w:type="pct"/>
            <w:tcBorders>
              <w:top w:val="nil"/>
              <w:left w:val="nil"/>
              <w:bottom w:val="nil"/>
              <w:right w:val="nil"/>
            </w:tcBorders>
            <w:shd w:val="clear" w:color="auto" w:fill="FFFFFF"/>
            <w:vAlign w:val="center"/>
          </w:tcPr>
          <w:p w14:paraId="1248411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9.1</w:t>
            </w:r>
          </w:p>
        </w:tc>
        <w:tc>
          <w:tcPr>
            <w:tcW w:w="1320" w:type="pct"/>
            <w:tcBorders>
              <w:top w:val="nil"/>
              <w:left w:val="nil"/>
              <w:bottom w:val="nil"/>
              <w:right w:val="nil"/>
            </w:tcBorders>
            <w:shd w:val="clear" w:color="auto" w:fill="FFFFFF"/>
            <w:vAlign w:val="center"/>
          </w:tcPr>
          <w:p w14:paraId="4E4B1DF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9.3</w:t>
            </w:r>
          </w:p>
        </w:tc>
        <w:tc>
          <w:tcPr>
            <w:tcW w:w="1013" w:type="pct"/>
            <w:tcBorders>
              <w:top w:val="nil"/>
              <w:left w:val="nil"/>
              <w:bottom w:val="nil"/>
              <w:right w:val="nil"/>
            </w:tcBorders>
            <w:shd w:val="clear" w:color="auto" w:fill="FFFFFF"/>
            <w:vAlign w:val="center"/>
          </w:tcPr>
          <w:p w14:paraId="601D823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0.2</w:t>
            </w:r>
          </w:p>
        </w:tc>
      </w:tr>
      <w:tr w14:paraId="68A3B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blHeader/>
          <w:jc w:val="center"/>
        </w:trPr>
        <w:tc>
          <w:tcPr>
            <w:tcW w:w="919" w:type="pct"/>
            <w:tcBorders>
              <w:top w:val="nil"/>
              <w:left w:val="nil"/>
              <w:bottom w:val="nil"/>
              <w:right w:val="single" w:color="000000" w:sz="12" w:space="0"/>
            </w:tcBorders>
            <w:shd w:val="clear" w:color="auto" w:fill="FFFFFF"/>
            <w:vAlign w:val="center"/>
          </w:tcPr>
          <w:p w14:paraId="7A55D32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Apr-Jun 2024</w:t>
            </w:r>
          </w:p>
        </w:tc>
        <w:tc>
          <w:tcPr>
            <w:tcW w:w="899" w:type="pct"/>
            <w:tcBorders>
              <w:top w:val="nil"/>
              <w:left w:val="nil"/>
              <w:bottom w:val="nil"/>
              <w:right w:val="nil"/>
            </w:tcBorders>
            <w:shd w:val="clear" w:color="auto" w:fill="FFFFFF"/>
            <w:vAlign w:val="center"/>
          </w:tcPr>
          <w:p w14:paraId="7C28772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Non-disabled</w:t>
            </w:r>
          </w:p>
        </w:tc>
        <w:tc>
          <w:tcPr>
            <w:tcW w:w="847" w:type="pct"/>
            <w:tcBorders>
              <w:top w:val="nil"/>
              <w:left w:val="nil"/>
              <w:bottom w:val="nil"/>
              <w:right w:val="nil"/>
            </w:tcBorders>
            <w:shd w:val="clear" w:color="auto" w:fill="FFFFFF"/>
            <w:vAlign w:val="center"/>
          </w:tcPr>
          <w:p w14:paraId="71BFBD7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6.7</w:t>
            </w:r>
          </w:p>
        </w:tc>
        <w:tc>
          <w:tcPr>
            <w:tcW w:w="1320" w:type="pct"/>
            <w:tcBorders>
              <w:top w:val="nil"/>
              <w:left w:val="nil"/>
              <w:bottom w:val="nil"/>
              <w:right w:val="nil"/>
            </w:tcBorders>
            <w:shd w:val="clear" w:color="auto" w:fill="FFFFFF"/>
            <w:vAlign w:val="center"/>
          </w:tcPr>
          <w:p w14:paraId="2298AF3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6.9</w:t>
            </w:r>
          </w:p>
        </w:tc>
        <w:tc>
          <w:tcPr>
            <w:tcW w:w="1013" w:type="pct"/>
            <w:tcBorders>
              <w:top w:val="nil"/>
              <w:left w:val="nil"/>
              <w:bottom w:val="nil"/>
              <w:right w:val="nil"/>
            </w:tcBorders>
            <w:shd w:val="clear" w:color="auto" w:fill="FFFFFF"/>
            <w:vAlign w:val="center"/>
          </w:tcPr>
          <w:p w14:paraId="51E50EB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0.2</w:t>
            </w:r>
          </w:p>
        </w:tc>
      </w:tr>
      <w:tr w14:paraId="1F4E7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blHeader/>
          <w:jc w:val="center"/>
        </w:trPr>
        <w:tc>
          <w:tcPr>
            <w:tcW w:w="919" w:type="pct"/>
            <w:tcBorders>
              <w:top w:val="nil"/>
              <w:left w:val="nil"/>
              <w:bottom w:val="nil"/>
              <w:right w:val="single" w:color="000000" w:sz="12" w:space="0"/>
            </w:tcBorders>
            <w:shd w:val="clear" w:color="auto" w:fill="FFFFFF"/>
            <w:vAlign w:val="center"/>
          </w:tcPr>
          <w:p w14:paraId="4A42E60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Apr-Jun 2025</w:t>
            </w:r>
          </w:p>
        </w:tc>
        <w:tc>
          <w:tcPr>
            <w:tcW w:w="899" w:type="pct"/>
            <w:tcBorders>
              <w:top w:val="nil"/>
              <w:left w:val="nil"/>
              <w:bottom w:val="nil"/>
              <w:right w:val="nil"/>
            </w:tcBorders>
            <w:shd w:val="clear" w:color="auto" w:fill="FFFFFF"/>
            <w:vAlign w:val="center"/>
          </w:tcPr>
          <w:p w14:paraId="4E80EA0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Disabled</w:t>
            </w:r>
          </w:p>
        </w:tc>
        <w:tc>
          <w:tcPr>
            <w:tcW w:w="847" w:type="pct"/>
            <w:tcBorders>
              <w:top w:val="nil"/>
              <w:left w:val="nil"/>
              <w:bottom w:val="nil"/>
              <w:right w:val="nil"/>
            </w:tcBorders>
            <w:shd w:val="clear" w:color="auto" w:fill="FFFFFF"/>
            <w:vAlign w:val="center"/>
          </w:tcPr>
          <w:p w14:paraId="764EC14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10</w:t>
            </w:r>
          </w:p>
        </w:tc>
        <w:tc>
          <w:tcPr>
            <w:tcW w:w="1320" w:type="pct"/>
            <w:tcBorders>
              <w:top w:val="nil"/>
              <w:left w:val="nil"/>
              <w:bottom w:val="nil"/>
              <w:right w:val="nil"/>
            </w:tcBorders>
            <w:shd w:val="clear" w:color="auto" w:fill="FFFFFF"/>
            <w:vAlign w:val="center"/>
          </w:tcPr>
          <w:p w14:paraId="54CA4B4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10.2</w:t>
            </w:r>
          </w:p>
        </w:tc>
        <w:tc>
          <w:tcPr>
            <w:tcW w:w="1013" w:type="pct"/>
            <w:tcBorders>
              <w:top w:val="nil"/>
              <w:left w:val="nil"/>
              <w:bottom w:val="nil"/>
              <w:right w:val="nil"/>
            </w:tcBorders>
            <w:shd w:val="clear" w:color="auto" w:fill="FFFFFF"/>
            <w:vAlign w:val="center"/>
          </w:tcPr>
          <w:p w14:paraId="75F71F5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0.2</w:t>
            </w:r>
          </w:p>
        </w:tc>
      </w:tr>
      <w:tr w14:paraId="0E41A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blHeader/>
          <w:jc w:val="center"/>
        </w:trPr>
        <w:tc>
          <w:tcPr>
            <w:tcW w:w="919" w:type="pct"/>
            <w:tcBorders>
              <w:top w:val="nil"/>
              <w:left w:val="nil"/>
              <w:bottom w:val="single" w:color="000000" w:sz="12" w:space="0"/>
              <w:right w:val="single" w:color="000000" w:sz="12" w:space="0"/>
            </w:tcBorders>
            <w:shd w:val="clear" w:color="auto" w:fill="FFFFFF"/>
            <w:vAlign w:val="center"/>
          </w:tcPr>
          <w:p w14:paraId="298E12D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Apr-Jun 2025</w:t>
            </w:r>
          </w:p>
        </w:tc>
        <w:tc>
          <w:tcPr>
            <w:tcW w:w="899" w:type="pct"/>
            <w:tcBorders>
              <w:top w:val="nil"/>
              <w:left w:val="nil"/>
              <w:bottom w:val="single" w:color="000000" w:sz="12" w:space="0"/>
              <w:right w:val="nil"/>
            </w:tcBorders>
            <w:shd w:val="clear" w:color="auto" w:fill="FFFFFF"/>
            <w:vAlign w:val="center"/>
          </w:tcPr>
          <w:p w14:paraId="4366AFD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Non-disabled</w:t>
            </w:r>
          </w:p>
        </w:tc>
        <w:tc>
          <w:tcPr>
            <w:tcW w:w="847" w:type="pct"/>
            <w:tcBorders>
              <w:top w:val="nil"/>
              <w:left w:val="nil"/>
              <w:bottom w:val="single" w:color="000000" w:sz="12" w:space="0"/>
              <w:right w:val="nil"/>
            </w:tcBorders>
            <w:shd w:val="clear" w:color="auto" w:fill="FFFFFF"/>
            <w:vAlign w:val="center"/>
          </w:tcPr>
          <w:p w14:paraId="2275129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7.7</w:t>
            </w:r>
          </w:p>
        </w:tc>
        <w:tc>
          <w:tcPr>
            <w:tcW w:w="1320" w:type="pct"/>
            <w:tcBorders>
              <w:top w:val="nil"/>
              <w:left w:val="nil"/>
              <w:bottom w:val="single" w:color="000000" w:sz="12" w:space="0"/>
              <w:right w:val="nil"/>
            </w:tcBorders>
            <w:shd w:val="clear" w:color="auto" w:fill="FFFFFF"/>
            <w:vAlign w:val="center"/>
          </w:tcPr>
          <w:p w14:paraId="7D53858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7.9</w:t>
            </w:r>
          </w:p>
        </w:tc>
        <w:tc>
          <w:tcPr>
            <w:tcW w:w="1013" w:type="pct"/>
            <w:tcBorders>
              <w:top w:val="nil"/>
              <w:left w:val="nil"/>
              <w:bottom w:val="single" w:color="000000" w:sz="12" w:space="0"/>
              <w:right w:val="nil"/>
            </w:tcBorders>
            <w:shd w:val="clear" w:color="auto" w:fill="FFFFFF"/>
            <w:vAlign w:val="center"/>
          </w:tcPr>
          <w:p w14:paraId="55240D3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0.2</w:t>
            </w:r>
          </w:p>
        </w:tc>
      </w:tr>
    </w:tbl>
    <w:p w14:paraId="173CC212">
      <w:pPr>
        <w:pageBreakBefore w:val="0"/>
        <w:widowControl/>
        <w:kinsoku/>
        <w:wordWrap/>
        <w:overflowPunct/>
        <w:topLinePunct w:val="0"/>
        <w:autoSpaceDE/>
        <w:autoSpaceDN/>
        <w:bidi w:val="0"/>
        <w:adjustRightInd/>
        <w:snapToGrid/>
        <w:spacing w:before="0" w:after="160" w:line="240" w:lineRule="auto"/>
        <w:ind w:firstLine="0"/>
        <w:jc w:val="left"/>
        <w:textAlignment w:val="auto"/>
        <w:rPr>
          <w:rFonts w:hint="default" w:ascii="Times New Roman" w:hAnsi="Times New Roman" w:eastAsia="Times New Roman" w:cs="Times New Roman"/>
          <w:i/>
          <w:iCs w:val="0"/>
          <w:sz w:val="24"/>
          <w:szCs w:val="24"/>
        </w:rPr>
      </w:pPr>
      <w:r>
        <w:rPr>
          <w:rFonts w:hint="default" w:ascii="Times New Roman" w:hAnsi="Times New Roman" w:eastAsia="Times New Roman" w:cs="Times New Roman"/>
          <w:i/>
          <w:iCs w:val="0"/>
          <w:sz w:val="24"/>
          <w:szCs w:val="24"/>
        </w:rPr>
        <w:t>Note. Published values are from DWP (2026). The 0.2-point replication differences are small and are treated as external validation differences associated with sample harmonisation and period definition rather than as evidence of exact equivalence.</w:t>
      </w:r>
    </w:p>
    <w:p w14:paraId="16227B2E">
      <w:pPr>
        <w:pageBreakBefore w:val="0"/>
        <w:widowControl/>
        <w:kinsoku/>
        <w:wordWrap/>
        <w:overflowPunct/>
        <w:topLinePunct w:val="0"/>
        <w:autoSpaceDE/>
        <w:autoSpaceDN/>
        <w:bidi w:val="0"/>
        <w:adjustRightInd/>
        <w:snapToGrid/>
        <w:spacing w:before="0" w:after="160" w:line="240" w:lineRule="auto"/>
        <w:ind w:firstLine="0"/>
        <w:jc w:val="left"/>
        <w:textAlignment w:val="auto"/>
        <w:rPr>
          <w:rFonts w:hint="default" w:ascii="Times New Roman" w:hAnsi="Times New Roman" w:eastAsia="Times New Roman" w:cs="Times New Roman"/>
          <w:sz w:val="24"/>
          <w:szCs w:val="24"/>
        </w:rPr>
      </w:pPr>
    </w:p>
    <w:p w14:paraId="379B9705">
      <w:pPr>
        <w:keepNext/>
        <w:pageBreakBefore w:val="0"/>
        <w:widowControl/>
        <w:kinsoku/>
        <w:wordWrap/>
        <w:overflowPunct/>
        <w:topLinePunct w:val="0"/>
        <w:autoSpaceDE/>
        <w:autoSpaceDN/>
        <w:bidi w:val="0"/>
        <w:adjustRightInd/>
        <w:snapToGrid/>
        <w:spacing w:before="0" w:after="160" w:line="240" w:lineRule="auto"/>
        <w:ind w:firstLine="0"/>
        <w:jc w:val="both"/>
        <w:textAlignment w:val="auto"/>
        <w:rPr>
          <w:rFonts w:hint="default" w:ascii="Times New Roman" w:hAnsi="Times New Roman" w:cs="Times New Roman"/>
          <w:sz w:val="24"/>
          <w:szCs w:val="24"/>
        </w:rPr>
      </w:pPr>
      <w:r>
        <w:rPr>
          <w:rFonts w:hint="default" w:ascii="Times New Roman" w:hAnsi="Times New Roman" w:eastAsia="Times New Roman" w:cs="Times New Roman"/>
          <w:b/>
          <w:i w:val="0"/>
          <w:sz w:val="24"/>
          <w:szCs w:val="24"/>
        </w:rPr>
        <w:t>A4. Study-area harmonisation and reproducibility boundary</w:t>
      </w:r>
    </w:p>
    <w:p w14:paraId="502966A7">
      <w:pPr>
        <w:keepNext w:val="0"/>
        <w:keepLines w:val="0"/>
        <w:pageBreakBefore w:val="0"/>
        <w:widowControl/>
        <w:kinsoku/>
        <w:wordWrap/>
        <w:overflowPunct/>
        <w:topLinePunct w:val="0"/>
        <w:autoSpaceDE/>
        <w:autoSpaceDN/>
        <w:bidi w:val="0"/>
        <w:adjustRightInd/>
        <w:snapToGrid/>
        <w:spacing w:before="0" w:after="160" w:line="240" w:lineRule="auto"/>
        <w:ind w:firstLine="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The 175 study areas form a common analytical geography used to align pooled Secure APS records with area-level labour-market covariates; they are not presented as the current official ITL3 count. The complete crosswalk, boundary harmonisation rules and executable mapping are retained in governed analysis materials. The manuscript therefore treats results as scale-dependent and does not claim independent public reproduction of the exact harmonisation without those materials.</w:t>
      </w:r>
    </w:p>
    <w:p w14:paraId="3F65CE33">
      <w:pPr>
        <w:keepNext w:val="0"/>
        <w:keepLines w:val="0"/>
        <w:pageBreakBefore w:val="0"/>
        <w:widowControl/>
        <w:kinsoku/>
        <w:wordWrap/>
        <w:overflowPunct/>
        <w:topLinePunct w:val="0"/>
        <w:autoSpaceDE/>
        <w:autoSpaceDN/>
        <w:bidi w:val="0"/>
        <w:adjustRightInd/>
        <w:snapToGrid/>
        <w:spacing w:before="0" w:after="160" w:line="240" w:lineRule="auto"/>
        <w:ind w:firstLine="0"/>
        <w:jc w:val="both"/>
        <w:textAlignment w:val="auto"/>
        <w:rPr>
          <w:rFonts w:hint="default" w:ascii="Times New Roman" w:hAnsi="Times New Roman" w:eastAsia="Times New Roman" w:cs="Times New Roman"/>
          <w:sz w:val="24"/>
          <w:szCs w:val="24"/>
        </w:rPr>
      </w:pPr>
    </w:p>
    <w:p w14:paraId="4304859E">
      <w:pPr>
        <w:pStyle w:val="3"/>
        <w:keepNext/>
        <w:pageBreakBefore w:val="0"/>
        <w:widowControl/>
        <w:kinsoku/>
        <w:wordWrap/>
        <w:overflowPunct/>
        <w:topLinePunct w:val="0"/>
        <w:autoSpaceDE/>
        <w:autoSpaceDN/>
        <w:bidi w:val="0"/>
        <w:adjustRightInd/>
        <w:snapToGrid/>
        <w:spacing w:before="0" w:after="160" w:line="240" w:lineRule="auto"/>
        <w:ind w:firstLine="0"/>
        <w:jc w:val="both"/>
        <w:textAlignment w:val="auto"/>
        <w:rPr>
          <w:rFonts w:hint="default" w:ascii="Times New Roman" w:hAnsi="Times New Roman" w:cs="Times New Roman"/>
          <w:sz w:val="28"/>
          <w:szCs w:val="28"/>
        </w:rPr>
      </w:pPr>
      <w:r>
        <w:rPr>
          <w:rFonts w:hint="default" w:ascii="Times New Roman" w:hAnsi="Times New Roman" w:eastAsia="Times New Roman" w:cs="Times New Roman"/>
          <w:b/>
          <w:i w:val="0"/>
          <w:sz w:val="28"/>
          <w:szCs w:val="28"/>
        </w:rPr>
        <w:t>Supplementary Appendix B. Model estimates</w:t>
      </w:r>
    </w:p>
    <w:p w14:paraId="19772B95">
      <w:pPr>
        <w:pStyle w:val="4"/>
        <w:keepNext/>
        <w:pageBreakBefore w:val="0"/>
        <w:widowControl/>
        <w:kinsoku/>
        <w:wordWrap/>
        <w:overflowPunct/>
        <w:topLinePunct w:val="0"/>
        <w:autoSpaceDE/>
        <w:autoSpaceDN/>
        <w:bidi w:val="0"/>
        <w:adjustRightInd/>
        <w:snapToGrid/>
        <w:spacing w:before="0" w:after="160" w:line="240" w:lineRule="auto"/>
        <w:ind w:firstLine="0"/>
        <w:jc w:val="both"/>
        <w:textAlignment w:val="auto"/>
        <w:rPr>
          <w:rFonts w:hint="default" w:ascii="Times New Roman" w:hAnsi="Times New Roman" w:cs="Times New Roman"/>
          <w:sz w:val="24"/>
          <w:szCs w:val="24"/>
        </w:rPr>
      </w:pPr>
      <w:r>
        <w:rPr>
          <w:rFonts w:hint="default" w:ascii="Times New Roman" w:hAnsi="Times New Roman" w:eastAsia="Times New Roman" w:cs="Times New Roman"/>
          <w:b/>
          <w:i w:val="0"/>
          <w:sz w:val="24"/>
          <w:szCs w:val="24"/>
        </w:rPr>
        <w:t>B1. First-stage adjustment specification</w:t>
      </w:r>
    </w:p>
    <w:p w14:paraId="1B71AAEF">
      <w:pPr>
        <w:keepNext w:val="0"/>
        <w:keepLines w:val="0"/>
        <w:pageBreakBefore w:val="0"/>
        <w:widowControl/>
        <w:kinsoku/>
        <w:wordWrap/>
        <w:overflowPunct/>
        <w:topLinePunct w:val="0"/>
        <w:autoSpaceDE/>
        <w:autoSpaceDN/>
        <w:bidi w:val="0"/>
        <w:adjustRightInd/>
        <w:snapToGrid/>
        <w:spacing w:before="0" w:after="160" w:line="240" w:lineRule="auto"/>
        <w:ind w:firstLine="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The first-stage equations are weighted linear-probability fixed-effect models for the binary underemployment outcome. Their purpose is to generate composition-adjusted area effects; individual coefficient significance is not used as substantive evidence. The adjustment blocks correspond to Section 5.4 of the main manuscript.</w:t>
      </w:r>
      <w:r>
        <w:rPr>
          <w:rFonts w:ascii="Times New Roman" w:hAnsi="Times New Roman"/>
          <w:sz w:val="24"/>
        </w:rPr>
        <w:t xml:space="preserve"> Table B1 lists the adjustment blocks and their role in the first-stage specification.</w:t>
      </w:r>
    </w:p>
    <w:p w14:paraId="1D5D6D69">
      <w:pPr>
        <w:keepNext w:val="0"/>
        <w:keepLines w:val="0"/>
        <w:pageBreakBefore w:val="0"/>
        <w:widowControl/>
        <w:kinsoku/>
        <w:wordWrap/>
        <w:overflowPunct/>
        <w:topLinePunct w:val="0"/>
        <w:autoSpaceDE/>
        <w:autoSpaceDN/>
        <w:bidi w:val="0"/>
        <w:adjustRightInd/>
        <w:snapToGrid/>
        <w:spacing w:before="0" w:after="160" w:line="240" w:lineRule="auto"/>
        <w:ind w:firstLine="0"/>
        <w:jc w:val="both"/>
        <w:textAlignment w:val="auto"/>
        <w:rPr>
          <w:rFonts w:hint="default" w:ascii="Times New Roman" w:hAnsi="Times New Roman" w:eastAsia="Times New Roman" w:cs="Times New Roman"/>
          <w:sz w:val="24"/>
          <w:szCs w:val="24"/>
        </w:rPr>
      </w:pPr>
    </w:p>
    <w:p w14:paraId="1E940096">
      <w:pPr>
        <w:keepNext/>
        <w:pageBreakBefore w:val="0"/>
        <w:widowControl/>
        <w:kinsoku/>
        <w:wordWrap/>
        <w:overflowPunct/>
        <w:topLinePunct w:val="0"/>
        <w:autoSpaceDE/>
        <w:autoSpaceDN/>
        <w:bidi w:val="0"/>
        <w:adjustRightInd/>
        <w:snapToGrid/>
        <w:spacing w:before="0" w:after="160" w:line="240" w:lineRule="auto"/>
        <w:ind w:firstLine="0"/>
        <w:jc w:val="center"/>
        <w:textAlignment w:val="auto"/>
        <w:rPr>
          <w:rFonts w:hint="default" w:ascii="Times New Roman" w:hAnsi="Times New Roman" w:cs="Times New Roman"/>
          <w:sz w:val="24"/>
          <w:szCs w:val="24"/>
        </w:rPr>
      </w:pPr>
      <w:r>
        <w:rPr>
          <w:rFonts w:hint="default" w:ascii="Times New Roman" w:hAnsi="Times New Roman" w:eastAsia="Times New Roman" w:cs="Times New Roman"/>
          <w:b/>
          <w:sz w:val="24"/>
          <w:szCs w:val="24"/>
        </w:rPr>
        <w:t xml:space="preserve">Table B1. </w:t>
      </w:r>
      <w:r>
        <w:rPr>
          <w:rFonts w:hint="default" w:ascii="Times New Roman" w:hAnsi="Times New Roman" w:eastAsia="Times New Roman" w:cs="Times New Roman"/>
          <w:sz w:val="24"/>
          <w:szCs w:val="24"/>
        </w:rPr>
        <w:t>First-stage adjustment specification</w:t>
      </w:r>
    </w:p>
    <w:tbl>
      <w:tblPr>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966"/>
        <w:gridCol w:w="3977"/>
        <w:gridCol w:w="3295"/>
      </w:tblGrid>
      <w:tr w14:paraId="62B84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blHeader/>
          <w:jc w:val="center"/>
        </w:trPr>
        <w:tc>
          <w:tcPr>
            <w:tcW w:w="1064" w:type="pct"/>
            <w:tcBorders>
              <w:top w:val="single" w:color="000000" w:sz="12" w:space="0"/>
              <w:left w:val="nil"/>
              <w:bottom w:val="single" w:color="000000" w:sz="8" w:space="0"/>
              <w:right w:val="single" w:color="000000" w:sz="12" w:space="0"/>
            </w:tcBorders>
            <w:shd w:val="clear" w:color="auto" w:fill="FFFFFF"/>
            <w:vAlign w:val="center"/>
          </w:tcPr>
          <w:p w14:paraId="37985F9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Covariate block</w:t>
            </w:r>
          </w:p>
        </w:tc>
        <w:tc>
          <w:tcPr>
            <w:tcW w:w="2152" w:type="pct"/>
            <w:tcBorders>
              <w:top w:val="single" w:color="000000" w:sz="12" w:space="0"/>
              <w:left w:val="nil"/>
              <w:bottom w:val="single" w:color="000000" w:sz="8" w:space="0"/>
              <w:right w:val="nil"/>
            </w:tcBorders>
            <w:shd w:val="clear" w:color="auto" w:fill="FFFFFF"/>
            <w:vAlign w:val="center"/>
          </w:tcPr>
          <w:p w14:paraId="1B39625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Included terms</w:t>
            </w:r>
          </w:p>
        </w:tc>
        <w:tc>
          <w:tcPr>
            <w:tcW w:w="1783" w:type="pct"/>
            <w:tcBorders>
              <w:top w:val="single" w:color="000000" w:sz="12" w:space="0"/>
              <w:left w:val="nil"/>
              <w:bottom w:val="single" w:color="000000" w:sz="8" w:space="0"/>
              <w:right w:val="nil"/>
            </w:tcBorders>
            <w:shd w:val="clear" w:color="auto" w:fill="FFFFFF"/>
            <w:vAlign w:val="center"/>
          </w:tcPr>
          <w:p w14:paraId="470ECDC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Role in adjustment</w:t>
            </w:r>
          </w:p>
        </w:tc>
      </w:tr>
      <w:tr w14:paraId="661F0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1064" w:type="pct"/>
            <w:tcBorders>
              <w:top w:val="nil"/>
              <w:left w:val="nil"/>
              <w:bottom w:val="nil"/>
              <w:right w:val="single" w:color="000000" w:sz="12" w:space="0"/>
            </w:tcBorders>
            <w:shd w:val="clear" w:color="auto" w:fill="FFFFFF"/>
            <w:vAlign w:val="center"/>
          </w:tcPr>
          <w:p w14:paraId="2765111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Demographics</w:t>
            </w:r>
          </w:p>
        </w:tc>
        <w:tc>
          <w:tcPr>
            <w:tcW w:w="2152" w:type="pct"/>
            <w:tcBorders>
              <w:top w:val="nil"/>
              <w:left w:val="nil"/>
              <w:bottom w:val="nil"/>
              <w:right w:val="nil"/>
            </w:tcBorders>
            <w:shd w:val="clear" w:color="auto" w:fill="FFFFFF"/>
            <w:vAlign w:val="center"/>
          </w:tcPr>
          <w:p w14:paraId="4CE6874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Sex; age groups; ethnicity</w:t>
            </w:r>
          </w:p>
        </w:tc>
        <w:tc>
          <w:tcPr>
            <w:tcW w:w="1783" w:type="pct"/>
            <w:tcBorders>
              <w:top w:val="nil"/>
              <w:left w:val="nil"/>
              <w:bottom w:val="nil"/>
              <w:right w:val="nil"/>
            </w:tcBorders>
            <w:shd w:val="clear" w:color="auto" w:fill="FFFFFF"/>
            <w:vAlign w:val="center"/>
          </w:tcPr>
          <w:p w14:paraId="0FEA67C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Adjust group-specific demographic composition</w:t>
            </w:r>
          </w:p>
        </w:tc>
      </w:tr>
      <w:tr w14:paraId="1DE03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1064" w:type="pct"/>
            <w:tcBorders>
              <w:top w:val="nil"/>
              <w:left w:val="nil"/>
              <w:bottom w:val="nil"/>
              <w:right w:val="single" w:color="000000" w:sz="12" w:space="0"/>
            </w:tcBorders>
            <w:shd w:val="clear" w:color="auto" w:fill="FFFFFF"/>
            <w:vAlign w:val="center"/>
          </w:tcPr>
          <w:p w14:paraId="477BBDD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Family structure</w:t>
            </w:r>
          </w:p>
        </w:tc>
        <w:tc>
          <w:tcPr>
            <w:tcW w:w="2152" w:type="pct"/>
            <w:tcBorders>
              <w:top w:val="nil"/>
              <w:left w:val="nil"/>
              <w:bottom w:val="nil"/>
              <w:right w:val="nil"/>
            </w:tcBorders>
            <w:shd w:val="clear" w:color="auto" w:fill="FFFFFF"/>
            <w:vAlign w:val="center"/>
          </w:tcPr>
          <w:p w14:paraId="45945EAD">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Marital/cohabitation status; dependent children; female-by-family interaction</w:t>
            </w:r>
          </w:p>
        </w:tc>
        <w:tc>
          <w:tcPr>
            <w:tcW w:w="1783" w:type="pct"/>
            <w:tcBorders>
              <w:top w:val="nil"/>
              <w:left w:val="nil"/>
              <w:bottom w:val="nil"/>
              <w:right w:val="nil"/>
            </w:tcBorders>
            <w:shd w:val="clear" w:color="auto" w:fill="FFFFFF"/>
            <w:vAlign w:val="center"/>
          </w:tcPr>
          <w:p w14:paraId="65797D0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Capture household and caregiving composition</w:t>
            </w:r>
          </w:p>
        </w:tc>
      </w:tr>
      <w:tr w14:paraId="6AD02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1064" w:type="pct"/>
            <w:tcBorders>
              <w:top w:val="nil"/>
              <w:left w:val="nil"/>
              <w:bottom w:val="nil"/>
              <w:right w:val="single" w:color="000000" w:sz="12" w:space="0"/>
            </w:tcBorders>
            <w:shd w:val="clear" w:color="auto" w:fill="FFFFFF"/>
            <w:vAlign w:val="center"/>
          </w:tcPr>
          <w:p w14:paraId="72B8E08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Education</w:t>
            </w:r>
          </w:p>
        </w:tc>
        <w:tc>
          <w:tcPr>
            <w:tcW w:w="2152" w:type="pct"/>
            <w:tcBorders>
              <w:top w:val="nil"/>
              <w:left w:val="nil"/>
              <w:bottom w:val="nil"/>
              <w:right w:val="nil"/>
            </w:tcBorders>
            <w:shd w:val="clear" w:color="auto" w:fill="FFFFFF"/>
            <w:vAlign w:val="center"/>
          </w:tcPr>
          <w:p w14:paraId="7E4C09D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Highest qualification categories</w:t>
            </w:r>
          </w:p>
        </w:tc>
        <w:tc>
          <w:tcPr>
            <w:tcW w:w="1783" w:type="pct"/>
            <w:tcBorders>
              <w:top w:val="nil"/>
              <w:left w:val="nil"/>
              <w:bottom w:val="nil"/>
              <w:right w:val="nil"/>
            </w:tcBorders>
            <w:shd w:val="clear" w:color="auto" w:fill="FFFFFF"/>
            <w:vAlign w:val="center"/>
          </w:tcPr>
          <w:p w14:paraId="6AA9486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Adjust human-capital composition</w:t>
            </w:r>
          </w:p>
        </w:tc>
      </w:tr>
      <w:tr w14:paraId="64966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1064" w:type="pct"/>
            <w:tcBorders>
              <w:top w:val="nil"/>
              <w:left w:val="nil"/>
              <w:bottom w:val="nil"/>
              <w:right w:val="single" w:color="000000" w:sz="12" w:space="0"/>
            </w:tcBorders>
            <w:shd w:val="clear" w:color="auto" w:fill="FFFFFF"/>
            <w:vAlign w:val="center"/>
          </w:tcPr>
          <w:p w14:paraId="423A785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Household labour market</w:t>
            </w:r>
          </w:p>
        </w:tc>
        <w:tc>
          <w:tcPr>
            <w:tcW w:w="2152" w:type="pct"/>
            <w:tcBorders>
              <w:top w:val="nil"/>
              <w:left w:val="nil"/>
              <w:bottom w:val="nil"/>
              <w:right w:val="nil"/>
            </w:tcBorders>
            <w:shd w:val="clear" w:color="auto" w:fill="FFFFFF"/>
            <w:vAlign w:val="center"/>
          </w:tcPr>
          <w:p w14:paraId="12857E8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Partner labour-market status</w:t>
            </w:r>
          </w:p>
        </w:tc>
        <w:tc>
          <w:tcPr>
            <w:tcW w:w="1783" w:type="pct"/>
            <w:tcBorders>
              <w:top w:val="nil"/>
              <w:left w:val="nil"/>
              <w:bottom w:val="nil"/>
              <w:right w:val="nil"/>
            </w:tcBorders>
            <w:shd w:val="clear" w:color="auto" w:fill="FFFFFF"/>
            <w:vAlign w:val="center"/>
          </w:tcPr>
          <w:p w14:paraId="197DB47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Capture household labour-market context</w:t>
            </w:r>
          </w:p>
        </w:tc>
      </w:tr>
      <w:tr w14:paraId="5FD8A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64" w:type="pct"/>
            <w:tcBorders>
              <w:top w:val="nil"/>
              <w:left w:val="nil"/>
              <w:bottom w:val="nil"/>
              <w:right w:val="single" w:color="000000" w:sz="12" w:space="0"/>
            </w:tcBorders>
            <w:shd w:val="clear" w:color="auto" w:fill="FFFFFF"/>
            <w:vAlign w:val="center"/>
          </w:tcPr>
          <w:p w14:paraId="6DD757C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Housing</w:t>
            </w:r>
          </w:p>
        </w:tc>
        <w:tc>
          <w:tcPr>
            <w:tcW w:w="2152" w:type="pct"/>
            <w:tcBorders>
              <w:top w:val="nil"/>
              <w:left w:val="nil"/>
              <w:bottom w:val="nil"/>
              <w:right w:val="nil"/>
            </w:tcBorders>
            <w:shd w:val="clear" w:color="auto" w:fill="FFFFFF"/>
            <w:vAlign w:val="center"/>
          </w:tcPr>
          <w:p w14:paraId="3AB4686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Housing tenure</w:t>
            </w:r>
          </w:p>
        </w:tc>
        <w:tc>
          <w:tcPr>
            <w:tcW w:w="1783" w:type="pct"/>
            <w:tcBorders>
              <w:top w:val="nil"/>
              <w:left w:val="nil"/>
              <w:bottom w:val="nil"/>
              <w:right w:val="nil"/>
            </w:tcBorders>
            <w:shd w:val="clear" w:color="auto" w:fill="FFFFFF"/>
            <w:vAlign w:val="center"/>
          </w:tcPr>
          <w:p w14:paraId="1C3BDD3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Adjust socioeconomic/living-context composition</w:t>
            </w:r>
          </w:p>
        </w:tc>
      </w:tr>
      <w:tr w14:paraId="3C53A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1064" w:type="pct"/>
            <w:tcBorders>
              <w:top w:val="nil"/>
              <w:left w:val="nil"/>
              <w:bottom w:val="nil"/>
              <w:right w:val="single" w:color="000000" w:sz="12" w:space="0"/>
            </w:tcBorders>
            <w:shd w:val="clear" w:color="auto" w:fill="FFFFFF"/>
            <w:vAlign w:val="center"/>
          </w:tcPr>
          <w:p w14:paraId="18254EB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Settlement</w:t>
            </w:r>
          </w:p>
        </w:tc>
        <w:tc>
          <w:tcPr>
            <w:tcW w:w="2152" w:type="pct"/>
            <w:tcBorders>
              <w:top w:val="nil"/>
              <w:left w:val="nil"/>
              <w:bottom w:val="nil"/>
              <w:right w:val="nil"/>
            </w:tcBorders>
            <w:shd w:val="clear" w:color="auto" w:fill="FFFFFF"/>
            <w:vAlign w:val="center"/>
          </w:tcPr>
          <w:p w14:paraId="3E4CF35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Urban residence</w:t>
            </w:r>
          </w:p>
        </w:tc>
        <w:tc>
          <w:tcPr>
            <w:tcW w:w="1783" w:type="pct"/>
            <w:tcBorders>
              <w:top w:val="nil"/>
              <w:left w:val="nil"/>
              <w:bottom w:val="nil"/>
              <w:right w:val="nil"/>
            </w:tcBorders>
            <w:shd w:val="clear" w:color="auto" w:fill="FFFFFF"/>
            <w:vAlign w:val="center"/>
          </w:tcPr>
          <w:p w14:paraId="7C169E3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Adjust urban/non-urban composition</w:t>
            </w:r>
          </w:p>
        </w:tc>
      </w:tr>
      <w:tr w14:paraId="20C68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1064" w:type="pct"/>
            <w:tcBorders>
              <w:top w:val="nil"/>
              <w:left w:val="nil"/>
              <w:bottom w:val="nil"/>
              <w:right w:val="single" w:color="000000" w:sz="12" w:space="0"/>
            </w:tcBorders>
            <w:shd w:val="clear" w:color="auto" w:fill="FFFFFF"/>
            <w:vAlign w:val="center"/>
          </w:tcPr>
          <w:p w14:paraId="56C7FC4D">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Employment form</w:t>
            </w:r>
          </w:p>
        </w:tc>
        <w:tc>
          <w:tcPr>
            <w:tcW w:w="2152" w:type="pct"/>
            <w:tcBorders>
              <w:top w:val="nil"/>
              <w:left w:val="nil"/>
              <w:bottom w:val="nil"/>
              <w:right w:val="nil"/>
            </w:tcBorders>
            <w:shd w:val="clear" w:color="auto" w:fill="FFFFFF"/>
            <w:vAlign w:val="center"/>
          </w:tcPr>
          <w:p w14:paraId="023F51B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Employee/self-employed status; contract-form sensitivity where compatible</w:t>
            </w:r>
          </w:p>
        </w:tc>
        <w:tc>
          <w:tcPr>
            <w:tcW w:w="1783" w:type="pct"/>
            <w:tcBorders>
              <w:top w:val="nil"/>
              <w:left w:val="nil"/>
              <w:bottom w:val="nil"/>
              <w:right w:val="nil"/>
            </w:tcBorders>
            <w:shd w:val="clear" w:color="auto" w:fill="FFFFFF"/>
            <w:vAlign w:val="center"/>
          </w:tcPr>
          <w:p w14:paraId="43BCE45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Describe composition within the employed sample</w:t>
            </w:r>
          </w:p>
        </w:tc>
      </w:tr>
      <w:tr w14:paraId="69510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1064" w:type="pct"/>
            <w:tcBorders>
              <w:top w:val="nil"/>
              <w:left w:val="nil"/>
              <w:bottom w:val="single" w:color="000000" w:sz="12" w:space="0"/>
              <w:right w:val="single" w:color="000000" w:sz="12" w:space="0"/>
            </w:tcBorders>
            <w:shd w:val="clear" w:color="auto" w:fill="FFFFFF"/>
            <w:vAlign w:val="center"/>
          </w:tcPr>
          <w:p w14:paraId="7F4AFB0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Area fixed effects</w:t>
            </w:r>
          </w:p>
        </w:tc>
        <w:tc>
          <w:tcPr>
            <w:tcW w:w="2152" w:type="pct"/>
            <w:tcBorders>
              <w:top w:val="nil"/>
              <w:left w:val="nil"/>
              <w:bottom w:val="single" w:color="000000" w:sz="12" w:space="0"/>
              <w:right w:val="nil"/>
            </w:tcBorders>
            <w:shd w:val="clear" w:color="auto" w:fill="FFFFFF"/>
            <w:vAlign w:val="center"/>
          </w:tcPr>
          <w:p w14:paraId="2E8E2B7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175 harmonised study-area indicators</w:t>
            </w:r>
          </w:p>
        </w:tc>
        <w:tc>
          <w:tcPr>
            <w:tcW w:w="1783" w:type="pct"/>
            <w:tcBorders>
              <w:top w:val="nil"/>
              <w:left w:val="nil"/>
              <w:bottom w:val="single" w:color="000000" w:sz="12" w:space="0"/>
              <w:right w:val="nil"/>
            </w:tcBorders>
            <w:shd w:val="clear" w:color="auto" w:fill="FFFFFF"/>
            <w:vAlign w:val="center"/>
          </w:tcPr>
          <w:p w14:paraId="2CBF444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Generate composition-adjusted local area estimates</w:t>
            </w:r>
          </w:p>
        </w:tc>
      </w:tr>
    </w:tbl>
    <w:p w14:paraId="6A9269F4">
      <w:pPr>
        <w:pageBreakBefore w:val="0"/>
        <w:widowControl/>
        <w:kinsoku/>
        <w:wordWrap/>
        <w:overflowPunct/>
        <w:topLinePunct w:val="0"/>
        <w:autoSpaceDE/>
        <w:autoSpaceDN/>
        <w:bidi w:val="0"/>
        <w:adjustRightInd/>
        <w:snapToGrid/>
        <w:spacing w:before="0" w:after="160" w:line="240" w:lineRule="auto"/>
        <w:ind w:firstLine="0"/>
        <w:jc w:val="left"/>
        <w:textAlignment w:val="auto"/>
        <w:rPr>
          <w:rFonts w:hint="default" w:ascii="Times New Roman" w:hAnsi="Times New Roman" w:eastAsia="Times New Roman" w:cs="Times New Roman"/>
          <w:i/>
          <w:iCs w:val="0"/>
          <w:sz w:val="24"/>
          <w:szCs w:val="24"/>
        </w:rPr>
      </w:pPr>
      <w:r>
        <w:rPr>
          <w:rFonts w:hint="default" w:ascii="Times New Roman" w:hAnsi="Times New Roman" w:eastAsia="Times New Roman" w:cs="Times New Roman"/>
          <w:i/>
          <w:iCs w:val="0"/>
          <w:sz w:val="24"/>
          <w:szCs w:val="24"/>
        </w:rPr>
        <w:t>Note. The table documents the adjustment set used to obtain group-specific area fixed effects. Individual first-stage coefficient p-values are not used as substantive evidence in the paper.</w:t>
      </w:r>
    </w:p>
    <w:p w14:paraId="00954198">
      <w:pPr>
        <w:pageBreakBefore w:val="0"/>
        <w:widowControl/>
        <w:kinsoku/>
        <w:wordWrap/>
        <w:overflowPunct/>
        <w:topLinePunct w:val="0"/>
        <w:autoSpaceDE/>
        <w:autoSpaceDN/>
        <w:bidi w:val="0"/>
        <w:adjustRightInd/>
        <w:snapToGrid/>
        <w:spacing w:before="0" w:after="160" w:line="240" w:lineRule="auto"/>
        <w:ind w:firstLine="0"/>
        <w:jc w:val="left"/>
        <w:textAlignment w:val="auto"/>
        <w:rPr>
          <w:rFonts w:hint="default" w:ascii="Times New Roman" w:hAnsi="Times New Roman" w:eastAsia="Times New Roman" w:cs="Times New Roman"/>
          <w:i/>
          <w:iCs w:val="0"/>
          <w:sz w:val="24"/>
          <w:szCs w:val="24"/>
        </w:rPr>
      </w:pPr>
    </w:p>
    <w:p w14:paraId="33DF5635">
      <w:pPr>
        <w:pStyle w:val="4"/>
        <w:keepNext/>
        <w:pageBreakBefore w:val="0"/>
        <w:widowControl/>
        <w:kinsoku/>
        <w:wordWrap/>
        <w:overflowPunct/>
        <w:topLinePunct w:val="0"/>
        <w:autoSpaceDE/>
        <w:autoSpaceDN/>
        <w:bidi w:val="0"/>
        <w:adjustRightInd/>
        <w:snapToGrid/>
        <w:spacing w:before="0" w:after="160" w:line="240" w:lineRule="auto"/>
        <w:ind w:firstLine="0"/>
        <w:jc w:val="both"/>
        <w:textAlignment w:val="auto"/>
        <w:rPr>
          <w:rFonts w:hint="default" w:ascii="Times New Roman" w:hAnsi="Times New Roman" w:cs="Times New Roman"/>
          <w:sz w:val="24"/>
          <w:szCs w:val="24"/>
        </w:rPr>
      </w:pPr>
      <w:r>
        <w:rPr>
          <w:rFonts w:hint="default" w:ascii="Times New Roman" w:hAnsi="Times New Roman" w:eastAsia="Times New Roman" w:cs="Times New Roman"/>
          <w:b/>
          <w:i w:val="0"/>
          <w:sz w:val="24"/>
          <w:szCs w:val="24"/>
        </w:rPr>
        <w:t>B2. Second-stage area equations</w:t>
      </w:r>
    </w:p>
    <w:p>
      <w:pPr/>
      <w:r>
        <w:t>Table B2 reports the complete second-stage area models for disabled and non-disabled workers.</w:t>
      </w:r>
    </w:p>
    <w:p w14:paraId="22CAA5F6">
      <w:pPr>
        <w:keepNext/>
        <w:pageBreakBefore w:val="0"/>
        <w:widowControl/>
        <w:kinsoku/>
        <w:wordWrap/>
        <w:overflowPunct/>
        <w:topLinePunct w:val="0"/>
        <w:autoSpaceDE/>
        <w:autoSpaceDN/>
        <w:bidi w:val="0"/>
        <w:adjustRightInd/>
        <w:snapToGrid/>
        <w:spacing w:before="0" w:after="160" w:line="240" w:lineRule="auto"/>
        <w:ind w:firstLine="0"/>
        <w:jc w:val="center"/>
        <w:textAlignment w:val="auto"/>
        <w:rPr>
          <w:rFonts w:hint="default" w:ascii="Times New Roman" w:hAnsi="Times New Roman" w:cs="Times New Roman"/>
          <w:sz w:val="24"/>
          <w:szCs w:val="24"/>
        </w:rPr>
      </w:pPr>
      <w:r>
        <w:rPr>
          <w:rFonts w:hint="default" w:ascii="Times New Roman" w:hAnsi="Times New Roman" w:eastAsia="Times New Roman" w:cs="Times New Roman"/>
          <w:b/>
          <w:sz w:val="24"/>
          <w:szCs w:val="24"/>
        </w:rPr>
        <w:t xml:space="preserve">Table B2. </w:t>
      </w:r>
      <w:r>
        <w:rPr>
          <w:rFonts w:hint="default" w:ascii="Times New Roman" w:hAnsi="Times New Roman" w:eastAsia="Times New Roman" w:cs="Times New Roman"/>
          <w:sz w:val="24"/>
          <w:szCs w:val="24"/>
        </w:rPr>
        <w:t>Complete second-stage area models</w:t>
      </w:r>
    </w:p>
    <w:tbl>
      <w:tblPr>
        <w:tblW w:w="499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3944"/>
        <w:gridCol w:w="1674"/>
        <w:gridCol w:w="761"/>
        <w:gridCol w:w="1253"/>
        <w:gridCol w:w="761"/>
        <w:gridCol w:w="842"/>
      </w:tblGrid>
      <w:tr w14:paraId="40378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blHeader/>
          <w:jc w:val="center"/>
        </w:trPr>
        <w:tc>
          <w:tcPr>
            <w:tcW w:w="2134" w:type="pct"/>
            <w:tcBorders>
              <w:top w:val="single" w:color="000000" w:sz="12" w:space="0"/>
              <w:left w:val="nil"/>
              <w:bottom w:val="single" w:color="000000" w:sz="8" w:space="0"/>
              <w:right w:val="single" w:color="000000" w:sz="12" w:space="0"/>
            </w:tcBorders>
            <w:shd w:val="clear" w:color="auto" w:fill="FFFFFF"/>
            <w:vAlign w:val="center"/>
          </w:tcPr>
          <w:p w14:paraId="033BE6C7">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Area variable</w:t>
            </w:r>
          </w:p>
        </w:tc>
        <w:tc>
          <w:tcPr>
            <w:tcW w:w="906" w:type="pct"/>
            <w:tcBorders>
              <w:top w:val="single" w:color="000000" w:sz="12" w:space="0"/>
              <w:left w:val="nil"/>
              <w:bottom w:val="single" w:color="000000" w:sz="8" w:space="0"/>
              <w:right w:val="nil"/>
            </w:tcBorders>
            <w:shd w:val="clear" w:color="auto" w:fill="FFFFFF"/>
            <w:vAlign w:val="center"/>
          </w:tcPr>
          <w:p w14:paraId="30D40FC1">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Non-disabled b</w:t>
            </w:r>
          </w:p>
        </w:tc>
        <w:tc>
          <w:tcPr>
            <w:tcW w:w="412" w:type="pct"/>
            <w:tcBorders>
              <w:top w:val="single" w:color="000000" w:sz="12" w:space="0"/>
              <w:left w:val="nil"/>
              <w:bottom w:val="single" w:color="000000" w:sz="8" w:space="0"/>
              <w:right w:val="nil"/>
            </w:tcBorders>
            <w:shd w:val="clear" w:color="auto" w:fill="FFFFFF"/>
            <w:vAlign w:val="center"/>
          </w:tcPr>
          <w:p w14:paraId="2319688F">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SE</w:t>
            </w:r>
          </w:p>
        </w:tc>
        <w:tc>
          <w:tcPr>
            <w:tcW w:w="678" w:type="pct"/>
            <w:tcBorders>
              <w:top w:val="single" w:color="000000" w:sz="12" w:space="0"/>
              <w:left w:val="nil"/>
              <w:bottom w:val="single" w:color="000000" w:sz="8" w:space="0"/>
              <w:right w:val="nil"/>
            </w:tcBorders>
            <w:shd w:val="clear" w:color="auto" w:fill="FFFFFF"/>
            <w:vAlign w:val="center"/>
          </w:tcPr>
          <w:p w14:paraId="0CA8CAA6">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Disabled b</w:t>
            </w:r>
          </w:p>
        </w:tc>
        <w:tc>
          <w:tcPr>
            <w:tcW w:w="412" w:type="pct"/>
            <w:tcBorders>
              <w:top w:val="single" w:color="000000" w:sz="12" w:space="0"/>
              <w:left w:val="nil"/>
              <w:bottom w:val="single" w:color="000000" w:sz="8" w:space="0"/>
              <w:right w:val="nil"/>
            </w:tcBorders>
            <w:shd w:val="clear" w:color="auto" w:fill="FFFFFF"/>
            <w:vAlign w:val="center"/>
          </w:tcPr>
          <w:p w14:paraId="04CB3FE2">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SE</w:t>
            </w:r>
          </w:p>
        </w:tc>
        <w:tc>
          <w:tcPr>
            <w:tcW w:w="455" w:type="pct"/>
            <w:tcBorders>
              <w:top w:val="single" w:color="000000" w:sz="12" w:space="0"/>
              <w:left w:val="nil"/>
              <w:bottom w:val="single" w:color="000000" w:sz="8" w:space="0"/>
              <w:right w:val="nil"/>
            </w:tcBorders>
            <w:shd w:val="clear" w:color="auto" w:fill="FFFFFF"/>
            <w:vAlign w:val="center"/>
          </w:tcPr>
          <w:p w14:paraId="2A03D848">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b1-b0</w:t>
            </w:r>
          </w:p>
        </w:tc>
      </w:tr>
      <w:tr w14:paraId="52863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2134" w:type="pct"/>
            <w:tcBorders>
              <w:top w:val="nil"/>
              <w:left w:val="nil"/>
              <w:bottom w:val="nil"/>
              <w:right w:val="single" w:color="000000" w:sz="12" w:space="0"/>
            </w:tcBorders>
            <w:shd w:val="clear" w:color="auto" w:fill="FFFFFF"/>
            <w:vAlign w:val="center"/>
          </w:tcPr>
          <w:p w14:paraId="4EAAC5FF">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Unemployment / slack measure</w:t>
            </w:r>
          </w:p>
        </w:tc>
        <w:tc>
          <w:tcPr>
            <w:tcW w:w="906" w:type="pct"/>
            <w:tcBorders>
              <w:top w:val="nil"/>
              <w:left w:val="nil"/>
              <w:bottom w:val="nil"/>
              <w:right w:val="nil"/>
            </w:tcBorders>
            <w:shd w:val="clear" w:color="auto" w:fill="FFFFFF"/>
            <w:vAlign w:val="center"/>
          </w:tcPr>
          <w:p w14:paraId="3387634B">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0.042</w:t>
            </w:r>
          </w:p>
        </w:tc>
        <w:tc>
          <w:tcPr>
            <w:tcW w:w="412" w:type="pct"/>
            <w:tcBorders>
              <w:top w:val="nil"/>
              <w:left w:val="nil"/>
              <w:bottom w:val="nil"/>
              <w:right w:val="nil"/>
            </w:tcBorders>
            <w:shd w:val="clear" w:color="auto" w:fill="FFFFFF"/>
            <w:vAlign w:val="center"/>
          </w:tcPr>
          <w:p w14:paraId="1ADBD764">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0.018</w:t>
            </w:r>
          </w:p>
        </w:tc>
        <w:tc>
          <w:tcPr>
            <w:tcW w:w="678" w:type="pct"/>
            <w:tcBorders>
              <w:top w:val="nil"/>
              <w:left w:val="nil"/>
              <w:bottom w:val="nil"/>
              <w:right w:val="nil"/>
            </w:tcBorders>
            <w:shd w:val="clear" w:color="auto" w:fill="FFFFFF"/>
            <w:vAlign w:val="center"/>
          </w:tcPr>
          <w:p w14:paraId="78F163B9">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0.058</w:t>
            </w:r>
          </w:p>
        </w:tc>
        <w:tc>
          <w:tcPr>
            <w:tcW w:w="412" w:type="pct"/>
            <w:tcBorders>
              <w:top w:val="nil"/>
              <w:left w:val="nil"/>
              <w:bottom w:val="nil"/>
              <w:right w:val="nil"/>
            </w:tcBorders>
            <w:shd w:val="clear" w:color="auto" w:fill="FFFFFF"/>
            <w:vAlign w:val="center"/>
          </w:tcPr>
          <w:p w14:paraId="4B451D87">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0.022</w:t>
            </w:r>
          </w:p>
        </w:tc>
        <w:tc>
          <w:tcPr>
            <w:tcW w:w="455" w:type="pct"/>
            <w:tcBorders>
              <w:top w:val="nil"/>
              <w:left w:val="nil"/>
              <w:bottom w:val="nil"/>
              <w:right w:val="nil"/>
            </w:tcBorders>
            <w:shd w:val="clear" w:color="auto" w:fill="FFFFFF"/>
            <w:vAlign w:val="center"/>
          </w:tcPr>
          <w:p w14:paraId="380388AC">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0.016</w:t>
            </w:r>
          </w:p>
        </w:tc>
      </w:tr>
      <w:tr w14:paraId="527BF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2134" w:type="pct"/>
            <w:tcBorders>
              <w:top w:val="nil"/>
              <w:left w:val="nil"/>
              <w:bottom w:val="nil"/>
              <w:right w:val="single" w:color="000000" w:sz="12" w:space="0"/>
            </w:tcBorders>
            <w:shd w:val="clear" w:color="auto" w:fill="FFFFFF"/>
            <w:vAlign w:val="center"/>
          </w:tcPr>
          <w:p w14:paraId="572805EF">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GVA per hour</w:t>
            </w:r>
          </w:p>
        </w:tc>
        <w:tc>
          <w:tcPr>
            <w:tcW w:w="906" w:type="pct"/>
            <w:tcBorders>
              <w:top w:val="nil"/>
              <w:left w:val="nil"/>
              <w:bottom w:val="nil"/>
              <w:right w:val="nil"/>
            </w:tcBorders>
            <w:shd w:val="clear" w:color="auto" w:fill="FFFFFF"/>
            <w:vAlign w:val="center"/>
          </w:tcPr>
          <w:p w14:paraId="2814461E">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-0.003</w:t>
            </w:r>
          </w:p>
        </w:tc>
        <w:tc>
          <w:tcPr>
            <w:tcW w:w="412" w:type="pct"/>
            <w:tcBorders>
              <w:top w:val="nil"/>
              <w:left w:val="nil"/>
              <w:bottom w:val="nil"/>
              <w:right w:val="nil"/>
            </w:tcBorders>
            <w:shd w:val="clear" w:color="auto" w:fill="FFFFFF"/>
            <w:vAlign w:val="center"/>
          </w:tcPr>
          <w:p w14:paraId="2C083CE6">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0.001</w:t>
            </w:r>
          </w:p>
        </w:tc>
        <w:tc>
          <w:tcPr>
            <w:tcW w:w="678" w:type="pct"/>
            <w:tcBorders>
              <w:top w:val="nil"/>
              <w:left w:val="nil"/>
              <w:bottom w:val="nil"/>
              <w:right w:val="nil"/>
            </w:tcBorders>
            <w:shd w:val="clear" w:color="auto" w:fill="FFFFFF"/>
            <w:vAlign w:val="center"/>
          </w:tcPr>
          <w:p w14:paraId="27D117D6">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-0.001</w:t>
            </w:r>
          </w:p>
        </w:tc>
        <w:tc>
          <w:tcPr>
            <w:tcW w:w="412" w:type="pct"/>
            <w:tcBorders>
              <w:top w:val="nil"/>
              <w:left w:val="nil"/>
              <w:bottom w:val="nil"/>
              <w:right w:val="nil"/>
            </w:tcBorders>
            <w:shd w:val="clear" w:color="auto" w:fill="FFFFFF"/>
            <w:vAlign w:val="center"/>
          </w:tcPr>
          <w:p w14:paraId="372DF3E0">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0.001</w:t>
            </w:r>
          </w:p>
        </w:tc>
        <w:tc>
          <w:tcPr>
            <w:tcW w:w="455" w:type="pct"/>
            <w:tcBorders>
              <w:top w:val="nil"/>
              <w:left w:val="nil"/>
              <w:bottom w:val="nil"/>
              <w:right w:val="nil"/>
            </w:tcBorders>
            <w:shd w:val="clear" w:color="auto" w:fill="FFFFFF"/>
            <w:vAlign w:val="center"/>
          </w:tcPr>
          <w:p w14:paraId="702E5DA6">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0.002</w:t>
            </w:r>
          </w:p>
        </w:tc>
      </w:tr>
      <w:tr w14:paraId="163B4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2134" w:type="pct"/>
            <w:tcBorders>
              <w:top w:val="nil"/>
              <w:left w:val="nil"/>
              <w:bottom w:val="nil"/>
              <w:right w:val="single" w:color="000000" w:sz="12" w:space="0"/>
            </w:tcBorders>
            <w:shd w:val="clear" w:color="auto" w:fill="FFFFFF"/>
            <w:vAlign w:val="center"/>
          </w:tcPr>
          <w:p w14:paraId="372D074C">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Manufacturing share</w:t>
            </w:r>
          </w:p>
        </w:tc>
        <w:tc>
          <w:tcPr>
            <w:tcW w:w="906" w:type="pct"/>
            <w:tcBorders>
              <w:top w:val="nil"/>
              <w:left w:val="nil"/>
              <w:bottom w:val="nil"/>
              <w:right w:val="nil"/>
            </w:tcBorders>
            <w:shd w:val="clear" w:color="auto" w:fill="FFFFFF"/>
            <w:vAlign w:val="center"/>
          </w:tcPr>
          <w:p w14:paraId="6E33AAFD">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0.012</w:t>
            </w:r>
          </w:p>
        </w:tc>
        <w:tc>
          <w:tcPr>
            <w:tcW w:w="412" w:type="pct"/>
            <w:tcBorders>
              <w:top w:val="nil"/>
              <w:left w:val="nil"/>
              <w:bottom w:val="nil"/>
              <w:right w:val="nil"/>
            </w:tcBorders>
            <w:shd w:val="clear" w:color="auto" w:fill="FFFFFF"/>
            <w:vAlign w:val="center"/>
          </w:tcPr>
          <w:p w14:paraId="5B263928">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0.006</w:t>
            </w:r>
          </w:p>
        </w:tc>
        <w:tc>
          <w:tcPr>
            <w:tcW w:w="678" w:type="pct"/>
            <w:tcBorders>
              <w:top w:val="nil"/>
              <w:left w:val="nil"/>
              <w:bottom w:val="nil"/>
              <w:right w:val="nil"/>
            </w:tcBorders>
            <w:shd w:val="clear" w:color="auto" w:fill="FFFFFF"/>
            <w:vAlign w:val="center"/>
          </w:tcPr>
          <w:p w14:paraId="0D8417D3">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0.015</w:t>
            </w:r>
          </w:p>
        </w:tc>
        <w:tc>
          <w:tcPr>
            <w:tcW w:w="412" w:type="pct"/>
            <w:tcBorders>
              <w:top w:val="nil"/>
              <w:left w:val="nil"/>
              <w:bottom w:val="nil"/>
              <w:right w:val="nil"/>
            </w:tcBorders>
            <w:shd w:val="clear" w:color="auto" w:fill="FFFFFF"/>
            <w:vAlign w:val="center"/>
          </w:tcPr>
          <w:p w14:paraId="0F3F9DC3">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0.008</w:t>
            </w:r>
          </w:p>
        </w:tc>
        <w:tc>
          <w:tcPr>
            <w:tcW w:w="455" w:type="pct"/>
            <w:tcBorders>
              <w:top w:val="nil"/>
              <w:left w:val="nil"/>
              <w:bottom w:val="nil"/>
              <w:right w:val="nil"/>
            </w:tcBorders>
            <w:shd w:val="clear" w:color="auto" w:fill="FFFFFF"/>
            <w:vAlign w:val="center"/>
          </w:tcPr>
          <w:p w14:paraId="7CD2EBD8">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0.003</w:t>
            </w:r>
          </w:p>
        </w:tc>
      </w:tr>
      <w:tr w14:paraId="5387E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2134" w:type="pct"/>
            <w:tcBorders>
              <w:top w:val="nil"/>
              <w:left w:val="nil"/>
              <w:bottom w:val="nil"/>
              <w:right w:val="single" w:color="000000" w:sz="12" w:space="0"/>
            </w:tcBorders>
            <w:shd w:val="clear" w:color="auto" w:fill="FFFFFF"/>
            <w:vAlign w:val="center"/>
          </w:tcPr>
          <w:p w14:paraId="15A0322A">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Other production share</w:t>
            </w:r>
          </w:p>
        </w:tc>
        <w:tc>
          <w:tcPr>
            <w:tcW w:w="906" w:type="pct"/>
            <w:tcBorders>
              <w:top w:val="nil"/>
              <w:left w:val="nil"/>
              <w:bottom w:val="nil"/>
              <w:right w:val="nil"/>
            </w:tcBorders>
            <w:shd w:val="clear" w:color="auto" w:fill="FFFFFF"/>
            <w:vAlign w:val="center"/>
          </w:tcPr>
          <w:p w14:paraId="7302BB75">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0.008</w:t>
            </w:r>
          </w:p>
        </w:tc>
        <w:tc>
          <w:tcPr>
            <w:tcW w:w="412" w:type="pct"/>
            <w:tcBorders>
              <w:top w:val="nil"/>
              <w:left w:val="nil"/>
              <w:bottom w:val="nil"/>
              <w:right w:val="nil"/>
            </w:tcBorders>
            <w:shd w:val="clear" w:color="auto" w:fill="FFFFFF"/>
            <w:vAlign w:val="center"/>
          </w:tcPr>
          <w:p w14:paraId="49BEAAC9">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0.004</w:t>
            </w:r>
          </w:p>
        </w:tc>
        <w:tc>
          <w:tcPr>
            <w:tcW w:w="678" w:type="pct"/>
            <w:tcBorders>
              <w:top w:val="nil"/>
              <w:left w:val="nil"/>
              <w:bottom w:val="nil"/>
              <w:right w:val="nil"/>
            </w:tcBorders>
            <w:shd w:val="clear" w:color="auto" w:fill="FFFFFF"/>
            <w:vAlign w:val="center"/>
          </w:tcPr>
          <w:p w14:paraId="332357D4">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0.011</w:t>
            </w:r>
          </w:p>
        </w:tc>
        <w:tc>
          <w:tcPr>
            <w:tcW w:w="412" w:type="pct"/>
            <w:tcBorders>
              <w:top w:val="nil"/>
              <w:left w:val="nil"/>
              <w:bottom w:val="nil"/>
              <w:right w:val="nil"/>
            </w:tcBorders>
            <w:shd w:val="clear" w:color="auto" w:fill="FFFFFF"/>
            <w:vAlign w:val="center"/>
          </w:tcPr>
          <w:p w14:paraId="3F41335D">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0.006</w:t>
            </w:r>
          </w:p>
        </w:tc>
        <w:tc>
          <w:tcPr>
            <w:tcW w:w="455" w:type="pct"/>
            <w:tcBorders>
              <w:top w:val="nil"/>
              <w:left w:val="nil"/>
              <w:bottom w:val="nil"/>
              <w:right w:val="nil"/>
            </w:tcBorders>
            <w:shd w:val="clear" w:color="auto" w:fill="FFFFFF"/>
            <w:vAlign w:val="center"/>
          </w:tcPr>
          <w:p w14:paraId="121C8BBA">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0.003</w:t>
            </w:r>
          </w:p>
        </w:tc>
      </w:tr>
      <w:tr w14:paraId="0E2A7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2134" w:type="pct"/>
            <w:tcBorders>
              <w:top w:val="nil"/>
              <w:left w:val="nil"/>
              <w:bottom w:val="nil"/>
              <w:right w:val="single" w:color="000000" w:sz="12" w:space="0"/>
            </w:tcBorders>
            <w:shd w:val="clear" w:color="auto" w:fill="FFFFFF"/>
            <w:vAlign w:val="center"/>
          </w:tcPr>
          <w:p w14:paraId="6125B2AA">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Knowledge-services share</w:t>
            </w:r>
          </w:p>
        </w:tc>
        <w:tc>
          <w:tcPr>
            <w:tcW w:w="906" w:type="pct"/>
            <w:tcBorders>
              <w:top w:val="nil"/>
              <w:left w:val="nil"/>
              <w:bottom w:val="nil"/>
              <w:right w:val="nil"/>
            </w:tcBorders>
            <w:shd w:val="clear" w:color="auto" w:fill="FFFFFF"/>
            <w:vAlign w:val="center"/>
          </w:tcPr>
          <w:p w14:paraId="769418B8">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-0.018</w:t>
            </w:r>
          </w:p>
        </w:tc>
        <w:tc>
          <w:tcPr>
            <w:tcW w:w="412" w:type="pct"/>
            <w:tcBorders>
              <w:top w:val="nil"/>
              <w:left w:val="nil"/>
              <w:bottom w:val="nil"/>
              <w:right w:val="nil"/>
            </w:tcBorders>
            <w:shd w:val="clear" w:color="auto" w:fill="FFFFFF"/>
            <w:vAlign w:val="center"/>
          </w:tcPr>
          <w:p w14:paraId="4A386F53">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0.009</w:t>
            </w:r>
          </w:p>
        </w:tc>
        <w:tc>
          <w:tcPr>
            <w:tcW w:w="678" w:type="pct"/>
            <w:tcBorders>
              <w:top w:val="nil"/>
              <w:left w:val="nil"/>
              <w:bottom w:val="nil"/>
              <w:right w:val="nil"/>
            </w:tcBorders>
            <w:shd w:val="clear" w:color="auto" w:fill="FFFFFF"/>
            <w:vAlign w:val="center"/>
          </w:tcPr>
          <w:p w14:paraId="39CBF7A2">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-0.025</w:t>
            </w:r>
          </w:p>
        </w:tc>
        <w:tc>
          <w:tcPr>
            <w:tcW w:w="412" w:type="pct"/>
            <w:tcBorders>
              <w:top w:val="nil"/>
              <w:left w:val="nil"/>
              <w:bottom w:val="nil"/>
              <w:right w:val="nil"/>
            </w:tcBorders>
            <w:shd w:val="clear" w:color="auto" w:fill="FFFFFF"/>
            <w:vAlign w:val="center"/>
          </w:tcPr>
          <w:p w14:paraId="1B9A1AF3">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0.012</w:t>
            </w:r>
          </w:p>
        </w:tc>
        <w:tc>
          <w:tcPr>
            <w:tcW w:w="455" w:type="pct"/>
            <w:tcBorders>
              <w:top w:val="nil"/>
              <w:left w:val="nil"/>
              <w:bottom w:val="nil"/>
              <w:right w:val="nil"/>
            </w:tcBorders>
            <w:shd w:val="clear" w:color="auto" w:fill="FFFFFF"/>
            <w:vAlign w:val="center"/>
          </w:tcPr>
          <w:p w14:paraId="22BC7F45">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-0.007</w:t>
            </w:r>
          </w:p>
        </w:tc>
      </w:tr>
      <w:tr w14:paraId="2FD93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34" w:type="pct"/>
            <w:tcBorders>
              <w:top w:val="nil"/>
              <w:left w:val="nil"/>
              <w:bottom w:val="nil"/>
              <w:right w:val="single" w:color="000000" w:sz="12" w:space="0"/>
            </w:tcBorders>
            <w:shd w:val="clear" w:color="auto" w:fill="FFFFFF"/>
            <w:vAlign w:val="center"/>
          </w:tcPr>
          <w:p w14:paraId="1C24753B">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Occupation level 4 share</w:t>
            </w:r>
          </w:p>
        </w:tc>
        <w:tc>
          <w:tcPr>
            <w:tcW w:w="906" w:type="pct"/>
            <w:tcBorders>
              <w:top w:val="nil"/>
              <w:left w:val="nil"/>
              <w:bottom w:val="nil"/>
              <w:right w:val="nil"/>
            </w:tcBorders>
            <w:shd w:val="clear" w:color="auto" w:fill="FFFFFF"/>
            <w:vAlign w:val="center"/>
          </w:tcPr>
          <w:p w14:paraId="77799E8A">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-0.021</w:t>
            </w:r>
          </w:p>
        </w:tc>
        <w:tc>
          <w:tcPr>
            <w:tcW w:w="412" w:type="pct"/>
            <w:tcBorders>
              <w:top w:val="nil"/>
              <w:left w:val="nil"/>
              <w:bottom w:val="nil"/>
              <w:right w:val="nil"/>
            </w:tcBorders>
            <w:shd w:val="clear" w:color="auto" w:fill="FFFFFF"/>
            <w:vAlign w:val="center"/>
          </w:tcPr>
          <w:p w14:paraId="162214D1">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0.011</w:t>
            </w:r>
          </w:p>
        </w:tc>
        <w:tc>
          <w:tcPr>
            <w:tcW w:w="678" w:type="pct"/>
            <w:tcBorders>
              <w:top w:val="nil"/>
              <w:left w:val="nil"/>
              <w:bottom w:val="nil"/>
              <w:right w:val="nil"/>
            </w:tcBorders>
            <w:shd w:val="clear" w:color="auto" w:fill="FFFFFF"/>
            <w:vAlign w:val="center"/>
          </w:tcPr>
          <w:p w14:paraId="397630F1">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-0.032</w:t>
            </w:r>
          </w:p>
        </w:tc>
        <w:tc>
          <w:tcPr>
            <w:tcW w:w="412" w:type="pct"/>
            <w:tcBorders>
              <w:top w:val="nil"/>
              <w:left w:val="nil"/>
              <w:bottom w:val="nil"/>
              <w:right w:val="nil"/>
            </w:tcBorders>
            <w:shd w:val="clear" w:color="auto" w:fill="FFFFFF"/>
            <w:vAlign w:val="center"/>
          </w:tcPr>
          <w:p w14:paraId="656D9AE8">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0.014</w:t>
            </w:r>
          </w:p>
        </w:tc>
        <w:tc>
          <w:tcPr>
            <w:tcW w:w="455" w:type="pct"/>
            <w:tcBorders>
              <w:top w:val="nil"/>
              <w:left w:val="nil"/>
              <w:bottom w:val="nil"/>
              <w:right w:val="nil"/>
            </w:tcBorders>
            <w:shd w:val="clear" w:color="auto" w:fill="FFFFFF"/>
            <w:vAlign w:val="center"/>
          </w:tcPr>
          <w:p w14:paraId="5C1C2D34">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-0.011</w:t>
            </w:r>
          </w:p>
        </w:tc>
      </w:tr>
      <w:tr w14:paraId="39E68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2134" w:type="pct"/>
            <w:tcBorders>
              <w:top w:val="nil"/>
              <w:left w:val="nil"/>
              <w:bottom w:val="nil"/>
              <w:right w:val="single" w:color="000000" w:sz="12" w:space="0"/>
            </w:tcBorders>
            <w:shd w:val="clear" w:color="auto" w:fill="FFFFFF"/>
            <w:vAlign w:val="center"/>
          </w:tcPr>
          <w:p w14:paraId="7628FCB4">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Occupation level 3 share</w:t>
            </w:r>
          </w:p>
        </w:tc>
        <w:tc>
          <w:tcPr>
            <w:tcW w:w="906" w:type="pct"/>
            <w:tcBorders>
              <w:top w:val="nil"/>
              <w:left w:val="nil"/>
              <w:bottom w:val="nil"/>
              <w:right w:val="nil"/>
            </w:tcBorders>
            <w:shd w:val="clear" w:color="auto" w:fill="FFFFFF"/>
            <w:vAlign w:val="center"/>
          </w:tcPr>
          <w:p w14:paraId="31390BD0">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0.015</w:t>
            </w:r>
          </w:p>
        </w:tc>
        <w:tc>
          <w:tcPr>
            <w:tcW w:w="412" w:type="pct"/>
            <w:tcBorders>
              <w:top w:val="nil"/>
              <w:left w:val="nil"/>
              <w:bottom w:val="nil"/>
              <w:right w:val="nil"/>
            </w:tcBorders>
            <w:shd w:val="clear" w:color="auto" w:fill="FFFFFF"/>
            <w:vAlign w:val="center"/>
          </w:tcPr>
          <w:p w14:paraId="15527B36">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0.008</w:t>
            </w:r>
          </w:p>
        </w:tc>
        <w:tc>
          <w:tcPr>
            <w:tcW w:w="678" w:type="pct"/>
            <w:tcBorders>
              <w:top w:val="nil"/>
              <w:left w:val="nil"/>
              <w:bottom w:val="nil"/>
              <w:right w:val="nil"/>
            </w:tcBorders>
            <w:shd w:val="clear" w:color="auto" w:fill="FFFFFF"/>
            <w:vAlign w:val="center"/>
          </w:tcPr>
          <w:p w14:paraId="3DD1B395">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0.022</w:t>
            </w:r>
          </w:p>
        </w:tc>
        <w:tc>
          <w:tcPr>
            <w:tcW w:w="412" w:type="pct"/>
            <w:tcBorders>
              <w:top w:val="nil"/>
              <w:left w:val="nil"/>
              <w:bottom w:val="nil"/>
              <w:right w:val="nil"/>
            </w:tcBorders>
            <w:shd w:val="clear" w:color="auto" w:fill="FFFFFF"/>
            <w:vAlign w:val="center"/>
          </w:tcPr>
          <w:p w14:paraId="77F3DF45">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0.01</w:t>
            </w:r>
          </w:p>
        </w:tc>
        <w:tc>
          <w:tcPr>
            <w:tcW w:w="455" w:type="pct"/>
            <w:tcBorders>
              <w:top w:val="nil"/>
              <w:left w:val="nil"/>
              <w:bottom w:val="nil"/>
              <w:right w:val="nil"/>
            </w:tcBorders>
            <w:shd w:val="clear" w:color="auto" w:fill="FFFFFF"/>
            <w:vAlign w:val="center"/>
          </w:tcPr>
          <w:p w14:paraId="46DBEEAF">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0.007</w:t>
            </w:r>
          </w:p>
        </w:tc>
      </w:tr>
      <w:tr w14:paraId="76FA3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2134" w:type="pct"/>
            <w:tcBorders>
              <w:top w:val="nil"/>
              <w:left w:val="nil"/>
              <w:bottom w:val="nil"/>
              <w:right w:val="single" w:color="000000" w:sz="12" w:space="0"/>
            </w:tcBorders>
            <w:shd w:val="clear" w:color="auto" w:fill="FFFFFF"/>
            <w:vAlign w:val="center"/>
          </w:tcPr>
          <w:p w14:paraId="157FEEA1">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Occupation level 2 share</w:t>
            </w:r>
          </w:p>
        </w:tc>
        <w:tc>
          <w:tcPr>
            <w:tcW w:w="906" w:type="pct"/>
            <w:tcBorders>
              <w:top w:val="nil"/>
              <w:left w:val="nil"/>
              <w:bottom w:val="nil"/>
              <w:right w:val="nil"/>
            </w:tcBorders>
            <w:shd w:val="clear" w:color="auto" w:fill="FFFFFF"/>
            <w:vAlign w:val="center"/>
          </w:tcPr>
          <w:p w14:paraId="61238252">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0.028</w:t>
            </w:r>
          </w:p>
        </w:tc>
        <w:tc>
          <w:tcPr>
            <w:tcW w:w="412" w:type="pct"/>
            <w:tcBorders>
              <w:top w:val="nil"/>
              <w:left w:val="nil"/>
              <w:bottom w:val="nil"/>
              <w:right w:val="nil"/>
            </w:tcBorders>
            <w:shd w:val="clear" w:color="auto" w:fill="FFFFFF"/>
            <w:vAlign w:val="center"/>
          </w:tcPr>
          <w:p w14:paraId="15D84A06">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0.014</w:t>
            </w:r>
          </w:p>
        </w:tc>
        <w:tc>
          <w:tcPr>
            <w:tcW w:w="678" w:type="pct"/>
            <w:tcBorders>
              <w:top w:val="nil"/>
              <w:left w:val="nil"/>
              <w:bottom w:val="nil"/>
              <w:right w:val="nil"/>
            </w:tcBorders>
            <w:shd w:val="clear" w:color="auto" w:fill="FFFFFF"/>
            <w:vAlign w:val="center"/>
          </w:tcPr>
          <w:p w14:paraId="321AC867">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0.035</w:t>
            </w:r>
          </w:p>
        </w:tc>
        <w:tc>
          <w:tcPr>
            <w:tcW w:w="412" w:type="pct"/>
            <w:tcBorders>
              <w:top w:val="nil"/>
              <w:left w:val="nil"/>
              <w:bottom w:val="nil"/>
              <w:right w:val="nil"/>
            </w:tcBorders>
            <w:shd w:val="clear" w:color="auto" w:fill="FFFFFF"/>
            <w:vAlign w:val="center"/>
          </w:tcPr>
          <w:p w14:paraId="4FE7B080">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0.018</w:t>
            </w:r>
          </w:p>
        </w:tc>
        <w:tc>
          <w:tcPr>
            <w:tcW w:w="455" w:type="pct"/>
            <w:tcBorders>
              <w:top w:val="nil"/>
              <w:left w:val="nil"/>
              <w:bottom w:val="nil"/>
              <w:right w:val="nil"/>
            </w:tcBorders>
            <w:shd w:val="clear" w:color="auto" w:fill="FFFFFF"/>
            <w:vAlign w:val="center"/>
          </w:tcPr>
          <w:p w14:paraId="0EFD32E8">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0.007</w:t>
            </w:r>
          </w:p>
        </w:tc>
      </w:tr>
      <w:tr w14:paraId="3E4C5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2134" w:type="pct"/>
            <w:tcBorders>
              <w:top w:val="nil"/>
              <w:left w:val="nil"/>
              <w:bottom w:val="nil"/>
              <w:right w:val="single" w:color="000000" w:sz="12" w:space="0"/>
            </w:tcBorders>
            <w:shd w:val="clear" w:color="auto" w:fill="FFFFFF"/>
            <w:vAlign w:val="center"/>
          </w:tcPr>
          <w:p w14:paraId="652D7F11">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Short-hours employment share</w:t>
            </w:r>
          </w:p>
        </w:tc>
        <w:tc>
          <w:tcPr>
            <w:tcW w:w="906" w:type="pct"/>
            <w:tcBorders>
              <w:top w:val="nil"/>
              <w:left w:val="nil"/>
              <w:bottom w:val="nil"/>
              <w:right w:val="nil"/>
            </w:tcBorders>
            <w:shd w:val="clear" w:color="auto" w:fill="FFFFFF"/>
            <w:vAlign w:val="center"/>
          </w:tcPr>
          <w:p w14:paraId="57A1E7E9">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0.069</w:t>
            </w:r>
          </w:p>
        </w:tc>
        <w:tc>
          <w:tcPr>
            <w:tcW w:w="412" w:type="pct"/>
            <w:tcBorders>
              <w:top w:val="nil"/>
              <w:left w:val="nil"/>
              <w:bottom w:val="nil"/>
              <w:right w:val="nil"/>
            </w:tcBorders>
            <w:shd w:val="clear" w:color="auto" w:fill="FFFFFF"/>
            <w:vAlign w:val="center"/>
          </w:tcPr>
          <w:p w14:paraId="6F910306">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0.065</w:t>
            </w:r>
          </w:p>
        </w:tc>
        <w:tc>
          <w:tcPr>
            <w:tcW w:w="678" w:type="pct"/>
            <w:tcBorders>
              <w:top w:val="nil"/>
              <w:left w:val="nil"/>
              <w:bottom w:val="nil"/>
              <w:right w:val="nil"/>
            </w:tcBorders>
            <w:shd w:val="clear" w:color="auto" w:fill="FFFFFF"/>
            <w:vAlign w:val="center"/>
          </w:tcPr>
          <w:p w14:paraId="2680CE58">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0.215</w:t>
            </w:r>
          </w:p>
        </w:tc>
        <w:tc>
          <w:tcPr>
            <w:tcW w:w="412" w:type="pct"/>
            <w:tcBorders>
              <w:top w:val="nil"/>
              <w:left w:val="nil"/>
              <w:bottom w:val="nil"/>
              <w:right w:val="nil"/>
            </w:tcBorders>
            <w:shd w:val="clear" w:color="auto" w:fill="FFFFFF"/>
            <w:vAlign w:val="center"/>
          </w:tcPr>
          <w:p w14:paraId="4AF47E8F">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0.078</w:t>
            </w:r>
          </w:p>
        </w:tc>
        <w:tc>
          <w:tcPr>
            <w:tcW w:w="455" w:type="pct"/>
            <w:tcBorders>
              <w:top w:val="nil"/>
              <w:left w:val="nil"/>
              <w:bottom w:val="nil"/>
              <w:right w:val="nil"/>
            </w:tcBorders>
            <w:shd w:val="clear" w:color="auto" w:fill="FFFFFF"/>
            <w:vAlign w:val="center"/>
          </w:tcPr>
          <w:p w14:paraId="09247474">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0.146</w:t>
            </w:r>
          </w:p>
        </w:tc>
      </w:tr>
      <w:tr w14:paraId="6E222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2134" w:type="pct"/>
            <w:tcBorders>
              <w:top w:val="nil"/>
              <w:left w:val="nil"/>
              <w:bottom w:val="nil"/>
              <w:right w:val="single" w:color="000000" w:sz="12" w:space="0"/>
            </w:tcBorders>
            <w:shd w:val="clear" w:color="auto" w:fill="FFFFFF"/>
            <w:vAlign w:val="center"/>
          </w:tcPr>
          <w:p w14:paraId="01A4E771">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Zero-hours prevalence (extension only)</w:t>
            </w:r>
          </w:p>
        </w:tc>
        <w:tc>
          <w:tcPr>
            <w:tcW w:w="906" w:type="pct"/>
            <w:tcBorders>
              <w:top w:val="nil"/>
              <w:left w:val="nil"/>
              <w:bottom w:val="nil"/>
              <w:right w:val="nil"/>
            </w:tcBorders>
            <w:shd w:val="clear" w:color="auto" w:fill="FFFFFF"/>
            <w:vAlign w:val="center"/>
          </w:tcPr>
          <w:p w14:paraId="6F3F2B3F">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0.038</w:t>
            </w:r>
          </w:p>
        </w:tc>
        <w:tc>
          <w:tcPr>
            <w:tcW w:w="412" w:type="pct"/>
            <w:tcBorders>
              <w:top w:val="nil"/>
              <w:left w:val="nil"/>
              <w:bottom w:val="nil"/>
              <w:right w:val="nil"/>
            </w:tcBorders>
            <w:shd w:val="clear" w:color="auto" w:fill="FFFFFF"/>
            <w:vAlign w:val="center"/>
          </w:tcPr>
          <w:p w14:paraId="7C66EBA8">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0.055</w:t>
            </w:r>
          </w:p>
        </w:tc>
        <w:tc>
          <w:tcPr>
            <w:tcW w:w="678" w:type="pct"/>
            <w:tcBorders>
              <w:top w:val="nil"/>
              <w:left w:val="nil"/>
              <w:bottom w:val="nil"/>
              <w:right w:val="nil"/>
            </w:tcBorders>
            <w:shd w:val="clear" w:color="auto" w:fill="FFFFFF"/>
            <w:vAlign w:val="center"/>
          </w:tcPr>
          <w:p w14:paraId="49AC231A">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0.081</w:t>
            </w:r>
          </w:p>
        </w:tc>
        <w:tc>
          <w:tcPr>
            <w:tcW w:w="412" w:type="pct"/>
            <w:tcBorders>
              <w:top w:val="nil"/>
              <w:left w:val="nil"/>
              <w:bottom w:val="nil"/>
              <w:right w:val="nil"/>
            </w:tcBorders>
            <w:shd w:val="clear" w:color="auto" w:fill="FFFFFF"/>
            <w:vAlign w:val="center"/>
          </w:tcPr>
          <w:p w14:paraId="5273A7E6">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0.068</w:t>
            </w:r>
          </w:p>
        </w:tc>
        <w:tc>
          <w:tcPr>
            <w:tcW w:w="455" w:type="pct"/>
            <w:tcBorders>
              <w:top w:val="nil"/>
              <w:left w:val="nil"/>
              <w:bottom w:val="nil"/>
              <w:right w:val="nil"/>
            </w:tcBorders>
            <w:shd w:val="clear" w:color="auto" w:fill="FFFFFF"/>
            <w:vAlign w:val="center"/>
          </w:tcPr>
          <w:p w14:paraId="6EC35814">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0.043</w:t>
            </w:r>
          </w:p>
        </w:tc>
      </w:tr>
      <w:tr w14:paraId="227C7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34" w:type="pct"/>
            <w:tcBorders>
              <w:top w:val="nil"/>
              <w:left w:val="nil"/>
              <w:bottom w:val="nil"/>
              <w:right w:val="single" w:color="000000" w:sz="12" w:space="0"/>
            </w:tcBorders>
            <w:shd w:val="clear" w:color="auto" w:fill="FFFFFF"/>
            <w:vAlign w:val="center"/>
          </w:tcPr>
          <w:p w14:paraId="16FB209E">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Constant</w:t>
            </w:r>
          </w:p>
        </w:tc>
        <w:tc>
          <w:tcPr>
            <w:tcW w:w="906" w:type="pct"/>
            <w:tcBorders>
              <w:top w:val="nil"/>
              <w:left w:val="nil"/>
              <w:bottom w:val="nil"/>
              <w:right w:val="nil"/>
            </w:tcBorders>
            <w:shd w:val="clear" w:color="auto" w:fill="FFFFFF"/>
            <w:vAlign w:val="center"/>
          </w:tcPr>
          <w:p w14:paraId="1424C36F">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-0.012</w:t>
            </w:r>
          </w:p>
        </w:tc>
        <w:tc>
          <w:tcPr>
            <w:tcW w:w="412" w:type="pct"/>
            <w:tcBorders>
              <w:top w:val="nil"/>
              <w:left w:val="nil"/>
              <w:bottom w:val="nil"/>
              <w:right w:val="nil"/>
            </w:tcBorders>
            <w:shd w:val="clear" w:color="auto" w:fill="FFFFFF"/>
            <w:vAlign w:val="center"/>
          </w:tcPr>
          <w:p w14:paraId="7FD2CA8D">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0.008</w:t>
            </w:r>
          </w:p>
        </w:tc>
        <w:tc>
          <w:tcPr>
            <w:tcW w:w="678" w:type="pct"/>
            <w:tcBorders>
              <w:top w:val="nil"/>
              <w:left w:val="nil"/>
              <w:bottom w:val="nil"/>
              <w:right w:val="nil"/>
            </w:tcBorders>
            <w:shd w:val="clear" w:color="auto" w:fill="FFFFFF"/>
            <w:vAlign w:val="center"/>
          </w:tcPr>
          <w:p w14:paraId="15BC4B7C">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-0.008</w:t>
            </w:r>
          </w:p>
        </w:tc>
        <w:tc>
          <w:tcPr>
            <w:tcW w:w="412" w:type="pct"/>
            <w:tcBorders>
              <w:top w:val="nil"/>
              <w:left w:val="nil"/>
              <w:bottom w:val="nil"/>
              <w:right w:val="nil"/>
            </w:tcBorders>
            <w:shd w:val="clear" w:color="auto" w:fill="FFFFFF"/>
            <w:vAlign w:val="center"/>
          </w:tcPr>
          <w:p w14:paraId="3A55A30D">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0.009</w:t>
            </w:r>
          </w:p>
        </w:tc>
        <w:tc>
          <w:tcPr>
            <w:tcW w:w="455" w:type="pct"/>
            <w:tcBorders>
              <w:top w:val="nil"/>
              <w:left w:val="nil"/>
              <w:bottom w:val="nil"/>
              <w:right w:val="nil"/>
            </w:tcBorders>
            <w:shd w:val="clear" w:color="auto" w:fill="FFFFFF"/>
            <w:vAlign w:val="center"/>
          </w:tcPr>
          <w:p w14:paraId="72AB3096">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0.004</w:t>
            </w:r>
          </w:p>
        </w:tc>
      </w:tr>
      <w:tr w14:paraId="77891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2134" w:type="pct"/>
            <w:tcBorders>
              <w:top w:val="nil"/>
              <w:left w:val="nil"/>
              <w:bottom w:val="nil"/>
              <w:right w:val="single" w:color="000000" w:sz="12" w:space="0"/>
            </w:tcBorders>
            <w:shd w:val="clear" w:color="auto" w:fill="FFFFFF"/>
            <w:vAlign w:val="center"/>
          </w:tcPr>
          <w:p w14:paraId="41C32015">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Area N</w:t>
            </w:r>
          </w:p>
        </w:tc>
        <w:tc>
          <w:tcPr>
            <w:tcW w:w="906" w:type="pct"/>
            <w:tcBorders>
              <w:top w:val="nil"/>
              <w:left w:val="nil"/>
              <w:bottom w:val="nil"/>
              <w:right w:val="nil"/>
            </w:tcBorders>
            <w:shd w:val="clear" w:color="auto" w:fill="FFFFFF"/>
            <w:vAlign w:val="center"/>
          </w:tcPr>
          <w:p w14:paraId="1EBE09A4">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175</w:t>
            </w:r>
          </w:p>
        </w:tc>
        <w:tc>
          <w:tcPr>
            <w:tcW w:w="412" w:type="pct"/>
            <w:tcBorders>
              <w:top w:val="nil"/>
              <w:left w:val="nil"/>
              <w:bottom w:val="nil"/>
              <w:right w:val="nil"/>
            </w:tcBorders>
            <w:shd w:val="clear" w:color="auto" w:fill="FFFFFF"/>
            <w:vAlign w:val="center"/>
          </w:tcPr>
          <w:p w14:paraId="2670742D">
            <w:pPr>
              <w:keepNext/>
              <w:snapToGrid w:val="0"/>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678" w:type="pct"/>
            <w:tcBorders>
              <w:top w:val="nil"/>
              <w:left w:val="nil"/>
              <w:bottom w:val="nil"/>
              <w:right w:val="nil"/>
            </w:tcBorders>
            <w:shd w:val="clear" w:color="auto" w:fill="FFFFFF"/>
            <w:vAlign w:val="center"/>
          </w:tcPr>
          <w:p w14:paraId="13B3CC70">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175</w:t>
            </w:r>
          </w:p>
        </w:tc>
        <w:tc>
          <w:tcPr>
            <w:tcW w:w="412" w:type="pct"/>
            <w:tcBorders>
              <w:top w:val="nil"/>
              <w:left w:val="nil"/>
              <w:bottom w:val="nil"/>
              <w:right w:val="nil"/>
            </w:tcBorders>
            <w:shd w:val="clear" w:color="auto" w:fill="FFFFFF"/>
            <w:vAlign w:val="center"/>
          </w:tcPr>
          <w:p w14:paraId="00BB7151">
            <w:pPr>
              <w:keepNext/>
              <w:snapToGrid w:val="0"/>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455" w:type="pct"/>
            <w:tcBorders>
              <w:top w:val="nil"/>
              <w:left w:val="nil"/>
              <w:bottom w:val="nil"/>
              <w:right w:val="nil"/>
            </w:tcBorders>
            <w:shd w:val="clear" w:color="auto" w:fill="FFFFFF"/>
            <w:vAlign w:val="center"/>
          </w:tcPr>
          <w:p w14:paraId="41AC28F0">
            <w:pPr>
              <w:keepNext/>
              <w:snapToGrid w:val="0"/>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r>
      <w:tr w14:paraId="31F15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34" w:type="pct"/>
            <w:tcBorders>
              <w:top w:val="nil"/>
              <w:left w:val="nil"/>
              <w:bottom w:val="nil"/>
              <w:right w:val="single" w:color="000000" w:sz="12" w:space="0"/>
            </w:tcBorders>
            <w:shd w:val="clear" w:color="auto" w:fill="FFFFFF"/>
            <w:vAlign w:val="center"/>
          </w:tcPr>
          <w:p w14:paraId="25A656EA">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R-squared</w:t>
            </w:r>
          </w:p>
        </w:tc>
        <w:tc>
          <w:tcPr>
            <w:tcW w:w="906" w:type="pct"/>
            <w:tcBorders>
              <w:top w:val="nil"/>
              <w:left w:val="nil"/>
              <w:bottom w:val="nil"/>
              <w:right w:val="nil"/>
            </w:tcBorders>
            <w:shd w:val="clear" w:color="auto" w:fill="FFFFFF"/>
            <w:vAlign w:val="center"/>
          </w:tcPr>
          <w:p w14:paraId="6629D2EA">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0.41</w:t>
            </w:r>
          </w:p>
        </w:tc>
        <w:tc>
          <w:tcPr>
            <w:tcW w:w="412" w:type="pct"/>
            <w:tcBorders>
              <w:top w:val="nil"/>
              <w:left w:val="nil"/>
              <w:bottom w:val="nil"/>
              <w:right w:val="nil"/>
            </w:tcBorders>
            <w:shd w:val="clear" w:color="auto" w:fill="FFFFFF"/>
            <w:vAlign w:val="center"/>
          </w:tcPr>
          <w:p w14:paraId="368A2139">
            <w:pPr>
              <w:keepNext/>
              <w:snapToGrid w:val="0"/>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678" w:type="pct"/>
            <w:tcBorders>
              <w:top w:val="nil"/>
              <w:left w:val="nil"/>
              <w:bottom w:val="nil"/>
              <w:right w:val="nil"/>
            </w:tcBorders>
            <w:shd w:val="clear" w:color="auto" w:fill="FFFFFF"/>
            <w:vAlign w:val="center"/>
          </w:tcPr>
          <w:p w14:paraId="340F0711">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0.38</w:t>
            </w:r>
          </w:p>
        </w:tc>
        <w:tc>
          <w:tcPr>
            <w:tcW w:w="412" w:type="pct"/>
            <w:tcBorders>
              <w:top w:val="nil"/>
              <w:left w:val="nil"/>
              <w:bottom w:val="nil"/>
              <w:right w:val="nil"/>
            </w:tcBorders>
            <w:shd w:val="clear" w:color="auto" w:fill="FFFFFF"/>
            <w:vAlign w:val="center"/>
          </w:tcPr>
          <w:p w14:paraId="18CE3BCD">
            <w:pPr>
              <w:keepNext/>
              <w:snapToGrid w:val="0"/>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455" w:type="pct"/>
            <w:tcBorders>
              <w:top w:val="nil"/>
              <w:left w:val="nil"/>
              <w:bottom w:val="nil"/>
              <w:right w:val="nil"/>
            </w:tcBorders>
            <w:shd w:val="clear" w:color="auto" w:fill="FFFFFF"/>
            <w:vAlign w:val="center"/>
          </w:tcPr>
          <w:p w14:paraId="3D92A9B7">
            <w:pPr>
              <w:keepNext/>
              <w:snapToGrid w:val="0"/>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r>
      <w:tr w14:paraId="15E69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2134" w:type="pct"/>
            <w:tcBorders>
              <w:top w:val="nil"/>
              <w:left w:val="nil"/>
              <w:bottom w:val="single" w:color="000000" w:sz="12" w:space="0"/>
              <w:right w:val="single" w:color="000000" w:sz="12" w:space="0"/>
            </w:tcBorders>
            <w:shd w:val="clear" w:color="auto" w:fill="FFFFFF"/>
            <w:vAlign w:val="center"/>
          </w:tcPr>
          <w:p w14:paraId="44C79C82">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Max VIF</w:t>
            </w:r>
          </w:p>
        </w:tc>
        <w:tc>
          <w:tcPr>
            <w:tcW w:w="906" w:type="pct"/>
            <w:tcBorders>
              <w:top w:val="nil"/>
              <w:left w:val="nil"/>
              <w:bottom w:val="single" w:color="000000" w:sz="12" w:space="0"/>
              <w:right w:val="nil"/>
            </w:tcBorders>
            <w:shd w:val="clear" w:color="auto" w:fill="FFFFFF"/>
            <w:vAlign w:val="center"/>
          </w:tcPr>
          <w:p w14:paraId="445F3853">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3.8</w:t>
            </w:r>
          </w:p>
        </w:tc>
        <w:tc>
          <w:tcPr>
            <w:tcW w:w="412" w:type="pct"/>
            <w:tcBorders>
              <w:top w:val="nil"/>
              <w:left w:val="nil"/>
              <w:bottom w:val="single" w:color="000000" w:sz="12" w:space="0"/>
              <w:right w:val="nil"/>
            </w:tcBorders>
            <w:shd w:val="clear" w:color="auto" w:fill="FFFFFF"/>
            <w:vAlign w:val="center"/>
          </w:tcPr>
          <w:p w14:paraId="67C8D02C">
            <w:pPr>
              <w:keepNext/>
              <w:snapToGrid w:val="0"/>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678" w:type="pct"/>
            <w:tcBorders>
              <w:top w:val="nil"/>
              <w:left w:val="nil"/>
              <w:bottom w:val="single" w:color="000000" w:sz="12" w:space="0"/>
              <w:right w:val="nil"/>
            </w:tcBorders>
            <w:shd w:val="clear" w:color="auto" w:fill="FFFFFF"/>
            <w:vAlign w:val="center"/>
          </w:tcPr>
          <w:p w14:paraId="37E4766C">
            <w:pPr>
              <w:keepNext/>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3.8</w:t>
            </w:r>
          </w:p>
        </w:tc>
        <w:tc>
          <w:tcPr>
            <w:tcW w:w="412" w:type="pct"/>
            <w:tcBorders>
              <w:top w:val="nil"/>
              <w:left w:val="nil"/>
              <w:bottom w:val="single" w:color="000000" w:sz="12" w:space="0"/>
              <w:right w:val="nil"/>
            </w:tcBorders>
            <w:shd w:val="clear" w:color="auto" w:fill="FFFFFF"/>
            <w:vAlign w:val="center"/>
          </w:tcPr>
          <w:p w14:paraId="067EC4A9">
            <w:pPr>
              <w:keepNext/>
              <w:snapToGrid w:val="0"/>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455" w:type="pct"/>
            <w:tcBorders>
              <w:top w:val="nil"/>
              <w:left w:val="nil"/>
              <w:bottom w:val="single" w:color="000000" w:sz="12" w:space="0"/>
              <w:right w:val="nil"/>
            </w:tcBorders>
            <w:shd w:val="clear" w:color="auto" w:fill="FFFFFF"/>
            <w:noWrap/>
            <w:vAlign w:val="center"/>
          </w:tcPr>
          <w:p w14:paraId="32E9B901">
            <w:pPr>
              <w:keepNext/>
              <w:snapToGrid w:val="0"/>
              <w:ind w:left="0" w:leftChars="0" w:right="0" w:rightChars="0" w:firstLine="0" w:firstLineChars="0"/>
              <w:jc w:val="center"/>
              <w:rPr>
                <w:rFonts w:hint="eastAsia" w:ascii="Times New Roman" w:hAnsi="宋体" w:eastAsia="宋体" w:cs="宋体"/>
                <w:i w:val="0"/>
                <w:iCs w:val="0"/>
                <w:color w:val="000000"/>
                <w:sz w:val="24"/>
                <w:szCs w:val="22"/>
                <w:u w:val="none"/>
              </w:rPr>
            </w:pPr>
          </w:p>
        </w:tc>
      </w:tr>
    </w:tbl>
    <w:p w14:paraId="40112AEE">
      <w:pPr>
        <w:pageBreakBefore w:val="0"/>
        <w:widowControl/>
        <w:kinsoku/>
        <w:wordWrap/>
        <w:overflowPunct/>
        <w:topLinePunct w:val="0"/>
        <w:autoSpaceDE/>
        <w:autoSpaceDN/>
        <w:bidi w:val="0"/>
        <w:adjustRightInd/>
        <w:snapToGrid/>
        <w:spacing w:before="0" w:after="160" w:line="240" w:lineRule="auto"/>
        <w:ind w:firstLine="0"/>
        <w:jc w:val="left"/>
        <w:textAlignment w:val="auto"/>
        <w:rPr>
          <w:rFonts w:hint="default" w:ascii="Times New Roman" w:hAnsi="Times New Roman" w:cs="Times New Roman"/>
          <w:i/>
          <w:iCs w:val="0"/>
          <w:sz w:val="24"/>
          <w:szCs w:val="24"/>
        </w:rPr>
      </w:pPr>
      <w:r>
        <w:rPr>
          <w:rFonts w:hint="default" w:ascii="Times New Roman" w:hAnsi="Times New Roman" w:eastAsia="Times New Roman" w:cs="Times New Roman"/>
          <w:i/>
          <w:iCs w:val="0"/>
          <w:sz w:val="24"/>
          <w:szCs w:val="24"/>
        </w:rPr>
        <w:t>Note. Unemployment/slack, GVA, industry and occupation form the structural labour-market baseline; short-hours and zero-hours prevalence form the exploratory hours-structure extension. Area-level robust SEs condition on estimated first-stage area effects and do not fully propagate generated-regressor uncertainty. The b1-b0 column is an arithmetic difference without a cross-equation SE. No bootstrap CI or superiority test is reconstructed from disclosure-cleared outputs.</w:t>
      </w:r>
    </w:p>
    <w:p w14:paraId="436D32E2">
      <w:pPr>
        <w:pStyle w:val="3"/>
        <w:keepNext/>
        <w:pageBreakBefore w:val="0"/>
        <w:widowControl/>
        <w:kinsoku/>
        <w:wordWrap/>
        <w:overflowPunct/>
        <w:topLinePunct w:val="0"/>
        <w:autoSpaceDE/>
        <w:autoSpaceDN/>
        <w:bidi w:val="0"/>
        <w:adjustRightInd/>
        <w:snapToGrid/>
        <w:spacing w:before="0" w:after="160" w:line="240" w:lineRule="auto"/>
        <w:ind w:firstLine="0"/>
        <w:jc w:val="both"/>
        <w:textAlignment w:val="auto"/>
        <w:rPr>
          <w:rFonts w:hint="default" w:ascii="Times New Roman" w:hAnsi="Times New Roman" w:eastAsia="Times New Roman" w:cs="Times New Roman"/>
          <w:b/>
          <w:i w:val="0"/>
          <w:sz w:val="24"/>
          <w:szCs w:val="24"/>
        </w:rPr>
      </w:pPr>
    </w:p>
    <w:p w14:paraId="5373CD14">
      <w:pPr>
        <w:pStyle w:val="3"/>
        <w:keepNext/>
        <w:pageBreakBefore w:val="0"/>
        <w:widowControl/>
        <w:kinsoku/>
        <w:wordWrap/>
        <w:overflowPunct/>
        <w:topLinePunct w:val="0"/>
        <w:autoSpaceDE/>
        <w:autoSpaceDN/>
        <w:bidi w:val="0"/>
        <w:adjustRightInd/>
        <w:snapToGrid/>
        <w:spacing w:before="0" w:after="160" w:line="240" w:lineRule="auto"/>
        <w:ind w:firstLine="0"/>
        <w:jc w:val="both"/>
        <w:textAlignment w:val="auto"/>
        <w:rPr>
          <w:rFonts w:hint="default" w:ascii="Times New Roman" w:hAnsi="Times New Roman" w:cs="Times New Roman"/>
          <w:sz w:val="28"/>
          <w:szCs w:val="28"/>
        </w:rPr>
      </w:pPr>
      <w:r>
        <w:rPr>
          <w:rFonts w:hint="default" w:ascii="Times New Roman" w:hAnsi="Times New Roman" w:eastAsia="Times New Roman" w:cs="Times New Roman"/>
          <w:b/>
          <w:i w:val="0"/>
          <w:sz w:val="28"/>
          <w:szCs w:val="28"/>
        </w:rPr>
        <w:t>Supplementary Appendix C. Selected spatial decomposition summaries</w:t>
      </w:r>
    </w:p>
    <w:p w14:paraId="60251C45">
      <w:pPr>
        <w:pStyle w:val="4"/>
        <w:keepNext/>
        <w:pageBreakBefore w:val="0"/>
        <w:widowControl/>
        <w:kinsoku/>
        <w:wordWrap/>
        <w:overflowPunct/>
        <w:topLinePunct w:val="0"/>
        <w:autoSpaceDE/>
        <w:autoSpaceDN/>
        <w:bidi w:val="0"/>
        <w:adjustRightInd/>
        <w:snapToGrid/>
        <w:spacing w:before="0" w:after="160" w:line="240" w:lineRule="auto"/>
        <w:ind w:firstLine="0"/>
        <w:jc w:val="both"/>
        <w:textAlignment w:val="auto"/>
        <w:rPr>
          <w:rFonts w:hint="default" w:ascii="Times New Roman" w:hAnsi="Times New Roman" w:cs="Times New Roman"/>
          <w:sz w:val="24"/>
          <w:szCs w:val="24"/>
        </w:rPr>
      </w:pPr>
      <w:r>
        <w:rPr>
          <w:rFonts w:hint="default" w:ascii="Times New Roman" w:hAnsi="Times New Roman" w:eastAsia="Times New Roman" w:cs="Times New Roman"/>
          <w:b/>
          <w:i w:val="0"/>
          <w:sz w:val="24"/>
          <w:szCs w:val="24"/>
        </w:rPr>
        <w:t>C1. Area-level gap and component table</w:t>
      </w:r>
    </w:p>
    <w:p w14:paraId="4EE7DED2">
      <w:pPr>
        <w:keepNext w:val="0"/>
        <w:keepLines w:val="0"/>
        <w:pageBreakBefore w:val="0"/>
        <w:widowControl/>
        <w:kinsoku/>
        <w:wordWrap/>
        <w:overflowPunct/>
        <w:topLinePunct w:val="0"/>
        <w:autoSpaceDE/>
        <w:autoSpaceDN/>
        <w:bidi w:val="0"/>
        <w:adjustRightInd/>
        <w:snapToGrid/>
        <w:spacing w:before="0" w:after="160" w:line="240" w:lineRule="auto"/>
        <w:ind w:firstLine="0"/>
        <w:jc w:val="both"/>
        <w:textAlignment w:val="auto"/>
        <w:rPr>
          <w:rFonts w:hint="default" w:ascii="Times New Roman" w:hAnsi="Times New Roman" w:cs="Times New Roman"/>
          <w:b w:val="0"/>
          <w:bCs/>
          <w:sz w:val="24"/>
          <w:szCs w:val="24"/>
        </w:rPr>
      </w:pPr>
      <w:r>
        <w:rPr>
          <w:rFonts w:hint="default" w:ascii="Times New Roman" w:hAnsi="Times New Roman" w:eastAsia="Times New Roman" w:cs="Times New Roman"/>
          <w:b w:val="0"/>
          <w:bCs/>
          <w:sz w:val="24"/>
          <w:szCs w:val="24"/>
        </w:rPr>
        <w:t>Table C1 gives five disclosure-cleared local examples. Because precision varies across areas, these values illustrate the accounting rather than rank local performance; general inference relies on full-study distributional and component summaries.</w:t>
      </w:r>
    </w:p>
    <w:p w14:paraId="4EA44138">
      <w:pPr>
        <w:keepNext/>
        <w:pageBreakBefore w:val="0"/>
        <w:widowControl/>
        <w:kinsoku/>
        <w:wordWrap/>
        <w:overflowPunct/>
        <w:topLinePunct w:val="0"/>
        <w:autoSpaceDE/>
        <w:autoSpaceDN/>
        <w:bidi w:val="0"/>
        <w:adjustRightInd/>
        <w:snapToGrid/>
        <w:spacing w:before="0" w:after="160" w:line="240" w:lineRule="auto"/>
        <w:ind w:firstLine="0"/>
        <w:jc w:val="center"/>
        <w:textAlignment w:val="auto"/>
        <w:rPr>
          <w:rFonts w:hint="default" w:ascii="Times New Roman" w:hAnsi="Times New Roman" w:cs="Times New Roman"/>
          <w:sz w:val="24"/>
          <w:szCs w:val="24"/>
        </w:rPr>
      </w:pPr>
      <w:r>
        <w:rPr>
          <w:rFonts w:hint="default" w:ascii="Times New Roman" w:hAnsi="Times New Roman" w:eastAsia="Times New Roman" w:cs="Times New Roman"/>
          <w:b/>
          <w:sz w:val="24"/>
          <w:szCs w:val="24"/>
        </w:rPr>
        <w:t xml:space="preserve">Table C1. </w:t>
      </w:r>
      <w:r>
        <w:rPr>
          <w:rFonts w:hint="default" w:ascii="Times New Roman" w:hAnsi="Times New Roman" w:eastAsia="Times New Roman" w:cs="Times New Roman"/>
          <w:sz w:val="24"/>
          <w:szCs w:val="24"/>
        </w:rPr>
        <w:t>Selected local underemployment-rate examples</w:t>
      </w:r>
    </w:p>
    <w:tbl>
      <w:tblPr>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2138"/>
        <w:gridCol w:w="2870"/>
        <w:gridCol w:w="3171"/>
        <w:gridCol w:w="1057"/>
      </w:tblGrid>
      <w:tr w14:paraId="6A885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blHeader/>
          <w:jc w:val="center"/>
        </w:trPr>
        <w:tc>
          <w:tcPr>
            <w:tcW w:w="1157" w:type="pct"/>
            <w:tcBorders>
              <w:top w:val="single" w:color="000000" w:sz="12" w:space="0"/>
              <w:left w:val="nil"/>
              <w:bottom w:val="single" w:color="000000" w:sz="8" w:space="0"/>
              <w:right w:val="single" w:color="000000" w:sz="12" w:space="0"/>
            </w:tcBorders>
            <w:shd w:val="clear" w:color="auto" w:fill="FFFFFF"/>
            <w:vAlign w:val="center"/>
          </w:tcPr>
          <w:p w14:paraId="589EBC2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Study area (author label)</w:t>
            </w:r>
          </w:p>
        </w:tc>
        <w:tc>
          <w:tcPr>
            <w:tcW w:w="1553" w:type="pct"/>
            <w:tcBorders>
              <w:top w:val="single" w:color="000000" w:sz="12" w:space="0"/>
              <w:left w:val="nil"/>
              <w:bottom w:val="single" w:color="000000" w:sz="8" w:space="0"/>
              <w:right w:val="nil"/>
            </w:tcBorders>
            <w:shd w:val="clear" w:color="auto" w:fill="FFFFFF"/>
            <w:vAlign w:val="center"/>
          </w:tcPr>
          <w:p w14:paraId="33BD311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Disabled underemployment %</w:t>
            </w:r>
          </w:p>
        </w:tc>
        <w:tc>
          <w:tcPr>
            <w:tcW w:w="1716" w:type="pct"/>
            <w:tcBorders>
              <w:top w:val="single" w:color="000000" w:sz="12" w:space="0"/>
              <w:left w:val="nil"/>
              <w:bottom w:val="single" w:color="000000" w:sz="8" w:space="0"/>
              <w:right w:val="nil"/>
            </w:tcBorders>
            <w:shd w:val="clear" w:color="auto" w:fill="FFFFFF"/>
            <w:vAlign w:val="center"/>
          </w:tcPr>
          <w:p w14:paraId="0CB5169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Non-disabled underemployment %</w:t>
            </w:r>
          </w:p>
        </w:tc>
        <w:tc>
          <w:tcPr>
            <w:tcW w:w="572" w:type="pct"/>
            <w:tcBorders>
              <w:top w:val="single" w:color="000000" w:sz="12" w:space="0"/>
              <w:left w:val="nil"/>
              <w:bottom w:val="single" w:color="000000" w:sz="8" w:space="0"/>
              <w:right w:val="nil"/>
            </w:tcBorders>
            <w:shd w:val="clear" w:color="auto" w:fill="FFFFFF"/>
            <w:vAlign w:val="center"/>
          </w:tcPr>
          <w:p w14:paraId="30B2904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DUG (pp)</w:t>
            </w:r>
          </w:p>
        </w:tc>
      </w:tr>
      <w:tr w14:paraId="544E7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1157" w:type="pct"/>
            <w:tcBorders>
              <w:top w:val="nil"/>
              <w:left w:val="nil"/>
              <w:bottom w:val="nil"/>
              <w:right w:val="single" w:color="000000" w:sz="12" w:space="0"/>
            </w:tcBorders>
            <w:shd w:val="clear" w:color="auto" w:fill="FFFFFF"/>
            <w:vAlign w:val="center"/>
          </w:tcPr>
          <w:p w14:paraId="2DF8205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Glasgow City</w:t>
            </w:r>
          </w:p>
        </w:tc>
        <w:tc>
          <w:tcPr>
            <w:tcW w:w="1553" w:type="pct"/>
            <w:tcBorders>
              <w:top w:val="nil"/>
              <w:left w:val="nil"/>
              <w:bottom w:val="nil"/>
              <w:right w:val="nil"/>
            </w:tcBorders>
            <w:shd w:val="clear" w:color="auto" w:fill="FFFFFF"/>
            <w:vAlign w:val="center"/>
          </w:tcPr>
          <w:p w14:paraId="1DBEA39D">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16.8</w:t>
            </w:r>
          </w:p>
        </w:tc>
        <w:tc>
          <w:tcPr>
            <w:tcW w:w="1716" w:type="pct"/>
            <w:tcBorders>
              <w:top w:val="nil"/>
              <w:left w:val="nil"/>
              <w:bottom w:val="nil"/>
              <w:right w:val="nil"/>
            </w:tcBorders>
            <w:shd w:val="clear" w:color="auto" w:fill="FFFFFF"/>
            <w:vAlign w:val="center"/>
          </w:tcPr>
          <w:p w14:paraId="61084968">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5.4</w:t>
            </w:r>
          </w:p>
        </w:tc>
        <w:tc>
          <w:tcPr>
            <w:tcW w:w="572" w:type="pct"/>
            <w:tcBorders>
              <w:top w:val="nil"/>
              <w:left w:val="nil"/>
              <w:bottom w:val="nil"/>
              <w:right w:val="nil"/>
            </w:tcBorders>
            <w:shd w:val="clear" w:color="auto" w:fill="FFFFFF"/>
            <w:vAlign w:val="center"/>
          </w:tcPr>
          <w:p w14:paraId="5633C0F0">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11.4</w:t>
            </w:r>
          </w:p>
        </w:tc>
      </w:tr>
      <w:tr w14:paraId="044BF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57" w:type="pct"/>
            <w:tcBorders>
              <w:top w:val="nil"/>
              <w:left w:val="nil"/>
              <w:bottom w:val="nil"/>
              <w:right w:val="single" w:color="000000" w:sz="12" w:space="0"/>
            </w:tcBorders>
            <w:shd w:val="clear" w:color="auto" w:fill="FFFFFF"/>
            <w:vAlign w:val="center"/>
          </w:tcPr>
          <w:p w14:paraId="1F97205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Wiltshire</w:t>
            </w:r>
          </w:p>
        </w:tc>
        <w:tc>
          <w:tcPr>
            <w:tcW w:w="1553" w:type="pct"/>
            <w:tcBorders>
              <w:top w:val="nil"/>
              <w:left w:val="nil"/>
              <w:bottom w:val="nil"/>
              <w:right w:val="nil"/>
            </w:tcBorders>
            <w:shd w:val="clear" w:color="auto" w:fill="FFFFFF"/>
            <w:vAlign w:val="center"/>
          </w:tcPr>
          <w:p w14:paraId="32C6F587">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5.2</w:t>
            </w:r>
          </w:p>
        </w:tc>
        <w:tc>
          <w:tcPr>
            <w:tcW w:w="1716" w:type="pct"/>
            <w:tcBorders>
              <w:top w:val="nil"/>
              <w:left w:val="nil"/>
              <w:bottom w:val="nil"/>
              <w:right w:val="nil"/>
            </w:tcBorders>
            <w:shd w:val="clear" w:color="auto" w:fill="FFFFFF"/>
            <w:vAlign w:val="center"/>
          </w:tcPr>
          <w:p w14:paraId="3F2B5DC9">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10.8</w:t>
            </w:r>
          </w:p>
        </w:tc>
        <w:tc>
          <w:tcPr>
            <w:tcW w:w="572" w:type="pct"/>
            <w:tcBorders>
              <w:top w:val="nil"/>
              <w:left w:val="nil"/>
              <w:bottom w:val="nil"/>
              <w:right w:val="nil"/>
            </w:tcBorders>
            <w:shd w:val="clear" w:color="auto" w:fill="FFFFFF"/>
            <w:vAlign w:val="center"/>
          </w:tcPr>
          <w:p w14:paraId="2BF931B6">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-5.6</w:t>
            </w:r>
          </w:p>
        </w:tc>
      </w:tr>
      <w:tr w14:paraId="4BA69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57" w:type="pct"/>
            <w:tcBorders>
              <w:top w:val="nil"/>
              <w:left w:val="nil"/>
              <w:bottom w:val="nil"/>
              <w:right w:val="single" w:color="000000" w:sz="12" w:space="0"/>
            </w:tcBorders>
            <w:shd w:val="clear" w:color="auto" w:fill="FFFFFF"/>
            <w:vAlign w:val="center"/>
          </w:tcPr>
          <w:p w14:paraId="3B5CE66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City of London</w:t>
            </w:r>
          </w:p>
        </w:tc>
        <w:tc>
          <w:tcPr>
            <w:tcW w:w="1553" w:type="pct"/>
            <w:tcBorders>
              <w:top w:val="nil"/>
              <w:left w:val="nil"/>
              <w:bottom w:val="nil"/>
              <w:right w:val="nil"/>
            </w:tcBorders>
            <w:shd w:val="clear" w:color="auto" w:fill="FFFFFF"/>
            <w:vAlign w:val="center"/>
          </w:tcPr>
          <w:p w14:paraId="11716396">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12.4</w:t>
            </w:r>
          </w:p>
        </w:tc>
        <w:tc>
          <w:tcPr>
            <w:tcW w:w="1716" w:type="pct"/>
            <w:tcBorders>
              <w:top w:val="nil"/>
              <w:left w:val="nil"/>
              <w:bottom w:val="nil"/>
              <w:right w:val="nil"/>
            </w:tcBorders>
            <w:shd w:val="clear" w:color="auto" w:fill="FFFFFF"/>
            <w:vAlign w:val="center"/>
          </w:tcPr>
          <w:p w14:paraId="76D99862">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5.8</w:t>
            </w:r>
          </w:p>
        </w:tc>
        <w:tc>
          <w:tcPr>
            <w:tcW w:w="572" w:type="pct"/>
            <w:tcBorders>
              <w:top w:val="nil"/>
              <w:left w:val="nil"/>
              <w:bottom w:val="nil"/>
              <w:right w:val="nil"/>
            </w:tcBorders>
            <w:shd w:val="clear" w:color="auto" w:fill="FFFFFF"/>
            <w:vAlign w:val="center"/>
          </w:tcPr>
          <w:p w14:paraId="107DBD66">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6.6</w:t>
            </w:r>
          </w:p>
        </w:tc>
      </w:tr>
      <w:tr w14:paraId="73DA4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1157" w:type="pct"/>
            <w:tcBorders>
              <w:top w:val="nil"/>
              <w:left w:val="nil"/>
              <w:bottom w:val="nil"/>
              <w:right w:val="single" w:color="000000" w:sz="12" w:space="0"/>
            </w:tcBorders>
            <w:shd w:val="clear" w:color="auto" w:fill="FFFFFF"/>
            <w:vAlign w:val="center"/>
          </w:tcPr>
          <w:p w14:paraId="29EAD1C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Cornwall</w:t>
            </w:r>
          </w:p>
        </w:tc>
        <w:tc>
          <w:tcPr>
            <w:tcW w:w="1553" w:type="pct"/>
            <w:tcBorders>
              <w:top w:val="nil"/>
              <w:left w:val="nil"/>
              <w:bottom w:val="nil"/>
              <w:right w:val="nil"/>
            </w:tcBorders>
            <w:shd w:val="clear" w:color="auto" w:fill="FFFFFF"/>
            <w:vAlign w:val="center"/>
          </w:tcPr>
          <w:p w14:paraId="783051F0">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14.2</w:t>
            </w:r>
          </w:p>
        </w:tc>
        <w:tc>
          <w:tcPr>
            <w:tcW w:w="1716" w:type="pct"/>
            <w:tcBorders>
              <w:top w:val="nil"/>
              <w:left w:val="nil"/>
              <w:bottom w:val="nil"/>
              <w:right w:val="nil"/>
            </w:tcBorders>
            <w:shd w:val="clear" w:color="auto" w:fill="FFFFFF"/>
            <w:vAlign w:val="center"/>
          </w:tcPr>
          <w:p w14:paraId="46F10568">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8.4</w:t>
            </w:r>
          </w:p>
        </w:tc>
        <w:tc>
          <w:tcPr>
            <w:tcW w:w="572" w:type="pct"/>
            <w:tcBorders>
              <w:top w:val="nil"/>
              <w:left w:val="nil"/>
              <w:bottom w:val="nil"/>
              <w:right w:val="nil"/>
            </w:tcBorders>
            <w:shd w:val="clear" w:color="auto" w:fill="FFFFFF"/>
            <w:vAlign w:val="center"/>
          </w:tcPr>
          <w:p w14:paraId="1595B5C1">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5.8</w:t>
            </w:r>
          </w:p>
        </w:tc>
      </w:tr>
      <w:tr w14:paraId="58D7C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1157" w:type="pct"/>
            <w:tcBorders>
              <w:top w:val="nil"/>
              <w:left w:val="nil"/>
              <w:bottom w:val="single" w:color="000000" w:sz="12" w:space="0"/>
              <w:right w:val="single" w:color="000000" w:sz="12" w:space="0"/>
            </w:tcBorders>
            <w:shd w:val="clear" w:color="auto" w:fill="FFFFFF"/>
            <w:vAlign w:val="center"/>
          </w:tcPr>
          <w:p w14:paraId="47099D2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West Cumbria</w:t>
            </w:r>
          </w:p>
        </w:tc>
        <w:tc>
          <w:tcPr>
            <w:tcW w:w="1553" w:type="pct"/>
            <w:tcBorders>
              <w:top w:val="nil"/>
              <w:left w:val="nil"/>
              <w:bottom w:val="single" w:color="000000" w:sz="12" w:space="0"/>
              <w:right w:val="nil"/>
            </w:tcBorders>
            <w:shd w:val="clear" w:color="auto" w:fill="FFFFFF"/>
            <w:vAlign w:val="center"/>
          </w:tcPr>
          <w:p w14:paraId="09D31966">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13.5</w:t>
            </w:r>
          </w:p>
        </w:tc>
        <w:tc>
          <w:tcPr>
            <w:tcW w:w="1716" w:type="pct"/>
            <w:tcBorders>
              <w:top w:val="nil"/>
              <w:left w:val="nil"/>
              <w:bottom w:val="single" w:color="000000" w:sz="12" w:space="0"/>
              <w:right w:val="nil"/>
            </w:tcBorders>
            <w:shd w:val="clear" w:color="auto" w:fill="FFFFFF"/>
            <w:vAlign w:val="center"/>
          </w:tcPr>
          <w:p w14:paraId="48304144">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7.2</w:t>
            </w:r>
          </w:p>
        </w:tc>
        <w:tc>
          <w:tcPr>
            <w:tcW w:w="572" w:type="pct"/>
            <w:tcBorders>
              <w:top w:val="nil"/>
              <w:left w:val="nil"/>
              <w:bottom w:val="single" w:color="000000" w:sz="12" w:space="0"/>
              <w:right w:val="nil"/>
            </w:tcBorders>
            <w:shd w:val="clear" w:color="auto" w:fill="FFFFFF"/>
            <w:vAlign w:val="center"/>
          </w:tcPr>
          <w:p w14:paraId="0E826D0B">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6.3</w:t>
            </w:r>
          </w:p>
        </w:tc>
      </w:tr>
    </w:tbl>
    <w:p w14:paraId="479EE076">
      <w:pPr>
        <w:pageBreakBefore w:val="0"/>
        <w:widowControl/>
        <w:kinsoku/>
        <w:wordWrap/>
        <w:overflowPunct/>
        <w:topLinePunct w:val="0"/>
        <w:autoSpaceDE/>
        <w:autoSpaceDN/>
        <w:bidi w:val="0"/>
        <w:adjustRightInd/>
        <w:snapToGrid/>
        <w:spacing w:before="0" w:after="160" w:line="240" w:lineRule="auto"/>
        <w:ind w:firstLine="0"/>
        <w:jc w:val="left"/>
        <w:textAlignment w:val="auto"/>
        <w:rPr>
          <w:rFonts w:hint="default" w:ascii="Times New Roman" w:hAnsi="Times New Roman" w:eastAsia="Times New Roman" w:cs="Times New Roman"/>
          <w:i/>
          <w:iCs w:val="0"/>
          <w:sz w:val="24"/>
          <w:szCs w:val="24"/>
        </w:rPr>
      </w:pPr>
      <w:r>
        <w:rPr>
          <w:rFonts w:hint="default" w:ascii="Times New Roman" w:hAnsi="Times New Roman" w:eastAsia="Times New Roman" w:cs="Times New Roman"/>
          <w:i/>
          <w:iCs w:val="0"/>
          <w:sz w:val="24"/>
          <w:szCs w:val="24"/>
        </w:rPr>
        <w:t>Note. Table C1 reports selected disclosure-cleared raw group rates and DUGs. Values should be read jointly with the local precision diagnostics in Table A3. The manuscript's general inference relies on aggregate distributional and component summaries rather than a complete public local ranking; the Glasgow City and Wiltshire endpoints are used only to illustrate the accounting identity.</w:t>
      </w:r>
    </w:p>
    <w:p w14:paraId="7CB97926">
      <w:pPr>
        <w:pageBreakBefore w:val="0"/>
        <w:widowControl/>
        <w:kinsoku/>
        <w:wordWrap/>
        <w:overflowPunct/>
        <w:topLinePunct w:val="0"/>
        <w:autoSpaceDE/>
        <w:autoSpaceDN/>
        <w:bidi w:val="0"/>
        <w:adjustRightInd/>
        <w:snapToGrid/>
        <w:spacing w:before="0" w:after="160" w:line="240" w:lineRule="auto"/>
        <w:ind w:firstLine="0"/>
        <w:jc w:val="left"/>
        <w:textAlignment w:val="auto"/>
        <w:rPr>
          <w:rFonts w:hint="default" w:ascii="Times New Roman" w:hAnsi="Times New Roman" w:eastAsia="Times New Roman" w:cs="Times New Roman"/>
          <w:i/>
          <w:iCs w:val="0"/>
          <w:sz w:val="24"/>
          <w:szCs w:val="24"/>
        </w:rPr>
      </w:pPr>
    </w:p>
    <w:p w14:paraId="241DB5D9">
      <w:pPr>
        <w:pStyle w:val="4"/>
        <w:keepNext/>
        <w:pageBreakBefore w:val="0"/>
        <w:widowControl/>
        <w:kinsoku/>
        <w:wordWrap/>
        <w:overflowPunct/>
        <w:topLinePunct w:val="0"/>
        <w:autoSpaceDE/>
        <w:autoSpaceDN/>
        <w:bidi w:val="0"/>
        <w:adjustRightInd/>
        <w:snapToGrid/>
        <w:spacing w:before="0" w:after="160" w:line="240" w:lineRule="auto"/>
        <w:ind w:firstLine="0"/>
        <w:jc w:val="both"/>
        <w:textAlignment w:val="auto"/>
        <w:rPr>
          <w:rFonts w:hint="default" w:ascii="Times New Roman" w:hAnsi="Times New Roman" w:cs="Times New Roman"/>
          <w:sz w:val="24"/>
          <w:szCs w:val="24"/>
        </w:rPr>
      </w:pPr>
      <w:r>
        <w:rPr>
          <w:rFonts w:hint="default" w:ascii="Times New Roman" w:hAnsi="Times New Roman" w:eastAsia="Times New Roman" w:cs="Times New Roman"/>
          <w:b/>
          <w:i w:val="0"/>
          <w:sz w:val="24"/>
          <w:szCs w:val="24"/>
        </w:rPr>
        <w:t>C2. Detailed observed place components</w:t>
      </w:r>
    </w:p>
    <w:p>
      <w:pPr/>
      <w:r>
        <w:t>Table C2 reports the detailed component dispersions and zero-component counterfactuals.</w:t>
      </w:r>
    </w:p>
    <w:p w14:paraId="658ECA92">
      <w:pPr>
        <w:keepNext/>
        <w:pageBreakBefore w:val="0"/>
        <w:widowControl/>
        <w:kinsoku/>
        <w:wordWrap/>
        <w:overflowPunct/>
        <w:topLinePunct w:val="0"/>
        <w:autoSpaceDE/>
        <w:autoSpaceDN/>
        <w:bidi w:val="0"/>
        <w:adjustRightInd/>
        <w:snapToGrid/>
        <w:spacing w:before="0" w:after="160" w:line="240" w:lineRule="auto"/>
        <w:ind w:firstLine="0"/>
        <w:jc w:val="center"/>
        <w:textAlignment w:val="auto"/>
        <w:rPr>
          <w:rFonts w:hint="default" w:ascii="Times New Roman" w:hAnsi="Times New Roman" w:cs="Times New Roman"/>
          <w:sz w:val="24"/>
          <w:szCs w:val="24"/>
        </w:rPr>
      </w:pPr>
      <w:r>
        <w:rPr>
          <w:rFonts w:hint="default" w:ascii="Times New Roman" w:hAnsi="Times New Roman" w:eastAsia="Times New Roman" w:cs="Times New Roman"/>
          <w:b/>
          <w:sz w:val="24"/>
          <w:szCs w:val="24"/>
        </w:rPr>
        <w:t xml:space="preserve">Table C2. </w:t>
      </w:r>
      <w:r>
        <w:rPr>
          <w:rFonts w:hint="default" w:ascii="Times New Roman" w:hAnsi="Times New Roman" w:eastAsia="Times New Roman" w:cs="Times New Roman"/>
          <w:sz w:val="24"/>
          <w:szCs w:val="24"/>
        </w:rPr>
        <w:t>Component standard deviations and zero-component counterfactuals</w:t>
      </w:r>
    </w:p>
    <w:tbl>
      <w:tblPr>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3131"/>
        <w:gridCol w:w="1663"/>
        <w:gridCol w:w="2609"/>
        <w:gridCol w:w="1833"/>
      </w:tblGrid>
      <w:tr w14:paraId="62549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blHeader/>
          <w:jc w:val="center"/>
        </w:trPr>
        <w:tc>
          <w:tcPr>
            <w:tcW w:w="1694" w:type="pct"/>
            <w:tcBorders>
              <w:top w:val="single" w:color="000000" w:sz="12" w:space="0"/>
              <w:left w:val="nil"/>
              <w:bottom w:val="single" w:color="000000" w:sz="8" w:space="0"/>
              <w:right w:val="single" w:color="000000" w:sz="12" w:space="0"/>
            </w:tcBorders>
            <w:shd w:val="clear" w:color="auto" w:fill="FFFFFF"/>
            <w:vAlign w:val="center"/>
          </w:tcPr>
          <w:p w14:paraId="247D5F4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Component</w:t>
            </w:r>
          </w:p>
        </w:tc>
        <w:tc>
          <w:tcPr>
            <w:tcW w:w="900" w:type="pct"/>
            <w:tcBorders>
              <w:top w:val="single" w:color="000000" w:sz="12" w:space="0"/>
              <w:left w:val="nil"/>
              <w:bottom w:val="single" w:color="000000" w:sz="8" w:space="0"/>
              <w:right w:val="nil"/>
            </w:tcBorders>
            <w:shd w:val="clear" w:color="auto" w:fill="FFFFFF"/>
            <w:vAlign w:val="center"/>
          </w:tcPr>
          <w:p w14:paraId="31D8FC8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Component SD</w:t>
            </w:r>
          </w:p>
        </w:tc>
        <w:tc>
          <w:tcPr>
            <w:tcW w:w="1412" w:type="pct"/>
            <w:tcBorders>
              <w:top w:val="single" w:color="000000" w:sz="12" w:space="0"/>
              <w:left w:val="nil"/>
              <w:bottom w:val="single" w:color="000000" w:sz="8" w:space="0"/>
              <w:right w:val="nil"/>
            </w:tcBorders>
            <w:shd w:val="clear" w:color="auto" w:fill="FFFFFF"/>
            <w:vAlign w:val="center"/>
          </w:tcPr>
          <w:p w14:paraId="054DC30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DUG SD if component = 0</w:t>
            </w:r>
          </w:p>
        </w:tc>
        <w:tc>
          <w:tcPr>
            <w:tcW w:w="992" w:type="pct"/>
            <w:tcBorders>
              <w:top w:val="single" w:color="000000" w:sz="12" w:space="0"/>
              <w:left w:val="nil"/>
              <w:bottom w:val="single" w:color="000000" w:sz="8" w:space="0"/>
              <w:right w:val="nil"/>
            </w:tcBorders>
            <w:shd w:val="clear" w:color="auto" w:fill="FFFFFF"/>
            <w:vAlign w:val="center"/>
          </w:tcPr>
          <w:p w14:paraId="2453B12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Class</w:t>
            </w:r>
          </w:p>
        </w:tc>
      </w:tr>
      <w:tr w14:paraId="7AC7D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94" w:type="pct"/>
            <w:tcBorders>
              <w:top w:val="nil"/>
              <w:left w:val="nil"/>
              <w:bottom w:val="nil"/>
              <w:right w:val="single" w:color="000000" w:sz="12" w:space="0"/>
            </w:tcBorders>
            <w:shd w:val="clear" w:color="auto" w:fill="FFFFFF"/>
            <w:vAlign w:val="center"/>
          </w:tcPr>
          <w:p w14:paraId="5E76A4B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Relative characteristics</w:t>
            </w:r>
          </w:p>
        </w:tc>
        <w:tc>
          <w:tcPr>
            <w:tcW w:w="900" w:type="pct"/>
            <w:tcBorders>
              <w:top w:val="nil"/>
              <w:left w:val="nil"/>
              <w:bottom w:val="nil"/>
              <w:right w:val="nil"/>
            </w:tcBorders>
            <w:shd w:val="clear" w:color="auto" w:fill="FFFFFF"/>
            <w:vAlign w:val="center"/>
          </w:tcPr>
          <w:p w14:paraId="0913242D">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0.7</w:t>
            </w:r>
          </w:p>
        </w:tc>
        <w:tc>
          <w:tcPr>
            <w:tcW w:w="1412" w:type="pct"/>
            <w:tcBorders>
              <w:top w:val="nil"/>
              <w:left w:val="nil"/>
              <w:bottom w:val="nil"/>
              <w:right w:val="nil"/>
            </w:tcBorders>
            <w:shd w:val="clear" w:color="auto" w:fill="FFFFFF"/>
            <w:vAlign w:val="center"/>
          </w:tcPr>
          <w:p w14:paraId="36B0C594">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3</w:t>
            </w:r>
          </w:p>
        </w:tc>
        <w:tc>
          <w:tcPr>
            <w:tcW w:w="992" w:type="pct"/>
            <w:tcBorders>
              <w:top w:val="nil"/>
              <w:left w:val="nil"/>
              <w:bottom w:val="nil"/>
              <w:right w:val="nil"/>
            </w:tcBorders>
            <w:shd w:val="clear" w:color="auto" w:fill="FFFFFF"/>
            <w:vAlign w:val="center"/>
          </w:tcPr>
          <w:p w14:paraId="1A1A590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People</w:t>
            </w:r>
          </w:p>
        </w:tc>
      </w:tr>
      <w:tr w14:paraId="5FDDC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1694" w:type="pct"/>
            <w:tcBorders>
              <w:top w:val="nil"/>
              <w:left w:val="nil"/>
              <w:bottom w:val="nil"/>
              <w:right w:val="single" w:color="000000" w:sz="12" w:space="0"/>
            </w:tcBorders>
            <w:shd w:val="clear" w:color="auto" w:fill="FFFFFF"/>
            <w:vAlign w:val="center"/>
          </w:tcPr>
          <w:p w14:paraId="58070BF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Absolute characteristics</w:t>
            </w:r>
          </w:p>
        </w:tc>
        <w:tc>
          <w:tcPr>
            <w:tcW w:w="900" w:type="pct"/>
            <w:tcBorders>
              <w:top w:val="nil"/>
              <w:left w:val="nil"/>
              <w:bottom w:val="nil"/>
              <w:right w:val="nil"/>
            </w:tcBorders>
            <w:shd w:val="clear" w:color="auto" w:fill="FFFFFF"/>
            <w:vAlign w:val="center"/>
          </w:tcPr>
          <w:p w14:paraId="67D92B65">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2.1</w:t>
            </w:r>
          </w:p>
        </w:tc>
        <w:tc>
          <w:tcPr>
            <w:tcW w:w="1412" w:type="pct"/>
            <w:tcBorders>
              <w:top w:val="nil"/>
              <w:left w:val="nil"/>
              <w:bottom w:val="nil"/>
              <w:right w:val="nil"/>
            </w:tcBorders>
            <w:shd w:val="clear" w:color="auto" w:fill="FFFFFF"/>
            <w:vAlign w:val="center"/>
          </w:tcPr>
          <w:p w14:paraId="75EC9FA0">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2.3</w:t>
            </w:r>
          </w:p>
        </w:tc>
        <w:tc>
          <w:tcPr>
            <w:tcW w:w="992" w:type="pct"/>
            <w:tcBorders>
              <w:top w:val="nil"/>
              <w:left w:val="nil"/>
              <w:bottom w:val="nil"/>
              <w:right w:val="nil"/>
            </w:tcBorders>
            <w:shd w:val="clear" w:color="auto" w:fill="FFFFFF"/>
            <w:vAlign w:val="center"/>
          </w:tcPr>
          <w:p w14:paraId="571FECC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People</w:t>
            </w:r>
          </w:p>
        </w:tc>
      </w:tr>
      <w:tr w14:paraId="20AC7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1694" w:type="pct"/>
            <w:tcBorders>
              <w:top w:val="nil"/>
              <w:left w:val="nil"/>
              <w:bottom w:val="nil"/>
              <w:right w:val="single" w:color="000000" w:sz="12" w:space="0"/>
            </w:tcBorders>
            <w:shd w:val="clear" w:color="auto" w:fill="FFFFFF"/>
            <w:vAlign w:val="center"/>
          </w:tcPr>
          <w:p w14:paraId="73D3E8F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Unemployment / slack measure</w:t>
            </w:r>
          </w:p>
        </w:tc>
        <w:tc>
          <w:tcPr>
            <w:tcW w:w="900" w:type="pct"/>
            <w:tcBorders>
              <w:top w:val="nil"/>
              <w:left w:val="nil"/>
              <w:bottom w:val="nil"/>
              <w:right w:val="nil"/>
            </w:tcBorders>
            <w:shd w:val="clear" w:color="auto" w:fill="FFFFFF"/>
            <w:vAlign w:val="center"/>
          </w:tcPr>
          <w:p w14:paraId="43F11F3B">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0.6</w:t>
            </w:r>
          </w:p>
        </w:tc>
        <w:tc>
          <w:tcPr>
            <w:tcW w:w="1412" w:type="pct"/>
            <w:tcBorders>
              <w:top w:val="nil"/>
              <w:left w:val="nil"/>
              <w:bottom w:val="nil"/>
              <w:right w:val="nil"/>
            </w:tcBorders>
            <w:shd w:val="clear" w:color="auto" w:fill="FFFFFF"/>
            <w:vAlign w:val="center"/>
          </w:tcPr>
          <w:p w14:paraId="7706B1C0">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3</w:t>
            </w:r>
          </w:p>
        </w:tc>
        <w:tc>
          <w:tcPr>
            <w:tcW w:w="992" w:type="pct"/>
            <w:tcBorders>
              <w:top w:val="nil"/>
              <w:left w:val="nil"/>
              <w:bottom w:val="nil"/>
              <w:right w:val="nil"/>
            </w:tcBorders>
            <w:shd w:val="clear" w:color="auto" w:fill="FFFFFF"/>
            <w:vAlign w:val="center"/>
          </w:tcPr>
          <w:p w14:paraId="7F9CA71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Place</w:t>
            </w:r>
          </w:p>
        </w:tc>
      </w:tr>
      <w:tr w14:paraId="19E31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94" w:type="pct"/>
            <w:tcBorders>
              <w:top w:val="nil"/>
              <w:left w:val="nil"/>
              <w:bottom w:val="nil"/>
              <w:right w:val="single" w:color="000000" w:sz="12" w:space="0"/>
            </w:tcBorders>
            <w:shd w:val="clear" w:color="auto" w:fill="FFFFFF"/>
            <w:vAlign w:val="center"/>
          </w:tcPr>
          <w:p w14:paraId="7471BCF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GVA</w:t>
            </w:r>
          </w:p>
        </w:tc>
        <w:tc>
          <w:tcPr>
            <w:tcW w:w="900" w:type="pct"/>
            <w:tcBorders>
              <w:top w:val="nil"/>
              <w:left w:val="nil"/>
              <w:bottom w:val="nil"/>
              <w:right w:val="nil"/>
            </w:tcBorders>
            <w:shd w:val="clear" w:color="auto" w:fill="FFFFFF"/>
            <w:vAlign w:val="center"/>
          </w:tcPr>
          <w:p w14:paraId="3A56EA34">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0.4</w:t>
            </w:r>
          </w:p>
        </w:tc>
        <w:tc>
          <w:tcPr>
            <w:tcW w:w="1412" w:type="pct"/>
            <w:tcBorders>
              <w:top w:val="nil"/>
              <w:left w:val="nil"/>
              <w:bottom w:val="nil"/>
              <w:right w:val="nil"/>
            </w:tcBorders>
            <w:shd w:val="clear" w:color="auto" w:fill="FFFFFF"/>
            <w:vAlign w:val="center"/>
          </w:tcPr>
          <w:p w14:paraId="2CEEA15B">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3.1</w:t>
            </w:r>
          </w:p>
        </w:tc>
        <w:tc>
          <w:tcPr>
            <w:tcW w:w="992" w:type="pct"/>
            <w:tcBorders>
              <w:top w:val="nil"/>
              <w:left w:val="nil"/>
              <w:bottom w:val="nil"/>
              <w:right w:val="nil"/>
            </w:tcBorders>
            <w:shd w:val="clear" w:color="auto" w:fill="FFFFFF"/>
            <w:vAlign w:val="center"/>
          </w:tcPr>
          <w:p w14:paraId="73DB180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Place</w:t>
            </w:r>
          </w:p>
        </w:tc>
      </w:tr>
      <w:tr w14:paraId="22F91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94" w:type="pct"/>
            <w:tcBorders>
              <w:top w:val="nil"/>
              <w:left w:val="nil"/>
              <w:bottom w:val="nil"/>
              <w:right w:val="single" w:color="000000" w:sz="12" w:space="0"/>
            </w:tcBorders>
            <w:shd w:val="clear" w:color="auto" w:fill="FFFFFF"/>
            <w:vAlign w:val="center"/>
          </w:tcPr>
          <w:p w14:paraId="31CCC4C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Industries - total</w:t>
            </w:r>
          </w:p>
        </w:tc>
        <w:tc>
          <w:tcPr>
            <w:tcW w:w="900" w:type="pct"/>
            <w:tcBorders>
              <w:top w:val="nil"/>
              <w:left w:val="nil"/>
              <w:bottom w:val="nil"/>
              <w:right w:val="nil"/>
            </w:tcBorders>
            <w:shd w:val="clear" w:color="auto" w:fill="FFFFFF"/>
            <w:vAlign w:val="center"/>
          </w:tcPr>
          <w:p w14:paraId="387CA8B9">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0.5</w:t>
            </w:r>
          </w:p>
        </w:tc>
        <w:tc>
          <w:tcPr>
            <w:tcW w:w="1412" w:type="pct"/>
            <w:tcBorders>
              <w:top w:val="nil"/>
              <w:left w:val="nil"/>
              <w:bottom w:val="nil"/>
              <w:right w:val="nil"/>
            </w:tcBorders>
            <w:shd w:val="clear" w:color="auto" w:fill="FFFFFF"/>
            <w:vAlign w:val="center"/>
          </w:tcPr>
          <w:p w14:paraId="346D7E11">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3</w:t>
            </w:r>
          </w:p>
        </w:tc>
        <w:tc>
          <w:tcPr>
            <w:tcW w:w="992" w:type="pct"/>
            <w:tcBorders>
              <w:top w:val="nil"/>
              <w:left w:val="nil"/>
              <w:bottom w:val="nil"/>
              <w:right w:val="nil"/>
            </w:tcBorders>
            <w:shd w:val="clear" w:color="auto" w:fill="FFFFFF"/>
            <w:vAlign w:val="center"/>
          </w:tcPr>
          <w:p w14:paraId="50288F0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Place</w:t>
            </w:r>
          </w:p>
        </w:tc>
      </w:tr>
      <w:tr w14:paraId="7F0BE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1694" w:type="pct"/>
            <w:tcBorders>
              <w:top w:val="nil"/>
              <w:left w:val="nil"/>
              <w:bottom w:val="nil"/>
              <w:right w:val="single" w:color="000000" w:sz="12" w:space="0"/>
            </w:tcBorders>
            <w:shd w:val="clear" w:color="auto" w:fill="FFFFFF"/>
            <w:vAlign w:val="center"/>
          </w:tcPr>
          <w:p w14:paraId="72AF12C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Knowledge services</w:t>
            </w:r>
          </w:p>
        </w:tc>
        <w:tc>
          <w:tcPr>
            <w:tcW w:w="900" w:type="pct"/>
            <w:tcBorders>
              <w:top w:val="nil"/>
              <w:left w:val="nil"/>
              <w:bottom w:val="nil"/>
              <w:right w:val="nil"/>
            </w:tcBorders>
            <w:shd w:val="clear" w:color="auto" w:fill="FFFFFF"/>
            <w:vAlign w:val="center"/>
          </w:tcPr>
          <w:p w14:paraId="51A6E96A">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0.3</w:t>
            </w:r>
          </w:p>
        </w:tc>
        <w:tc>
          <w:tcPr>
            <w:tcW w:w="1412" w:type="pct"/>
            <w:tcBorders>
              <w:top w:val="nil"/>
              <w:left w:val="nil"/>
              <w:bottom w:val="nil"/>
              <w:right w:val="nil"/>
            </w:tcBorders>
            <w:shd w:val="clear" w:color="auto" w:fill="FFFFFF"/>
            <w:vAlign w:val="center"/>
          </w:tcPr>
          <w:p w14:paraId="149F1E96">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3.1</w:t>
            </w:r>
          </w:p>
        </w:tc>
        <w:tc>
          <w:tcPr>
            <w:tcW w:w="992" w:type="pct"/>
            <w:tcBorders>
              <w:top w:val="nil"/>
              <w:left w:val="nil"/>
              <w:bottom w:val="nil"/>
              <w:right w:val="nil"/>
            </w:tcBorders>
            <w:shd w:val="clear" w:color="auto" w:fill="FFFFFF"/>
            <w:vAlign w:val="center"/>
          </w:tcPr>
          <w:p w14:paraId="6961FFE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Place</w:t>
            </w:r>
          </w:p>
        </w:tc>
      </w:tr>
      <w:tr w14:paraId="6CF65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1694" w:type="pct"/>
            <w:tcBorders>
              <w:top w:val="nil"/>
              <w:left w:val="nil"/>
              <w:bottom w:val="nil"/>
              <w:right w:val="single" w:color="000000" w:sz="12" w:space="0"/>
            </w:tcBorders>
            <w:shd w:val="clear" w:color="auto" w:fill="FFFFFF"/>
            <w:vAlign w:val="center"/>
          </w:tcPr>
          <w:p w14:paraId="6F7ABB1D">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Occupations - total</w:t>
            </w:r>
          </w:p>
        </w:tc>
        <w:tc>
          <w:tcPr>
            <w:tcW w:w="900" w:type="pct"/>
            <w:tcBorders>
              <w:top w:val="nil"/>
              <w:left w:val="nil"/>
              <w:bottom w:val="nil"/>
              <w:right w:val="nil"/>
            </w:tcBorders>
            <w:shd w:val="clear" w:color="auto" w:fill="FFFFFF"/>
            <w:vAlign w:val="center"/>
          </w:tcPr>
          <w:p w14:paraId="4FF9F462">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0.7</w:t>
            </w:r>
          </w:p>
        </w:tc>
        <w:tc>
          <w:tcPr>
            <w:tcW w:w="1412" w:type="pct"/>
            <w:tcBorders>
              <w:top w:val="nil"/>
              <w:left w:val="nil"/>
              <w:bottom w:val="nil"/>
              <w:right w:val="nil"/>
            </w:tcBorders>
            <w:shd w:val="clear" w:color="auto" w:fill="FFFFFF"/>
            <w:vAlign w:val="center"/>
          </w:tcPr>
          <w:p w14:paraId="2AE512C4">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3</w:t>
            </w:r>
          </w:p>
        </w:tc>
        <w:tc>
          <w:tcPr>
            <w:tcW w:w="992" w:type="pct"/>
            <w:tcBorders>
              <w:top w:val="nil"/>
              <w:left w:val="nil"/>
              <w:bottom w:val="nil"/>
              <w:right w:val="nil"/>
            </w:tcBorders>
            <w:shd w:val="clear" w:color="auto" w:fill="FFFFFF"/>
            <w:vAlign w:val="center"/>
          </w:tcPr>
          <w:p w14:paraId="42585CD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Place</w:t>
            </w:r>
          </w:p>
        </w:tc>
      </w:tr>
      <w:tr w14:paraId="7E965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1694" w:type="pct"/>
            <w:tcBorders>
              <w:top w:val="nil"/>
              <w:left w:val="nil"/>
              <w:bottom w:val="nil"/>
              <w:right w:val="single" w:color="000000" w:sz="12" w:space="0"/>
            </w:tcBorders>
            <w:shd w:val="clear" w:color="auto" w:fill="FFFFFF"/>
            <w:vAlign w:val="center"/>
          </w:tcPr>
          <w:p w14:paraId="6ED1D551">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Short-hours employment share</w:t>
            </w:r>
          </w:p>
        </w:tc>
        <w:tc>
          <w:tcPr>
            <w:tcW w:w="900" w:type="pct"/>
            <w:tcBorders>
              <w:top w:val="nil"/>
              <w:left w:val="nil"/>
              <w:bottom w:val="nil"/>
              <w:right w:val="nil"/>
            </w:tcBorders>
            <w:shd w:val="clear" w:color="auto" w:fill="FFFFFF"/>
            <w:vAlign w:val="center"/>
          </w:tcPr>
          <w:p w14:paraId="243A07CF">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1.2</w:t>
            </w:r>
          </w:p>
        </w:tc>
        <w:tc>
          <w:tcPr>
            <w:tcW w:w="1412" w:type="pct"/>
            <w:tcBorders>
              <w:top w:val="nil"/>
              <w:left w:val="nil"/>
              <w:bottom w:val="nil"/>
              <w:right w:val="nil"/>
            </w:tcBorders>
            <w:shd w:val="clear" w:color="auto" w:fill="FFFFFF"/>
            <w:vAlign w:val="center"/>
          </w:tcPr>
          <w:p w14:paraId="34D28F7A">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2.8</w:t>
            </w:r>
          </w:p>
        </w:tc>
        <w:tc>
          <w:tcPr>
            <w:tcW w:w="992" w:type="pct"/>
            <w:tcBorders>
              <w:top w:val="nil"/>
              <w:left w:val="nil"/>
              <w:bottom w:val="nil"/>
              <w:right w:val="nil"/>
            </w:tcBorders>
            <w:shd w:val="clear" w:color="auto" w:fill="FFFFFF"/>
            <w:vAlign w:val="center"/>
          </w:tcPr>
          <w:p w14:paraId="62D6FAF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Place extension</w:t>
            </w:r>
          </w:p>
        </w:tc>
      </w:tr>
      <w:tr w14:paraId="17FA3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1694" w:type="pct"/>
            <w:tcBorders>
              <w:top w:val="nil"/>
              <w:left w:val="nil"/>
              <w:bottom w:val="nil"/>
              <w:right w:val="single" w:color="000000" w:sz="12" w:space="0"/>
            </w:tcBorders>
            <w:shd w:val="clear" w:color="auto" w:fill="FFFFFF"/>
            <w:vAlign w:val="center"/>
          </w:tcPr>
          <w:p w14:paraId="4D0012F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Zero-hours prevalence</w:t>
            </w:r>
          </w:p>
        </w:tc>
        <w:tc>
          <w:tcPr>
            <w:tcW w:w="900" w:type="pct"/>
            <w:tcBorders>
              <w:top w:val="nil"/>
              <w:left w:val="nil"/>
              <w:bottom w:val="nil"/>
              <w:right w:val="nil"/>
            </w:tcBorders>
            <w:shd w:val="clear" w:color="auto" w:fill="FFFFFF"/>
            <w:vAlign w:val="center"/>
          </w:tcPr>
          <w:p w14:paraId="39A11448">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0.4</w:t>
            </w:r>
          </w:p>
        </w:tc>
        <w:tc>
          <w:tcPr>
            <w:tcW w:w="1412" w:type="pct"/>
            <w:tcBorders>
              <w:top w:val="nil"/>
              <w:left w:val="nil"/>
              <w:bottom w:val="nil"/>
              <w:right w:val="nil"/>
            </w:tcBorders>
            <w:shd w:val="clear" w:color="auto" w:fill="FFFFFF"/>
            <w:vAlign w:val="center"/>
          </w:tcPr>
          <w:p w14:paraId="3C368FF3">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3.1</w:t>
            </w:r>
          </w:p>
        </w:tc>
        <w:tc>
          <w:tcPr>
            <w:tcW w:w="992" w:type="pct"/>
            <w:tcBorders>
              <w:top w:val="nil"/>
              <w:left w:val="nil"/>
              <w:bottom w:val="nil"/>
              <w:right w:val="nil"/>
            </w:tcBorders>
            <w:shd w:val="clear" w:color="auto" w:fill="FFFFFF"/>
            <w:vAlign w:val="center"/>
          </w:tcPr>
          <w:p w14:paraId="543FF8D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Place extension</w:t>
            </w:r>
          </w:p>
        </w:tc>
      </w:tr>
      <w:tr w14:paraId="67E18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1694" w:type="pct"/>
            <w:tcBorders>
              <w:top w:val="nil"/>
              <w:left w:val="nil"/>
              <w:bottom w:val="nil"/>
              <w:right w:val="single" w:color="000000" w:sz="12" w:space="0"/>
            </w:tcBorders>
            <w:shd w:val="clear" w:color="auto" w:fill="FFFFFF"/>
            <w:vAlign w:val="center"/>
          </w:tcPr>
          <w:p w14:paraId="0A6A737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All observed area characteristics</w:t>
            </w:r>
          </w:p>
        </w:tc>
        <w:tc>
          <w:tcPr>
            <w:tcW w:w="900" w:type="pct"/>
            <w:tcBorders>
              <w:top w:val="nil"/>
              <w:left w:val="nil"/>
              <w:bottom w:val="nil"/>
              <w:right w:val="nil"/>
            </w:tcBorders>
            <w:shd w:val="clear" w:color="auto" w:fill="FFFFFF"/>
            <w:vAlign w:val="center"/>
          </w:tcPr>
          <w:p w14:paraId="20A0D269">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1.8</w:t>
            </w:r>
          </w:p>
        </w:tc>
        <w:tc>
          <w:tcPr>
            <w:tcW w:w="1412" w:type="pct"/>
            <w:tcBorders>
              <w:top w:val="nil"/>
              <w:left w:val="nil"/>
              <w:bottom w:val="nil"/>
              <w:right w:val="nil"/>
            </w:tcBorders>
            <w:shd w:val="clear" w:color="auto" w:fill="FFFFFF"/>
            <w:vAlign w:val="center"/>
          </w:tcPr>
          <w:p w14:paraId="4B311D28">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2.4</w:t>
            </w:r>
          </w:p>
        </w:tc>
        <w:tc>
          <w:tcPr>
            <w:tcW w:w="992" w:type="pct"/>
            <w:tcBorders>
              <w:top w:val="nil"/>
              <w:left w:val="nil"/>
              <w:bottom w:val="nil"/>
              <w:right w:val="nil"/>
            </w:tcBorders>
            <w:shd w:val="clear" w:color="auto" w:fill="FFFFFF"/>
            <w:vAlign w:val="center"/>
          </w:tcPr>
          <w:p w14:paraId="0393096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Place</w:t>
            </w:r>
          </w:p>
        </w:tc>
      </w:tr>
      <w:tr w14:paraId="7CEB0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1694" w:type="pct"/>
            <w:tcBorders>
              <w:top w:val="nil"/>
              <w:left w:val="nil"/>
              <w:bottom w:val="nil"/>
              <w:right w:val="single" w:color="000000" w:sz="12" w:space="0"/>
            </w:tcBorders>
            <w:shd w:val="clear" w:color="auto" w:fill="FFFFFF"/>
            <w:vAlign w:val="center"/>
          </w:tcPr>
          <w:p w14:paraId="073901E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Residual + constant</w:t>
            </w:r>
          </w:p>
        </w:tc>
        <w:tc>
          <w:tcPr>
            <w:tcW w:w="900" w:type="pct"/>
            <w:tcBorders>
              <w:top w:val="nil"/>
              <w:left w:val="nil"/>
              <w:bottom w:val="nil"/>
              <w:right w:val="nil"/>
            </w:tcBorders>
            <w:shd w:val="clear" w:color="auto" w:fill="FFFFFF"/>
            <w:vAlign w:val="center"/>
          </w:tcPr>
          <w:p w14:paraId="06BCE30F">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1.5</w:t>
            </w:r>
          </w:p>
        </w:tc>
        <w:tc>
          <w:tcPr>
            <w:tcW w:w="1412" w:type="pct"/>
            <w:tcBorders>
              <w:top w:val="nil"/>
              <w:left w:val="nil"/>
              <w:bottom w:val="nil"/>
              <w:right w:val="nil"/>
            </w:tcBorders>
            <w:shd w:val="clear" w:color="auto" w:fill="FFFFFF"/>
            <w:vAlign w:val="center"/>
          </w:tcPr>
          <w:p w14:paraId="48C92B03">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2.8</w:t>
            </w:r>
          </w:p>
        </w:tc>
        <w:tc>
          <w:tcPr>
            <w:tcW w:w="992" w:type="pct"/>
            <w:tcBorders>
              <w:top w:val="nil"/>
              <w:left w:val="nil"/>
              <w:bottom w:val="nil"/>
              <w:right w:val="nil"/>
            </w:tcBorders>
            <w:shd w:val="clear" w:color="auto" w:fill="FFFFFF"/>
            <w:vAlign w:val="center"/>
          </w:tcPr>
          <w:p w14:paraId="2BB8E65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Place</w:t>
            </w:r>
          </w:p>
        </w:tc>
      </w:tr>
      <w:tr w14:paraId="03546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94" w:type="pct"/>
            <w:tcBorders>
              <w:top w:val="nil"/>
              <w:left w:val="nil"/>
              <w:bottom w:val="single" w:color="000000" w:sz="12" w:space="0"/>
              <w:right w:val="single" w:color="000000" w:sz="12" w:space="0"/>
            </w:tcBorders>
            <w:shd w:val="clear" w:color="auto" w:fill="FFFFFF"/>
            <w:vAlign w:val="center"/>
          </w:tcPr>
          <w:p w14:paraId="0AA303C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All place components</w:t>
            </w:r>
          </w:p>
        </w:tc>
        <w:tc>
          <w:tcPr>
            <w:tcW w:w="900" w:type="pct"/>
            <w:tcBorders>
              <w:top w:val="nil"/>
              <w:left w:val="nil"/>
              <w:bottom w:val="single" w:color="000000" w:sz="12" w:space="0"/>
              <w:right w:val="nil"/>
            </w:tcBorders>
            <w:shd w:val="clear" w:color="auto" w:fill="FFFFFF"/>
            <w:vAlign w:val="center"/>
          </w:tcPr>
          <w:p w14:paraId="657972CD">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2.2</w:t>
            </w:r>
          </w:p>
        </w:tc>
        <w:tc>
          <w:tcPr>
            <w:tcW w:w="1412" w:type="pct"/>
            <w:tcBorders>
              <w:top w:val="nil"/>
              <w:left w:val="nil"/>
              <w:bottom w:val="single" w:color="000000" w:sz="12" w:space="0"/>
              <w:right w:val="nil"/>
            </w:tcBorders>
            <w:shd w:val="clear" w:color="auto" w:fill="FFFFFF"/>
            <w:vAlign w:val="center"/>
          </w:tcPr>
          <w:p w14:paraId="3964C51C">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2.3</w:t>
            </w:r>
          </w:p>
        </w:tc>
        <w:tc>
          <w:tcPr>
            <w:tcW w:w="992" w:type="pct"/>
            <w:tcBorders>
              <w:top w:val="nil"/>
              <w:left w:val="nil"/>
              <w:bottom w:val="single" w:color="000000" w:sz="12" w:space="0"/>
              <w:right w:val="nil"/>
            </w:tcBorders>
            <w:shd w:val="clear" w:color="auto" w:fill="FFFFFF"/>
            <w:vAlign w:val="center"/>
          </w:tcPr>
          <w:p w14:paraId="2884A9B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Place (combined)</w:t>
            </w:r>
          </w:p>
        </w:tc>
      </w:tr>
    </w:tbl>
    <w:p w14:paraId="49253D58">
      <w:pPr>
        <w:pageBreakBefore w:val="0"/>
        <w:widowControl/>
        <w:kinsoku/>
        <w:wordWrap/>
        <w:overflowPunct/>
        <w:topLinePunct w:val="0"/>
        <w:autoSpaceDE/>
        <w:autoSpaceDN/>
        <w:bidi w:val="0"/>
        <w:adjustRightInd/>
        <w:snapToGrid/>
        <w:spacing w:before="0" w:after="160" w:line="240" w:lineRule="auto"/>
        <w:ind w:firstLine="0"/>
        <w:jc w:val="left"/>
        <w:textAlignment w:val="auto"/>
        <w:rPr>
          <w:rFonts w:hint="default" w:ascii="Times New Roman" w:hAnsi="Times New Roman" w:eastAsia="Times New Roman" w:cs="Times New Roman"/>
          <w:i/>
          <w:iCs w:val="0"/>
          <w:sz w:val="24"/>
          <w:szCs w:val="24"/>
        </w:rPr>
      </w:pPr>
      <w:r>
        <w:rPr>
          <w:rFonts w:hint="default" w:ascii="Times New Roman" w:hAnsi="Times New Roman" w:eastAsia="Times New Roman" w:cs="Times New Roman"/>
          <w:i/>
          <w:iCs w:val="0"/>
          <w:sz w:val="24"/>
          <w:szCs w:val="24"/>
        </w:rPr>
        <w:t>Note. Component SDs are non-additive. The counterfactual column shows how overall DUG dispersion changes when one component is set to zero while the others are retained.</w:t>
      </w:r>
    </w:p>
    <w:p w14:paraId="0DA0D605">
      <w:pPr>
        <w:pageBreakBefore w:val="0"/>
        <w:widowControl/>
        <w:kinsoku/>
        <w:wordWrap/>
        <w:overflowPunct/>
        <w:topLinePunct w:val="0"/>
        <w:autoSpaceDE/>
        <w:autoSpaceDN/>
        <w:bidi w:val="0"/>
        <w:adjustRightInd/>
        <w:snapToGrid/>
        <w:spacing w:before="0" w:after="160" w:line="240" w:lineRule="auto"/>
        <w:ind w:firstLine="0"/>
        <w:jc w:val="left"/>
        <w:textAlignment w:val="auto"/>
        <w:rPr>
          <w:rFonts w:hint="default" w:ascii="Times New Roman" w:hAnsi="Times New Roman" w:eastAsia="Times New Roman" w:cs="Times New Roman"/>
          <w:i/>
          <w:iCs w:val="0"/>
          <w:sz w:val="24"/>
          <w:szCs w:val="24"/>
        </w:rPr>
      </w:pPr>
    </w:p>
    <w:p w14:paraId="6FB75D31">
      <w:pPr>
        <w:pStyle w:val="3"/>
        <w:keepNext/>
        <w:pageBreakBefore w:val="0"/>
        <w:widowControl/>
        <w:kinsoku/>
        <w:wordWrap/>
        <w:overflowPunct/>
        <w:topLinePunct w:val="0"/>
        <w:autoSpaceDE/>
        <w:autoSpaceDN/>
        <w:bidi w:val="0"/>
        <w:adjustRightInd/>
        <w:snapToGrid/>
        <w:spacing w:before="0" w:after="160" w:line="240" w:lineRule="auto"/>
        <w:ind w:firstLine="0"/>
        <w:jc w:val="both"/>
        <w:textAlignment w:val="auto"/>
        <w:rPr>
          <w:rFonts w:hint="default" w:ascii="Times New Roman" w:hAnsi="Times New Roman" w:cs="Times New Roman"/>
          <w:sz w:val="28"/>
          <w:szCs w:val="28"/>
        </w:rPr>
      </w:pPr>
      <w:r>
        <w:rPr>
          <w:rFonts w:hint="default" w:ascii="Times New Roman" w:hAnsi="Times New Roman" w:eastAsia="Times New Roman" w:cs="Times New Roman"/>
          <w:b/>
          <w:i w:val="0"/>
          <w:sz w:val="28"/>
          <w:szCs w:val="28"/>
        </w:rPr>
        <w:t>Supplementary Appendix D. Scope checks, spatial diagnostics and influence stability</w:t>
      </w:r>
    </w:p>
    <w:p w14:paraId="7CF7CFE2">
      <w:pPr>
        <w:pStyle w:val="4"/>
        <w:keepNext/>
        <w:pageBreakBefore w:val="0"/>
        <w:widowControl/>
        <w:kinsoku/>
        <w:wordWrap/>
        <w:overflowPunct/>
        <w:topLinePunct w:val="0"/>
        <w:autoSpaceDE/>
        <w:autoSpaceDN/>
        <w:bidi w:val="0"/>
        <w:adjustRightInd/>
        <w:snapToGrid/>
        <w:spacing w:before="0" w:after="160" w:line="240" w:lineRule="auto"/>
        <w:ind w:firstLine="0"/>
        <w:jc w:val="both"/>
        <w:textAlignment w:val="auto"/>
        <w:rPr>
          <w:rFonts w:hint="default" w:ascii="Times New Roman" w:hAnsi="Times New Roman" w:cs="Times New Roman"/>
          <w:sz w:val="24"/>
          <w:szCs w:val="24"/>
        </w:rPr>
      </w:pPr>
      <w:r>
        <w:rPr>
          <w:rFonts w:hint="default" w:ascii="Times New Roman" w:hAnsi="Times New Roman" w:eastAsia="Times New Roman" w:cs="Times New Roman"/>
          <w:b/>
          <w:i w:val="0"/>
          <w:sz w:val="24"/>
          <w:szCs w:val="24"/>
        </w:rPr>
        <w:t>D1. Alternative samples and periods: scope checks</w:t>
      </w:r>
    </w:p>
    <w:p>
      <w:pPr/>
      <w:r>
        <w:t>Table D1 summarises the alternative-period and sample scope checks.</w:t>
      </w:r>
    </w:p>
    <w:p w14:paraId="40ED137E">
      <w:pPr>
        <w:keepNext/>
        <w:pageBreakBefore w:val="0"/>
        <w:widowControl/>
        <w:kinsoku/>
        <w:wordWrap/>
        <w:overflowPunct/>
        <w:topLinePunct w:val="0"/>
        <w:autoSpaceDE/>
        <w:autoSpaceDN/>
        <w:bidi w:val="0"/>
        <w:adjustRightInd/>
        <w:snapToGrid/>
        <w:spacing w:before="0" w:after="160" w:line="240" w:lineRule="auto"/>
        <w:ind w:firstLine="0"/>
        <w:jc w:val="center"/>
        <w:textAlignment w:val="auto"/>
        <w:rPr>
          <w:rFonts w:hint="default" w:ascii="Times New Roman" w:hAnsi="Times New Roman" w:cs="Times New Roman"/>
          <w:sz w:val="24"/>
          <w:szCs w:val="24"/>
        </w:rPr>
      </w:pPr>
      <w:r>
        <w:rPr>
          <w:rFonts w:hint="default" w:ascii="Times New Roman" w:hAnsi="Times New Roman" w:eastAsia="Times New Roman" w:cs="Times New Roman"/>
          <w:b/>
          <w:sz w:val="24"/>
          <w:szCs w:val="24"/>
        </w:rPr>
        <w:t xml:space="preserve">Table D1. </w:t>
      </w:r>
      <w:r>
        <w:rPr>
          <w:rFonts w:hint="default" w:ascii="Times New Roman" w:hAnsi="Times New Roman" w:eastAsia="Times New Roman" w:cs="Times New Roman"/>
          <w:sz w:val="24"/>
          <w:szCs w:val="24"/>
        </w:rPr>
        <w:t>Alternative-period and sample scope checks</w:t>
      </w:r>
    </w:p>
    <w:tbl>
      <w:tblPr>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638"/>
        <w:gridCol w:w="1410"/>
        <w:gridCol w:w="1184"/>
        <w:gridCol w:w="2343"/>
        <w:gridCol w:w="2661"/>
      </w:tblGrid>
      <w:tr w14:paraId="7CBD7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0" w:hRule="atLeast"/>
          <w:tblHeader/>
          <w:jc w:val="center"/>
        </w:trPr>
        <w:tc>
          <w:tcPr>
            <w:tcW w:w="887" w:type="pct"/>
            <w:tcBorders>
              <w:top w:val="single" w:color="000000" w:sz="12" w:space="0"/>
              <w:left w:val="nil"/>
              <w:bottom w:val="single" w:color="000000" w:sz="8" w:space="0"/>
              <w:right w:val="single" w:color="000000" w:sz="12" w:space="0"/>
            </w:tcBorders>
            <w:shd w:val="clear" w:color="auto" w:fill="FFFFFF"/>
            <w:vAlign w:val="center"/>
          </w:tcPr>
          <w:p w14:paraId="05FEC32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Specification</w:t>
            </w:r>
          </w:p>
        </w:tc>
        <w:tc>
          <w:tcPr>
            <w:tcW w:w="763" w:type="pct"/>
            <w:tcBorders>
              <w:top w:val="single" w:color="000000" w:sz="12" w:space="0"/>
              <w:left w:val="nil"/>
              <w:bottom w:val="single" w:color="000000" w:sz="8" w:space="0"/>
              <w:right w:val="nil"/>
            </w:tcBorders>
            <w:shd w:val="clear" w:color="auto" w:fill="FFFFFF"/>
            <w:vAlign w:val="center"/>
          </w:tcPr>
          <w:p w14:paraId="19A554C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N (analysis records)</w:t>
            </w:r>
          </w:p>
        </w:tc>
        <w:tc>
          <w:tcPr>
            <w:tcW w:w="641" w:type="pct"/>
            <w:tcBorders>
              <w:top w:val="single" w:color="000000" w:sz="12" w:space="0"/>
              <w:left w:val="nil"/>
              <w:bottom w:val="single" w:color="000000" w:sz="8" w:space="0"/>
              <w:right w:val="nil"/>
            </w:tcBorders>
            <w:shd w:val="clear" w:color="auto" w:fill="FFFFFF"/>
            <w:vAlign w:val="center"/>
          </w:tcPr>
          <w:p w14:paraId="3A88FDD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National DUG</w:t>
            </w:r>
          </w:p>
        </w:tc>
        <w:tc>
          <w:tcPr>
            <w:tcW w:w="1268" w:type="pct"/>
            <w:tcBorders>
              <w:top w:val="single" w:color="000000" w:sz="12" w:space="0"/>
              <w:left w:val="nil"/>
              <w:bottom w:val="single" w:color="000000" w:sz="8" w:space="0"/>
              <w:right w:val="nil"/>
            </w:tcBorders>
            <w:shd w:val="clear" w:color="auto" w:fill="FFFFFF"/>
            <w:vAlign w:val="center"/>
          </w:tcPr>
          <w:p w14:paraId="494336A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Stability summary</w:t>
            </w:r>
          </w:p>
        </w:tc>
        <w:tc>
          <w:tcPr>
            <w:tcW w:w="1440" w:type="pct"/>
            <w:tcBorders>
              <w:top w:val="single" w:color="000000" w:sz="12" w:space="0"/>
              <w:left w:val="nil"/>
              <w:bottom w:val="single" w:color="000000" w:sz="8" w:space="0"/>
              <w:right w:val="nil"/>
            </w:tcBorders>
            <w:shd w:val="clear" w:color="auto" w:fill="FFFFFF"/>
            <w:vAlign w:val="center"/>
          </w:tcPr>
          <w:p w14:paraId="5F97423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Interpretation</w:t>
            </w:r>
          </w:p>
        </w:tc>
      </w:tr>
      <w:tr w14:paraId="4F580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887" w:type="pct"/>
            <w:tcBorders>
              <w:top w:val="nil"/>
              <w:left w:val="nil"/>
              <w:bottom w:val="nil"/>
              <w:right w:val="single" w:color="000000" w:sz="12" w:space="0"/>
            </w:tcBorders>
            <w:shd w:val="clear" w:color="auto" w:fill="FFFFFF"/>
            <w:vAlign w:val="center"/>
          </w:tcPr>
          <w:p w14:paraId="1CB9D5A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2022-2025 baseline</w:t>
            </w:r>
          </w:p>
        </w:tc>
        <w:tc>
          <w:tcPr>
            <w:tcW w:w="763" w:type="pct"/>
            <w:tcBorders>
              <w:top w:val="nil"/>
              <w:left w:val="nil"/>
              <w:bottom w:val="nil"/>
              <w:right w:val="nil"/>
            </w:tcBorders>
            <w:shd w:val="clear" w:color="auto" w:fill="FFFFFF"/>
            <w:vAlign w:val="center"/>
          </w:tcPr>
          <w:p w14:paraId="5E3B9FB4">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1,845,200</w:t>
            </w:r>
          </w:p>
        </w:tc>
        <w:tc>
          <w:tcPr>
            <w:tcW w:w="641" w:type="pct"/>
            <w:tcBorders>
              <w:top w:val="nil"/>
              <w:left w:val="nil"/>
              <w:bottom w:val="nil"/>
              <w:right w:val="nil"/>
            </w:tcBorders>
            <w:shd w:val="clear" w:color="auto" w:fill="FFFFFF"/>
            <w:vAlign w:val="center"/>
          </w:tcPr>
          <w:p w14:paraId="47ED962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2.8</w:t>
            </w:r>
          </w:p>
        </w:tc>
        <w:tc>
          <w:tcPr>
            <w:tcW w:w="1268" w:type="pct"/>
            <w:tcBorders>
              <w:top w:val="nil"/>
              <w:left w:val="nil"/>
              <w:bottom w:val="nil"/>
              <w:right w:val="nil"/>
            </w:tcBorders>
            <w:shd w:val="clear" w:color="auto" w:fill="FFFFFF"/>
            <w:vAlign w:val="center"/>
          </w:tcPr>
          <w:p w14:paraId="2DEDE91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Full baseline people/place component vector reported</w:t>
            </w:r>
          </w:p>
        </w:tc>
        <w:tc>
          <w:tcPr>
            <w:tcW w:w="1440" w:type="pct"/>
            <w:tcBorders>
              <w:top w:val="nil"/>
              <w:left w:val="nil"/>
              <w:bottom w:val="nil"/>
              <w:right w:val="nil"/>
            </w:tcBorders>
            <w:shd w:val="clear" w:color="auto" w:fill="FFFFFF"/>
            <w:vAlign w:val="center"/>
          </w:tcPr>
          <w:p w14:paraId="463FD98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Reference decomposition</w:t>
            </w:r>
          </w:p>
        </w:tc>
      </w:tr>
      <w:tr w14:paraId="6DFBB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887" w:type="pct"/>
            <w:tcBorders>
              <w:top w:val="nil"/>
              <w:left w:val="nil"/>
              <w:bottom w:val="nil"/>
              <w:right w:val="single" w:color="000000" w:sz="12" w:space="0"/>
            </w:tcBorders>
            <w:shd w:val="clear" w:color="auto" w:fill="FFFFFF"/>
            <w:vAlign w:val="center"/>
          </w:tcPr>
          <w:p w14:paraId="7670EAF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2019-2025</w:t>
            </w:r>
          </w:p>
        </w:tc>
        <w:tc>
          <w:tcPr>
            <w:tcW w:w="763" w:type="pct"/>
            <w:tcBorders>
              <w:top w:val="nil"/>
              <w:left w:val="nil"/>
              <w:bottom w:val="nil"/>
              <w:right w:val="nil"/>
            </w:tcBorders>
            <w:shd w:val="clear" w:color="auto" w:fill="FFFFFF"/>
            <w:vAlign w:val="center"/>
          </w:tcPr>
          <w:p w14:paraId="62439A4D">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3,124,800</w:t>
            </w:r>
          </w:p>
        </w:tc>
        <w:tc>
          <w:tcPr>
            <w:tcW w:w="641" w:type="pct"/>
            <w:tcBorders>
              <w:top w:val="nil"/>
              <w:left w:val="nil"/>
              <w:bottom w:val="nil"/>
              <w:right w:val="nil"/>
            </w:tcBorders>
            <w:shd w:val="clear" w:color="auto" w:fill="FFFFFF"/>
            <w:vAlign w:val="center"/>
          </w:tcPr>
          <w:p w14:paraId="306D07A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2.6</w:t>
            </w:r>
          </w:p>
        </w:tc>
        <w:tc>
          <w:tcPr>
            <w:tcW w:w="1268" w:type="pct"/>
            <w:tcBorders>
              <w:top w:val="nil"/>
              <w:left w:val="nil"/>
              <w:bottom w:val="nil"/>
              <w:right w:val="nil"/>
            </w:tcBorders>
            <w:shd w:val="clear" w:color="auto" w:fill="FFFFFF"/>
            <w:vAlign w:val="center"/>
          </w:tcPr>
          <w:p w14:paraId="644900A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National DUG and sample-size scope check</w:t>
            </w:r>
          </w:p>
        </w:tc>
        <w:tc>
          <w:tcPr>
            <w:tcW w:w="1440" w:type="pct"/>
            <w:tcBorders>
              <w:top w:val="nil"/>
              <w:left w:val="nil"/>
              <w:bottom w:val="nil"/>
              <w:right w:val="nil"/>
            </w:tcBorders>
            <w:shd w:val="clear" w:color="auto" w:fill="FFFFFF"/>
            <w:vAlign w:val="center"/>
          </w:tcPr>
          <w:p w14:paraId="7A754AF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Scope check; full decomposition reported for baseline model</w:t>
            </w:r>
          </w:p>
        </w:tc>
      </w:tr>
      <w:tr w14:paraId="72608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887" w:type="pct"/>
            <w:tcBorders>
              <w:top w:val="nil"/>
              <w:left w:val="nil"/>
              <w:bottom w:val="nil"/>
              <w:right w:val="single" w:color="000000" w:sz="12" w:space="0"/>
            </w:tcBorders>
            <w:shd w:val="clear" w:color="auto" w:fill="FFFFFF"/>
            <w:vAlign w:val="center"/>
          </w:tcPr>
          <w:p w14:paraId="0ACA087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2022-2024</w:t>
            </w:r>
          </w:p>
        </w:tc>
        <w:tc>
          <w:tcPr>
            <w:tcW w:w="763" w:type="pct"/>
            <w:tcBorders>
              <w:top w:val="nil"/>
              <w:left w:val="nil"/>
              <w:bottom w:val="nil"/>
              <w:right w:val="nil"/>
            </w:tcBorders>
            <w:shd w:val="clear" w:color="auto" w:fill="FFFFFF"/>
            <w:vAlign w:val="center"/>
          </w:tcPr>
          <w:p w14:paraId="6A49C699">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1,412,600</w:t>
            </w:r>
          </w:p>
        </w:tc>
        <w:tc>
          <w:tcPr>
            <w:tcW w:w="641" w:type="pct"/>
            <w:tcBorders>
              <w:top w:val="nil"/>
              <w:left w:val="nil"/>
              <w:bottom w:val="nil"/>
              <w:right w:val="nil"/>
            </w:tcBorders>
            <w:shd w:val="clear" w:color="auto" w:fill="FFFFFF"/>
            <w:vAlign w:val="center"/>
          </w:tcPr>
          <w:p w14:paraId="2690727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2.7</w:t>
            </w:r>
          </w:p>
        </w:tc>
        <w:tc>
          <w:tcPr>
            <w:tcW w:w="1268" w:type="pct"/>
            <w:tcBorders>
              <w:top w:val="nil"/>
              <w:left w:val="nil"/>
              <w:bottom w:val="nil"/>
              <w:right w:val="nil"/>
            </w:tcBorders>
            <w:shd w:val="clear" w:color="auto" w:fill="FFFFFF"/>
            <w:vAlign w:val="center"/>
          </w:tcPr>
          <w:p w14:paraId="7059495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National DUG and sample-size scope check</w:t>
            </w:r>
          </w:p>
        </w:tc>
        <w:tc>
          <w:tcPr>
            <w:tcW w:w="1440" w:type="pct"/>
            <w:tcBorders>
              <w:top w:val="nil"/>
              <w:left w:val="nil"/>
              <w:bottom w:val="nil"/>
              <w:right w:val="nil"/>
            </w:tcBorders>
            <w:shd w:val="clear" w:color="auto" w:fill="FFFFFF"/>
            <w:vAlign w:val="center"/>
          </w:tcPr>
          <w:p w14:paraId="0EAB4B5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Scope check; full decomposition reported for baseline model</w:t>
            </w:r>
          </w:p>
        </w:tc>
      </w:tr>
      <w:tr w14:paraId="46C3B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887" w:type="pct"/>
            <w:tcBorders>
              <w:top w:val="nil"/>
              <w:left w:val="nil"/>
              <w:bottom w:val="nil"/>
              <w:right w:val="single" w:color="000000" w:sz="12" w:space="0"/>
            </w:tcBorders>
            <w:shd w:val="clear" w:color="auto" w:fill="FFFFFF"/>
            <w:vAlign w:val="center"/>
          </w:tcPr>
          <w:p w14:paraId="5FAD6E4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Employees only</w:t>
            </w:r>
          </w:p>
        </w:tc>
        <w:tc>
          <w:tcPr>
            <w:tcW w:w="763" w:type="pct"/>
            <w:tcBorders>
              <w:top w:val="nil"/>
              <w:left w:val="nil"/>
              <w:bottom w:val="nil"/>
              <w:right w:val="nil"/>
            </w:tcBorders>
            <w:shd w:val="clear" w:color="auto" w:fill="FFFFFF"/>
            <w:vAlign w:val="center"/>
          </w:tcPr>
          <w:p w14:paraId="0AF50C43">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1,602,400</w:t>
            </w:r>
          </w:p>
        </w:tc>
        <w:tc>
          <w:tcPr>
            <w:tcW w:w="641" w:type="pct"/>
            <w:tcBorders>
              <w:top w:val="nil"/>
              <w:left w:val="nil"/>
              <w:bottom w:val="nil"/>
              <w:right w:val="nil"/>
            </w:tcBorders>
            <w:shd w:val="clear" w:color="auto" w:fill="FFFFFF"/>
            <w:vAlign w:val="center"/>
          </w:tcPr>
          <w:p w14:paraId="76462AB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2.9</w:t>
            </w:r>
          </w:p>
        </w:tc>
        <w:tc>
          <w:tcPr>
            <w:tcW w:w="1268" w:type="pct"/>
            <w:tcBorders>
              <w:top w:val="nil"/>
              <w:left w:val="nil"/>
              <w:bottom w:val="nil"/>
              <w:right w:val="nil"/>
            </w:tcBorders>
            <w:shd w:val="clear" w:color="auto" w:fill="FFFFFF"/>
            <w:vAlign w:val="center"/>
          </w:tcPr>
          <w:p w14:paraId="1DD4B24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National DUG and sample-size scope check</w:t>
            </w:r>
          </w:p>
        </w:tc>
        <w:tc>
          <w:tcPr>
            <w:tcW w:w="1440" w:type="pct"/>
            <w:tcBorders>
              <w:top w:val="nil"/>
              <w:left w:val="nil"/>
              <w:bottom w:val="nil"/>
              <w:right w:val="nil"/>
            </w:tcBorders>
            <w:shd w:val="clear" w:color="auto" w:fill="FFFFFF"/>
            <w:vAlign w:val="center"/>
          </w:tcPr>
          <w:p w14:paraId="7E65036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Scope check; full decomposition reported for baseline model</w:t>
            </w:r>
          </w:p>
        </w:tc>
      </w:tr>
      <w:tr w14:paraId="4CF9D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887" w:type="pct"/>
            <w:tcBorders>
              <w:top w:val="nil"/>
              <w:left w:val="nil"/>
              <w:bottom w:val="single" w:color="000000" w:sz="12" w:space="0"/>
              <w:right w:val="single" w:color="000000" w:sz="12" w:space="0"/>
            </w:tcBorders>
            <w:shd w:val="clear" w:color="auto" w:fill="FFFFFF"/>
            <w:vAlign w:val="center"/>
          </w:tcPr>
          <w:p w14:paraId="5C29332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Excluding London</w:t>
            </w:r>
          </w:p>
        </w:tc>
        <w:tc>
          <w:tcPr>
            <w:tcW w:w="763" w:type="pct"/>
            <w:tcBorders>
              <w:top w:val="nil"/>
              <w:left w:val="nil"/>
              <w:bottom w:val="single" w:color="000000" w:sz="12" w:space="0"/>
              <w:right w:val="nil"/>
            </w:tcBorders>
            <w:shd w:val="clear" w:color="auto" w:fill="FFFFFF"/>
            <w:vAlign w:val="center"/>
          </w:tcPr>
          <w:p w14:paraId="07AF2C5A">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1,825,600</w:t>
            </w:r>
          </w:p>
        </w:tc>
        <w:tc>
          <w:tcPr>
            <w:tcW w:w="641" w:type="pct"/>
            <w:tcBorders>
              <w:top w:val="nil"/>
              <w:left w:val="nil"/>
              <w:bottom w:val="single" w:color="000000" w:sz="12" w:space="0"/>
              <w:right w:val="nil"/>
            </w:tcBorders>
            <w:shd w:val="clear" w:color="auto" w:fill="FFFFFF"/>
            <w:vAlign w:val="center"/>
          </w:tcPr>
          <w:p w14:paraId="5CDF786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2.7</w:t>
            </w:r>
          </w:p>
        </w:tc>
        <w:tc>
          <w:tcPr>
            <w:tcW w:w="1268" w:type="pct"/>
            <w:tcBorders>
              <w:top w:val="nil"/>
              <w:left w:val="nil"/>
              <w:bottom w:val="single" w:color="000000" w:sz="12" w:space="0"/>
              <w:right w:val="nil"/>
            </w:tcBorders>
            <w:shd w:val="clear" w:color="auto" w:fill="FFFFFF"/>
            <w:vAlign w:val="center"/>
          </w:tcPr>
          <w:p w14:paraId="7718E2C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National DUG and sample-size scope check</w:t>
            </w:r>
          </w:p>
        </w:tc>
        <w:tc>
          <w:tcPr>
            <w:tcW w:w="1440" w:type="pct"/>
            <w:tcBorders>
              <w:top w:val="nil"/>
              <w:left w:val="nil"/>
              <w:bottom w:val="single" w:color="000000" w:sz="12" w:space="0"/>
              <w:right w:val="nil"/>
            </w:tcBorders>
            <w:shd w:val="clear" w:color="auto" w:fill="FFFFFF"/>
            <w:vAlign w:val="center"/>
          </w:tcPr>
          <w:p w14:paraId="4DC9FFE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Scope check; full decomposition reported for baseline model</w:t>
            </w:r>
          </w:p>
        </w:tc>
      </w:tr>
    </w:tbl>
    <w:p w14:paraId="1FF4F3AF">
      <w:pPr>
        <w:pageBreakBefore w:val="0"/>
        <w:widowControl/>
        <w:kinsoku/>
        <w:wordWrap/>
        <w:overflowPunct/>
        <w:topLinePunct w:val="0"/>
        <w:autoSpaceDE/>
        <w:autoSpaceDN/>
        <w:bidi w:val="0"/>
        <w:adjustRightInd/>
        <w:snapToGrid/>
        <w:spacing w:before="0" w:after="160" w:line="240" w:lineRule="auto"/>
        <w:ind w:firstLine="0"/>
        <w:jc w:val="left"/>
        <w:textAlignment w:val="auto"/>
        <w:rPr>
          <w:rFonts w:hint="default" w:ascii="Times New Roman" w:hAnsi="Times New Roman" w:cs="Times New Roman"/>
          <w:i/>
          <w:iCs w:val="0"/>
          <w:sz w:val="24"/>
          <w:szCs w:val="24"/>
        </w:rPr>
      </w:pPr>
      <w:r>
        <w:rPr>
          <w:rFonts w:hint="default" w:ascii="Times New Roman" w:hAnsi="Times New Roman" w:eastAsia="Times New Roman" w:cs="Times New Roman"/>
          <w:i/>
          <w:iCs w:val="0"/>
          <w:sz w:val="24"/>
          <w:szCs w:val="24"/>
        </w:rPr>
        <w:t>Note. Correlated decomposition components are not additive variance shares. Alternative periods and samples are scope checks based on disclosure-cleared N and national-DUG outputs; they are not labelled full redecomposition robustness tests.</w:t>
      </w:r>
    </w:p>
    <w:p w14:paraId="5206C4F0">
      <w:pPr>
        <w:pStyle w:val="4"/>
        <w:keepNext/>
        <w:pageBreakBefore w:val="0"/>
        <w:widowControl/>
        <w:kinsoku/>
        <w:wordWrap/>
        <w:overflowPunct/>
        <w:topLinePunct w:val="0"/>
        <w:autoSpaceDE/>
        <w:autoSpaceDN/>
        <w:bidi w:val="0"/>
        <w:adjustRightInd/>
        <w:snapToGrid/>
        <w:spacing w:before="0" w:after="160" w:line="240" w:lineRule="auto"/>
        <w:ind w:firstLine="0"/>
        <w:jc w:val="both"/>
        <w:textAlignment w:val="auto"/>
        <w:rPr>
          <w:rFonts w:hint="default" w:ascii="Times New Roman" w:hAnsi="Times New Roman" w:eastAsia="Times New Roman" w:cs="Times New Roman"/>
          <w:b/>
          <w:i w:val="0"/>
          <w:sz w:val="24"/>
          <w:szCs w:val="24"/>
        </w:rPr>
      </w:pPr>
    </w:p>
    <w:p w14:paraId="3AA54EF1">
      <w:pPr>
        <w:pStyle w:val="4"/>
        <w:keepNext/>
        <w:pageBreakBefore w:val="0"/>
        <w:widowControl/>
        <w:kinsoku/>
        <w:wordWrap/>
        <w:overflowPunct/>
        <w:topLinePunct w:val="0"/>
        <w:autoSpaceDE/>
        <w:autoSpaceDN/>
        <w:bidi w:val="0"/>
        <w:adjustRightInd/>
        <w:snapToGrid/>
        <w:spacing w:before="0" w:after="160" w:line="240" w:lineRule="auto"/>
        <w:ind w:firstLine="0"/>
        <w:jc w:val="both"/>
        <w:textAlignment w:val="auto"/>
        <w:rPr>
          <w:rFonts w:hint="default" w:ascii="Times New Roman" w:hAnsi="Times New Roman" w:cs="Times New Roman"/>
          <w:sz w:val="24"/>
          <w:szCs w:val="24"/>
        </w:rPr>
      </w:pPr>
      <w:r>
        <w:rPr>
          <w:rFonts w:hint="default" w:ascii="Times New Roman" w:hAnsi="Times New Roman" w:eastAsia="Times New Roman" w:cs="Times New Roman"/>
          <w:b/>
          <w:i w:val="0"/>
          <w:sz w:val="24"/>
          <w:szCs w:val="24"/>
        </w:rPr>
        <w:t>D2. Spatial diagnostics</w:t>
      </w:r>
    </w:p>
    <w:p>
      <w:pPr/>
      <w:r>
        <w:t>Table D2 reports sensitivity of the spatial diagnostics to the alternative weights specification.</w:t>
      </w:r>
    </w:p>
    <w:p w14:paraId="2D145AEF">
      <w:pPr>
        <w:keepNext/>
        <w:pageBreakBefore w:val="0"/>
        <w:widowControl/>
        <w:kinsoku/>
        <w:wordWrap/>
        <w:overflowPunct/>
        <w:topLinePunct w:val="0"/>
        <w:autoSpaceDE/>
        <w:autoSpaceDN/>
        <w:bidi w:val="0"/>
        <w:adjustRightInd/>
        <w:snapToGrid/>
        <w:spacing w:before="0" w:after="160" w:line="240" w:lineRule="auto"/>
        <w:ind w:firstLine="0"/>
        <w:jc w:val="center"/>
        <w:textAlignment w:val="auto"/>
        <w:rPr>
          <w:rFonts w:hint="default" w:ascii="Times New Roman" w:hAnsi="Times New Roman" w:cs="Times New Roman"/>
          <w:sz w:val="24"/>
          <w:szCs w:val="24"/>
        </w:rPr>
      </w:pPr>
      <w:r>
        <w:rPr>
          <w:rFonts w:hint="default" w:ascii="Times New Roman" w:hAnsi="Times New Roman" w:eastAsia="Times New Roman" w:cs="Times New Roman"/>
          <w:b/>
          <w:sz w:val="24"/>
          <w:szCs w:val="24"/>
        </w:rPr>
        <w:t xml:space="preserve">Table D2. </w:t>
      </w:r>
      <w:r>
        <w:rPr>
          <w:rFonts w:hint="default" w:ascii="Times New Roman" w:hAnsi="Times New Roman" w:eastAsia="Times New Roman" w:cs="Times New Roman"/>
          <w:sz w:val="24"/>
          <w:szCs w:val="24"/>
        </w:rPr>
        <w:t>Spatial weights sensitivity</w:t>
      </w:r>
    </w:p>
    <w:tbl>
      <w:tblPr>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2984"/>
        <w:gridCol w:w="2962"/>
        <w:gridCol w:w="1802"/>
        <w:gridCol w:w="1488"/>
      </w:tblGrid>
      <w:tr w14:paraId="21E08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blHeader/>
          <w:jc w:val="center"/>
        </w:trPr>
        <w:tc>
          <w:tcPr>
            <w:tcW w:w="1615" w:type="pct"/>
            <w:tcBorders>
              <w:top w:val="single" w:color="000000" w:sz="12" w:space="0"/>
              <w:left w:val="nil"/>
              <w:bottom w:val="single" w:color="000000" w:sz="8" w:space="0"/>
              <w:right w:val="single" w:color="000000" w:sz="12" w:space="0"/>
            </w:tcBorders>
            <w:shd w:val="clear" w:color="auto" w:fill="FFFFFF"/>
            <w:vAlign w:val="center"/>
          </w:tcPr>
          <w:p w14:paraId="738FB5D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Weights matrix</w:t>
            </w:r>
          </w:p>
        </w:tc>
        <w:tc>
          <w:tcPr>
            <w:tcW w:w="1603" w:type="pct"/>
            <w:tcBorders>
              <w:top w:val="single" w:color="000000" w:sz="12" w:space="0"/>
              <w:left w:val="nil"/>
              <w:bottom w:val="single" w:color="000000" w:sz="8" w:space="0"/>
              <w:right w:val="nil"/>
            </w:tcBorders>
            <w:shd w:val="clear" w:color="auto" w:fill="FFFFFF"/>
            <w:vAlign w:val="center"/>
          </w:tcPr>
          <w:p w14:paraId="62EEC82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Outcome</w:t>
            </w:r>
          </w:p>
        </w:tc>
        <w:tc>
          <w:tcPr>
            <w:tcW w:w="975" w:type="pct"/>
            <w:tcBorders>
              <w:top w:val="single" w:color="000000" w:sz="12" w:space="0"/>
              <w:left w:val="nil"/>
              <w:bottom w:val="single" w:color="000000" w:sz="8" w:space="0"/>
              <w:right w:val="nil"/>
            </w:tcBorders>
            <w:shd w:val="clear" w:color="auto" w:fill="FFFFFF"/>
            <w:vAlign w:val="center"/>
          </w:tcPr>
          <w:p w14:paraId="162F5E1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Moran's I</w:t>
            </w:r>
          </w:p>
        </w:tc>
        <w:tc>
          <w:tcPr>
            <w:tcW w:w="805" w:type="pct"/>
            <w:tcBorders>
              <w:top w:val="single" w:color="000000" w:sz="12" w:space="0"/>
              <w:left w:val="nil"/>
              <w:bottom w:val="single" w:color="000000" w:sz="8" w:space="0"/>
              <w:right w:val="nil"/>
            </w:tcBorders>
            <w:shd w:val="clear" w:color="auto" w:fill="FFFFFF"/>
            <w:vAlign w:val="center"/>
          </w:tcPr>
          <w:p w14:paraId="1E0CBC0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p-value</w:t>
            </w:r>
          </w:p>
        </w:tc>
      </w:tr>
      <w:tr w14:paraId="734FC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blHeader/>
          <w:jc w:val="center"/>
        </w:trPr>
        <w:tc>
          <w:tcPr>
            <w:tcW w:w="1615" w:type="pct"/>
            <w:tcBorders>
              <w:top w:val="nil"/>
              <w:left w:val="nil"/>
              <w:bottom w:val="nil"/>
              <w:right w:val="single" w:color="000000" w:sz="12" w:space="0"/>
            </w:tcBorders>
            <w:shd w:val="clear" w:color="auto" w:fill="FFFFFF"/>
            <w:vAlign w:val="center"/>
          </w:tcPr>
          <w:p w14:paraId="4B4C725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Queen contiguity</w:t>
            </w:r>
          </w:p>
        </w:tc>
        <w:tc>
          <w:tcPr>
            <w:tcW w:w="1603" w:type="pct"/>
            <w:tcBorders>
              <w:top w:val="nil"/>
              <w:left w:val="nil"/>
              <w:bottom w:val="nil"/>
              <w:right w:val="nil"/>
            </w:tcBorders>
            <w:shd w:val="clear" w:color="auto" w:fill="FFFFFF"/>
            <w:vAlign w:val="center"/>
          </w:tcPr>
          <w:p w14:paraId="445B1CC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Raw DUG</w:t>
            </w:r>
          </w:p>
        </w:tc>
        <w:tc>
          <w:tcPr>
            <w:tcW w:w="975" w:type="pct"/>
            <w:tcBorders>
              <w:top w:val="nil"/>
              <w:left w:val="nil"/>
              <w:bottom w:val="nil"/>
              <w:right w:val="nil"/>
            </w:tcBorders>
            <w:shd w:val="clear" w:color="auto" w:fill="FFFFFF"/>
            <w:vAlign w:val="center"/>
          </w:tcPr>
          <w:p w14:paraId="1E57B76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0.31</w:t>
            </w:r>
          </w:p>
        </w:tc>
        <w:tc>
          <w:tcPr>
            <w:tcW w:w="805" w:type="pct"/>
            <w:tcBorders>
              <w:top w:val="nil"/>
              <w:left w:val="nil"/>
              <w:bottom w:val="nil"/>
              <w:right w:val="nil"/>
            </w:tcBorders>
            <w:shd w:val="clear" w:color="auto" w:fill="FFFFFF"/>
            <w:vAlign w:val="center"/>
          </w:tcPr>
          <w:p w14:paraId="277328F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&lt;0.001</w:t>
            </w:r>
          </w:p>
        </w:tc>
      </w:tr>
      <w:tr w14:paraId="72749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blHeader/>
          <w:jc w:val="center"/>
        </w:trPr>
        <w:tc>
          <w:tcPr>
            <w:tcW w:w="1615" w:type="pct"/>
            <w:tcBorders>
              <w:top w:val="nil"/>
              <w:left w:val="nil"/>
              <w:bottom w:val="nil"/>
              <w:right w:val="single" w:color="000000" w:sz="12" w:space="0"/>
            </w:tcBorders>
            <w:shd w:val="clear" w:color="auto" w:fill="FFFFFF"/>
            <w:vAlign w:val="center"/>
          </w:tcPr>
          <w:p w14:paraId="5AD3466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Queen contiguity</w:t>
            </w:r>
          </w:p>
        </w:tc>
        <w:tc>
          <w:tcPr>
            <w:tcW w:w="1603" w:type="pct"/>
            <w:tcBorders>
              <w:top w:val="nil"/>
              <w:left w:val="nil"/>
              <w:bottom w:val="nil"/>
              <w:right w:val="nil"/>
            </w:tcBorders>
            <w:shd w:val="clear" w:color="auto" w:fill="FFFFFF"/>
            <w:vAlign w:val="center"/>
          </w:tcPr>
          <w:p w14:paraId="384C74C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Place component</w:t>
            </w:r>
          </w:p>
        </w:tc>
        <w:tc>
          <w:tcPr>
            <w:tcW w:w="975" w:type="pct"/>
            <w:tcBorders>
              <w:top w:val="nil"/>
              <w:left w:val="nil"/>
              <w:bottom w:val="nil"/>
              <w:right w:val="nil"/>
            </w:tcBorders>
            <w:shd w:val="clear" w:color="auto" w:fill="FFFFFF"/>
            <w:vAlign w:val="center"/>
          </w:tcPr>
          <w:p w14:paraId="06C3E79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0.22</w:t>
            </w:r>
          </w:p>
        </w:tc>
        <w:tc>
          <w:tcPr>
            <w:tcW w:w="805" w:type="pct"/>
            <w:tcBorders>
              <w:top w:val="nil"/>
              <w:left w:val="nil"/>
              <w:bottom w:val="nil"/>
              <w:right w:val="nil"/>
            </w:tcBorders>
            <w:shd w:val="clear" w:color="auto" w:fill="FFFFFF"/>
            <w:vAlign w:val="center"/>
          </w:tcPr>
          <w:p w14:paraId="6539F9A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0.002</w:t>
            </w:r>
          </w:p>
        </w:tc>
      </w:tr>
      <w:tr w14:paraId="65C20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blHeader/>
          <w:jc w:val="center"/>
        </w:trPr>
        <w:tc>
          <w:tcPr>
            <w:tcW w:w="1615" w:type="pct"/>
            <w:tcBorders>
              <w:top w:val="nil"/>
              <w:left w:val="nil"/>
              <w:bottom w:val="nil"/>
              <w:right w:val="single" w:color="000000" w:sz="12" w:space="0"/>
            </w:tcBorders>
            <w:shd w:val="clear" w:color="auto" w:fill="FFFFFF"/>
            <w:vAlign w:val="center"/>
          </w:tcPr>
          <w:p w14:paraId="1C7A8B9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Queen contiguity</w:t>
            </w:r>
          </w:p>
        </w:tc>
        <w:tc>
          <w:tcPr>
            <w:tcW w:w="1603" w:type="pct"/>
            <w:tcBorders>
              <w:top w:val="nil"/>
              <w:left w:val="nil"/>
              <w:bottom w:val="nil"/>
              <w:right w:val="nil"/>
            </w:tcBorders>
            <w:shd w:val="clear" w:color="auto" w:fill="FFFFFF"/>
            <w:vAlign w:val="center"/>
          </w:tcPr>
          <w:p w14:paraId="57277F4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Residual</w:t>
            </w:r>
          </w:p>
        </w:tc>
        <w:tc>
          <w:tcPr>
            <w:tcW w:w="975" w:type="pct"/>
            <w:tcBorders>
              <w:top w:val="nil"/>
              <w:left w:val="nil"/>
              <w:bottom w:val="nil"/>
              <w:right w:val="nil"/>
            </w:tcBorders>
            <w:shd w:val="clear" w:color="auto" w:fill="FFFFFF"/>
            <w:vAlign w:val="center"/>
          </w:tcPr>
          <w:p w14:paraId="6DD0441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0.09</w:t>
            </w:r>
          </w:p>
        </w:tc>
        <w:tc>
          <w:tcPr>
            <w:tcW w:w="805" w:type="pct"/>
            <w:tcBorders>
              <w:top w:val="nil"/>
              <w:left w:val="nil"/>
              <w:bottom w:val="nil"/>
              <w:right w:val="nil"/>
            </w:tcBorders>
            <w:shd w:val="clear" w:color="auto" w:fill="FFFFFF"/>
            <w:vAlign w:val="center"/>
          </w:tcPr>
          <w:p w14:paraId="41543FD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0.089</w:t>
            </w:r>
          </w:p>
        </w:tc>
      </w:tr>
      <w:tr w14:paraId="28CB9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615" w:type="pct"/>
            <w:tcBorders>
              <w:top w:val="nil"/>
              <w:left w:val="nil"/>
              <w:bottom w:val="nil"/>
              <w:right w:val="single" w:color="000000" w:sz="12" w:space="0"/>
            </w:tcBorders>
            <w:shd w:val="clear" w:color="auto" w:fill="FFFFFF"/>
            <w:vAlign w:val="center"/>
          </w:tcPr>
          <w:p w14:paraId="7F90ABF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Distance band</w:t>
            </w:r>
          </w:p>
        </w:tc>
        <w:tc>
          <w:tcPr>
            <w:tcW w:w="1603" w:type="pct"/>
            <w:tcBorders>
              <w:top w:val="nil"/>
              <w:left w:val="nil"/>
              <w:bottom w:val="nil"/>
              <w:right w:val="nil"/>
            </w:tcBorders>
            <w:shd w:val="clear" w:color="auto" w:fill="FFFFFF"/>
            <w:vAlign w:val="center"/>
          </w:tcPr>
          <w:p w14:paraId="3D18BE6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Raw DUG</w:t>
            </w:r>
          </w:p>
        </w:tc>
        <w:tc>
          <w:tcPr>
            <w:tcW w:w="975" w:type="pct"/>
            <w:tcBorders>
              <w:top w:val="nil"/>
              <w:left w:val="nil"/>
              <w:bottom w:val="nil"/>
              <w:right w:val="nil"/>
            </w:tcBorders>
            <w:shd w:val="clear" w:color="auto" w:fill="FFFFFF"/>
            <w:vAlign w:val="center"/>
          </w:tcPr>
          <w:p w14:paraId="298F406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0.28</w:t>
            </w:r>
          </w:p>
        </w:tc>
        <w:tc>
          <w:tcPr>
            <w:tcW w:w="805" w:type="pct"/>
            <w:tcBorders>
              <w:top w:val="nil"/>
              <w:left w:val="nil"/>
              <w:bottom w:val="nil"/>
              <w:right w:val="nil"/>
            </w:tcBorders>
            <w:shd w:val="clear" w:color="auto" w:fill="FFFFFF"/>
            <w:vAlign w:val="center"/>
          </w:tcPr>
          <w:p w14:paraId="6FD0CA1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&lt;0.001</w:t>
            </w:r>
          </w:p>
        </w:tc>
      </w:tr>
      <w:tr w14:paraId="3EE2E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615" w:type="pct"/>
            <w:tcBorders>
              <w:top w:val="nil"/>
              <w:left w:val="nil"/>
              <w:bottom w:val="nil"/>
              <w:right w:val="single" w:color="000000" w:sz="12" w:space="0"/>
            </w:tcBorders>
            <w:shd w:val="clear" w:color="auto" w:fill="FFFFFF"/>
            <w:vAlign w:val="center"/>
          </w:tcPr>
          <w:p w14:paraId="09FF7CB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Distance band</w:t>
            </w:r>
          </w:p>
        </w:tc>
        <w:tc>
          <w:tcPr>
            <w:tcW w:w="1603" w:type="pct"/>
            <w:tcBorders>
              <w:top w:val="nil"/>
              <w:left w:val="nil"/>
              <w:bottom w:val="nil"/>
              <w:right w:val="nil"/>
            </w:tcBorders>
            <w:shd w:val="clear" w:color="auto" w:fill="FFFFFF"/>
            <w:vAlign w:val="center"/>
          </w:tcPr>
          <w:p w14:paraId="70EA36D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Residual</w:t>
            </w:r>
          </w:p>
        </w:tc>
        <w:tc>
          <w:tcPr>
            <w:tcW w:w="975" w:type="pct"/>
            <w:tcBorders>
              <w:top w:val="nil"/>
              <w:left w:val="nil"/>
              <w:bottom w:val="nil"/>
              <w:right w:val="nil"/>
            </w:tcBorders>
            <w:shd w:val="clear" w:color="auto" w:fill="FFFFFF"/>
            <w:vAlign w:val="center"/>
          </w:tcPr>
          <w:p w14:paraId="05384BE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0.07</w:t>
            </w:r>
          </w:p>
        </w:tc>
        <w:tc>
          <w:tcPr>
            <w:tcW w:w="805" w:type="pct"/>
            <w:tcBorders>
              <w:top w:val="nil"/>
              <w:left w:val="nil"/>
              <w:bottom w:val="nil"/>
              <w:right w:val="nil"/>
            </w:tcBorders>
            <w:shd w:val="clear" w:color="auto" w:fill="FFFFFF"/>
            <w:vAlign w:val="center"/>
          </w:tcPr>
          <w:p w14:paraId="6AFF808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0.142</w:t>
            </w:r>
          </w:p>
        </w:tc>
      </w:tr>
      <w:tr w14:paraId="2FA40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615" w:type="pct"/>
            <w:tcBorders>
              <w:top w:val="nil"/>
              <w:left w:val="nil"/>
              <w:bottom w:val="single" w:color="000000" w:sz="12" w:space="0"/>
              <w:right w:val="single" w:color="000000" w:sz="12" w:space="0"/>
            </w:tcBorders>
            <w:shd w:val="clear" w:color="auto" w:fill="FFFFFF"/>
            <w:vAlign w:val="center"/>
          </w:tcPr>
          <w:p w14:paraId="5B22BEB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Distance band</w:t>
            </w:r>
          </w:p>
        </w:tc>
        <w:tc>
          <w:tcPr>
            <w:tcW w:w="1603" w:type="pct"/>
            <w:tcBorders>
              <w:top w:val="nil"/>
              <w:left w:val="nil"/>
              <w:bottom w:val="single" w:color="000000" w:sz="12" w:space="0"/>
              <w:right w:val="nil"/>
            </w:tcBorders>
            <w:shd w:val="clear" w:color="auto" w:fill="FFFFFF"/>
            <w:vAlign w:val="center"/>
          </w:tcPr>
          <w:p w14:paraId="44E8C07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Place component</w:t>
            </w:r>
          </w:p>
        </w:tc>
        <w:tc>
          <w:tcPr>
            <w:tcW w:w="975" w:type="pct"/>
            <w:tcBorders>
              <w:top w:val="nil"/>
              <w:left w:val="nil"/>
              <w:bottom w:val="single" w:color="000000" w:sz="12" w:space="0"/>
              <w:right w:val="nil"/>
            </w:tcBorders>
            <w:shd w:val="clear" w:color="auto" w:fill="FFFFFF"/>
            <w:vAlign w:val="center"/>
          </w:tcPr>
          <w:p w14:paraId="6CCEB5C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0.19</w:t>
            </w:r>
          </w:p>
        </w:tc>
        <w:tc>
          <w:tcPr>
            <w:tcW w:w="805" w:type="pct"/>
            <w:tcBorders>
              <w:top w:val="nil"/>
              <w:left w:val="nil"/>
              <w:bottom w:val="single" w:color="000000" w:sz="12" w:space="0"/>
              <w:right w:val="nil"/>
            </w:tcBorders>
            <w:shd w:val="clear" w:color="auto" w:fill="FFFFFF"/>
            <w:vAlign w:val="center"/>
          </w:tcPr>
          <w:p w14:paraId="370BF1D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0.006</w:t>
            </w:r>
          </w:p>
        </w:tc>
      </w:tr>
    </w:tbl>
    <w:p w14:paraId="22B46F04">
      <w:pPr>
        <w:pageBreakBefore w:val="0"/>
        <w:widowControl/>
        <w:kinsoku/>
        <w:wordWrap/>
        <w:overflowPunct/>
        <w:topLinePunct w:val="0"/>
        <w:autoSpaceDE/>
        <w:autoSpaceDN/>
        <w:bidi w:val="0"/>
        <w:adjustRightInd/>
        <w:snapToGrid/>
        <w:spacing w:before="0" w:after="160" w:line="240" w:lineRule="auto"/>
        <w:ind w:firstLine="0"/>
        <w:jc w:val="left"/>
        <w:textAlignment w:val="auto"/>
        <w:rPr>
          <w:rFonts w:hint="default" w:ascii="Times New Roman" w:hAnsi="Times New Roman" w:eastAsia="Times New Roman" w:cs="Times New Roman"/>
          <w:i/>
          <w:iCs w:val="0"/>
          <w:sz w:val="24"/>
          <w:szCs w:val="24"/>
        </w:rPr>
      </w:pPr>
      <w:r>
        <w:rPr>
          <w:rFonts w:hint="default" w:ascii="Times New Roman" w:hAnsi="Times New Roman" w:eastAsia="Times New Roman" w:cs="Times New Roman"/>
          <w:i/>
          <w:iCs w:val="0"/>
          <w:sz w:val="24"/>
          <w:szCs w:val="24"/>
        </w:rPr>
        <w:t>Note. The distance-band matrix is a secondary sensitivity check. Exact normalisation, distance threshold, island handling and permutation settings remain in the governed analysis script. Moran's I supports model checking only; no core claim depends on the spatial-weight specification.</w:t>
      </w:r>
    </w:p>
    <w:p w14:paraId="57FA0421">
      <w:pPr>
        <w:pageBreakBefore w:val="0"/>
        <w:widowControl/>
        <w:kinsoku/>
        <w:wordWrap/>
        <w:overflowPunct/>
        <w:topLinePunct w:val="0"/>
        <w:autoSpaceDE/>
        <w:autoSpaceDN/>
        <w:bidi w:val="0"/>
        <w:adjustRightInd/>
        <w:snapToGrid/>
        <w:spacing w:before="0" w:after="160" w:line="240" w:lineRule="auto"/>
        <w:ind w:firstLine="0"/>
        <w:jc w:val="left"/>
        <w:textAlignment w:val="auto"/>
        <w:rPr>
          <w:rFonts w:hint="default" w:ascii="Times New Roman" w:hAnsi="Times New Roman" w:eastAsia="Times New Roman" w:cs="Times New Roman"/>
          <w:i/>
          <w:iCs w:val="0"/>
          <w:sz w:val="24"/>
          <w:szCs w:val="24"/>
        </w:rPr>
      </w:pPr>
    </w:p>
    <w:p w14:paraId="0FC703CF">
      <w:pPr>
        <w:pStyle w:val="4"/>
        <w:keepNext/>
        <w:pageBreakBefore w:val="0"/>
        <w:widowControl/>
        <w:kinsoku/>
        <w:wordWrap/>
        <w:overflowPunct/>
        <w:topLinePunct w:val="0"/>
        <w:autoSpaceDE/>
        <w:autoSpaceDN/>
        <w:bidi w:val="0"/>
        <w:adjustRightInd/>
        <w:snapToGrid/>
        <w:spacing w:before="0" w:after="160" w:line="240" w:lineRule="auto"/>
        <w:ind w:firstLine="0"/>
        <w:jc w:val="both"/>
        <w:textAlignment w:val="auto"/>
        <w:rPr>
          <w:rFonts w:hint="default" w:ascii="Times New Roman" w:hAnsi="Times New Roman" w:cs="Times New Roman"/>
          <w:sz w:val="24"/>
          <w:szCs w:val="24"/>
        </w:rPr>
      </w:pPr>
      <w:r>
        <w:rPr>
          <w:rFonts w:hint="default" w:ascii="Times New Roman" w:hAnsi="Times New Roman" w:eastAsia="Times New Roman" w:cs="Times New Roman"/>
          <w:b/>
          <w:i w:val="0"/>
          <w:sz w:val="24"/>
          <w:szCs w:val="24"/>
        </w:rPr>
        <w:t>D3. Influence, multicollinearity and component-ordering stability</w:t>
      </w:r>
    </w:p>
    <w:p>
      <w:pPr/>
      <w:r>
        <w:t>Table D3 summarises area-level influence, multicollinearity, and component-ordering stability.</w:t>
      </w:r>
    </w:p>
    <w:p w14:paraId="6B7BBD37">
      <w:pPr>
        <w:keepNext/>
        <w:pageBreakBefore w:val="0"/>
        <w:widowControl/>
        <w:kinsoku/>
        <w:wordWrap/>
        <w:overflowPunct/>
        <w:topLinePunct w:val="0"/>
        <w:autoSpaceDE/>
        <w:autoSpaceDN/>
        <w:bidi w:val="0"/>
        <w:adjustRightInd/>
        <w:snapToGrid/>
        <w:spacing w:before="0" w:after="160" w:line="240" w:lineRule="auto"/>
        <w:ind w:firstLine="0"/>
        <w:jc w:val="center"/>
        <w:textAlignment w:val="auto"/>
        <w:rPr>
          <w:rFonts w:hint="default" w:ascii="Times New Roman" w:hAnsi="Times New Roman" w:cs="Times New Roman"/>
          <w:sz w:val="24"/>
          <w:szCs w:val="24"/>
        </w:rPr>
      </w:pPr>
      <w:r>
        <w:rPr>
          <w:rFonts w:hint="default" w:ascii="Times New Roman" w:hAnsi="Times New Roman" w:eastAsia="Times New Roman" w:cs="Times New Roman"/>
          <w:b/>
          <w:sz w:val="24"/>
          <w:szCs w:val="24"/>
        </w:rPr>
        <w:t xml:space="preserve">Table D3. </w:t>
      </w:r>
      <w:r>
        <w:rPr>
          <w:rFonts w:hint="default" w:ascii="Times New Roman" w:hAnsi="Times New Roman" w:eastAsia="Times New Roman" w:cs="Times New Roman"/>
          <w:sz w:val="24"/>
          <w:szCs w:val="24"/>
        </w:rPr>
        <w:t>Area-level influence diagnostics</w:t>
      </w:r>
    </w:p>
    <w:tbl>
      <w:tblPr>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3970"/>
        <w:gridCol w:w="1238"/>
        <w:gridCol w:w="1739"/>
        <w:gridCol w:w="2289"/>
      </w:tblGrid>
      <w:tr w14:paraId="5E2E2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blHeader/>
          <w:jc w:val="center"/>
        </w:trPr>
        <w:tc>
          <w:tcPr>
            <w:tcW w:w="2148" w:type="pct"/>
            <w:tcBorders>
              <w:top w:val="single" w:color="000000" w:sz="12" w:space="0"/>
              <w:left w:val="nil"/>
              <w:bottom w:val="single" w:color="000000" w:sz="8" w:space="0"/>
              <w:right w:val="single" w:color="000000" w:sz="12" w:space="0"/>
            </w:tcBorders>
            <w:shd w:val="clear" w:color="auto" w:fill="FFFFFF"/>
            <w:vAlign w:val="center"/>
          </w:tcPr>
          <w:p w14:paraId="67A030F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Diagnostic</w:t>
            </w:r>
          </w:p>
        </w:tc>
        <w:tc>
          <w:tcPr>
            <w:tcW w:w="670" w:type="pct"/>
            <w:tcBorders>
              <w:top w:val="single" w:color="000000" w:sz="12" w:space="0"/>
              <w:left w:val="nil"/>
              <w:bottom w:val="single" w:color="000000" w:sz="8" w:space="0"/>
              <w:right w:val="nil"/>
            </w:tcBorders>
            <w:shd w:val="clear" w:color="auto" w:fill="FFFFFF"/>
            <w:vAlign w:val="center"/>
          </w:tcPr>
          <w:p w14:paraId="53EA0BD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Value</w:t>
            </w:r>
          </w:p>
        </w:tc>
        <w:tc>
          <w:tcPr>
            <w:tcW w:w="941" w:type="pct"/>
            <w:tcBorders>
              <w:top w:val="single" w:color="000000" w:sz="12" w:space="0"/>
              <w:left w:val="nil"/>
              <w:bottom w:val="single" w:color="000000" w:sz="8" w:space="0"/>
              <w:right w:val="nil"/>
            </w:tcBorders>
            <w:shd w:val="clear" w:color="auto" w:fill="FFFFFF"/>
            <w:vAlign w:val="center"/>
          </w:tcPr>
          <w:p w14:paraId="6DF39D7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Source</w:t>
            </w:r>
          </w:p>
        </w:tc>
        <w:tc>
          <w:tcPr>
            <w:tcW w:w="1238" w:type="pct"/>
            <w:tcBorders>
              <w:top w:val="single" w:color="000000" w:sz="12" w:space="0"/>
              <w:left w:val="nil"/>
              <w:bottom w:val="single" w:color="000000" w:sz="8" w:space="0"/>
              <w:right w:val="nil"/>
            </w:tcBorders>
            <w:shd w:val="clear" w:color="auto" w:fill="FFFFFF"/>
            <w:vAlign w:val="center"/>
          </w:tcPr>
          <w:p w14:paraId="4F1D4D9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Purpose</w:t>
            </w:r>
          </w:p>
        </w:tc>
      </w:tr>
      <w:tr w14:paraId="6EBBE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blHeader/>
          <w:jc w:val="center"/>
        </w:trPr>
        <w:tc>
          <w:tcPr>
            <w:tcW w:w="2148" w:type="pct"/>
            <w:tcBorders>
              <w:top w:val="nil"/>
              <w:left w:val="nil"/>
              <w:bottom w:val="nil"/>
              <w:right w:val="single" w:color="000000" w:sz="12" w:space="0"/>
            </w:tcBorders>
            <w:shd w:val="clear" w:color="auto" w:fill="FFFFFF"/>
            <w:vAlign w:val="center"/>
          </w:tcPr>
          <w:p w14:paraId="4235B23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Maximum VIF</w:t>
            </w:r>
          </w:p>
        </w:tc>
        <w:tc>
          <w:tcPr>
            <w:tcW w:w="670" w:type="pct"/>
            <w:tcBorders>
              <w:top w:val="nil"/>
              <w:left w:val="nil"/>
              <w:bottom w:val="nil"/>
              <w:right w:val="nil"/>
            </w:tcBorders>
            <w:shd w:val="clear" w:color="auto" w:fill="FFFFFF"/>
            <w:vAlign w:val="center"/>
          </w:tcPr>
          <w:p w14:paraId="6DB61FC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3.8</w:t>
            </w:r>
          </w:p>
        </w:tc>
        <w:tc>
          <w:tcPr>
            <w:tcW w:w="941" w:type="pct"/>
            <w:tcBorders>
              <w:top w:val="nil"/>
              <w:left w:val="nil"/>
              <w:bottom w:val="nil"/>
              <w:right w:val="nil"/>
            </w:tcBorders>
            <w:shd w:val="clear" w:color="auto" w:fill="FFFFFF"/>
            <w:vAlign w:val="center"/>
          </w:tcPr>
          <w:p w14:paraId="6066ABF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Short-hours share</w:t>
            </w:r>
          </w:p>
        </w:tc>
        <w:tc>
          <w:tcPr>
            <w:tcW w:w="1238" w:type="pct"/>
            <w:tcBorders>
              <w:top w:val="nil"/>
              <w:left w:val="nil"/>
              <w:bottom w:val="nil"/>
              <w:right w:val="nil"/>
            </w:tcBorders>
            <w:shd w:val="clear" w:color="auto" w:fill="FFFFFF"/>
            <w:vAlign w:val="center"/>
          </w:tcPr>
          <w:p w14:paraId="62F0558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Second-stage collinearity</w:t>
            </w:r>
          </w:p>
        </w:tc>
      </w:tr>
      <w:tr w14:paraId="38FF0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2148" w:type="pct"/>
            <w:tcBorders>
              <w:top w:val="nil"/>
              <w:left w:val="nil"/>
              <w:bottom w:val="nil"/>
              <w:right w:val="single" w:color="000000" w:sz="12" w:space="0"/>
            </w:tcBorders>
            <w:shd w:val="clear" w:color="auto" w:fill="FFFFFF"/>
            <w:vAlign w:val="center"/>
          </w:tcPr>
          <w:p w14:paraId="720F63F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Largest Cook's distance</w:t>
            </w:r>
          </w:p>
        </w:tc>
        <w:tc>
          <w:tcPr>
            <w:tcW w:w="670" w:type="pct"/>
            <w:tcBorders>
              <w:top w:val="nil"/>
              <w:left w:val="nil"/>
              <w:bottom w:val="nil"/>
              <w:right w:val="nil"/>
            </w:tcBorders>
            <w:shd w:val="clear" w:color="auto" w:fill="FFFFFF"/>
            <w:vAlign w:val="center"/>
          </w:tcPr>
          <w:p w14:paraId="6A8D570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0.18</w:t>
            </w:r>
          </w:p>
        </w:tc>
        <w:tc>
          <w:tcPr>
            <w:tcW w:w="941" w:type="pct"/>
            <w:tcBorders>
              <w:top w:val="nil"/>
              <w:left w:val="nil"/>
              <w:bottom w:val="nil"/>
              <w:right w:val="nil"/>
            </w:tcBorders>
            <w:shd w:val="clear" w:color="auto" w:fill="FFFFFF"/>
            <w:vAlign w:val="center"/>
          </w:tcPr>
          <w:p w14:paraId="00BAC75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City of London</w:t>
            </w:r>
          </w:p>
        </w:tc>
        <w:tc>
          <w:tcPr>
            <w:tcW w:w="1238" w:type="pct"/>
            <w:tcBorders>
              <w:top w:val="nil"/>
              <w:left w:val="nil"/>
              <w:bottom w:val="nil"/>
              <w:right w:val="nil"/>
            </w:tcBorders>
            <w:shd w:val="clear" w:color="auto" w:fill="FFFFFF"/>
            <w:vAlign w:val="center"/>
          </w:tcPr>
          <w:p w14:paraId="798BC23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Influential area</w:t>
            </w:r>
          </w:p>
        </w:tc>
      </w:tr>
      <w:tr w14:paraId="6F13D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blHeader/>
          <w:jc w:val="center"/>
        </w:trPr>
        <w:tc>
          <w:tcPr>
            <w:tcW w:w="2148" w:type="pct"/>
            <w:tcBorders>
              <w:top w:val="nil"/>
              <w:left w:val="nil"/>
              <w:bottom w:val="nil"/>
              <w:right w:val="single" w:color="000000" w:sz="12" w:space="0"/>
            </w:tcBorders>
            <w:shd w:val="clear" w:color="auto" w:fill="FFFFFF"/>
            <w:vAlign w:val="center"/>
          </w:tcPr>
          <w:p w14:paraId="4939F8B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Max leave-one-area-out change in key coefficient</w:t>
            </w:r>
          </w:p>
        </w:tc>
        <w:tc>
          <w:tcPr>
            <w:tcW w:w="670" w:type="pct"/>
            <w:tcBorders>
              <w:top w:val="nil"/>
              <w:left w:val="nil"/>
              <w:bottom w:val="nil"/>
              <w:right w:val="nil"/>
            </w:tcBorders>
            <w:shd w:val="clear" w:color="auto" w:fill="FFFFFF"/>
            <w:vAlign w:val="center"/>
          </w:tcPr>
          <w:p w14:paraId="40ACD01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0.015</w:t>
            </w:r>
          </w:p>
        </w:tc>
        <w:tc>
          <w:tcPr>
            <w:tcW w:w="941" w:type="pct"/>
            <w:tcBorders>
              <w:top w:val="nil"/>
              <w:left w:val="nil"/>
              <w:bottom w:val="nil"/>
              <w:right w:val="nil"/>
            </w:tcBorders>
            <w:shd w:val="clear" w:color="auto" w:fill="FFFFFF"/>
            <w:vAlign w:val="center"/>
          </w:tcPr>
          <w:p w14:paraId="66BBD0E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GVA coefficient</w:t>
            </w:r>
          </w:p>
        </w:tc>
        <w:tc>
          <w:tcPr>
            <w:tcW w:w="1238" w:type="pct"/>
            <w:tcBorders>
              <w:top w:val="nil"/>
              <w:left w:val="nil"/>
              <w:bottom w:val="nil"/>
              <w:right w:val="nil"/>
            </w:tcBorders>
            <w:shd w:val="clear" w:color="auto" w:fill="FFFFFF"/>
            <w:vAlign w:val="center"/>
          </w:tcPr>
          <w:p w14:paraId="0216D3F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Stability</w:t>
            </w:r>
          </w:p>
        </w:tc>
      </w:tr>
      <w:tr w14:paraId="40AA2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blHeader/>
          <w:jc w:val="center"/>
        </w:trPr>
        <w:tc>
          <w:tcPr>
            <w:tcW w:w="2148" w:type="pct"/>
            <w:tcBorders>
              <w:top w:val="nil"/>
              <w:left w:val="nil"/>
              <w:bottom w:val="single" w:color="000000" w:sz="12" w:space="0"/>
              <w:right w:val="single" w:color="000000" w:sz="12" w:space="0"/>
            </w:tcBorders>
            <w:shd w:val="clear" w:color="auto" w:fill="FFFFFF"/>
            <w:vAlign w:val="center"/>
          </w:tcPr>
          <w:p w14:paraId="1DF50EE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Leave-one-area-out component ordering</w:t>
            </w:r>
          </w:p>
        </w:tc>
        <w:tc>
          <w:tcPr>
            <w:tcW w:w="670" w:type="pct"/>
            <w:tcBorders>
              <w:top w:val="nil"/>
              <w:left w:val="nil"/>
              <w:bottom w:val="single" w:color="000000" w:sz="12" w:space="0"/>
              <w:right w:val="nil"/>
            </w:tcBorders>
            <w:shd w:val="clear" w:color="auto" w:fill="FFFFFF"/>
            <w:vAlign w:val="center"/>
          </w:tcPr>
          <w:p w14:paraId="214D7EC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No reversal</w:t>
            </w:r>
          </w:p>
        </w:tc>
        <w:tc>
          <w:tcPr>
            <w:tcW w:w="941" w:type="pct"/>
            <w:tcBorders>
              <w:top w:val="nil"/>
              <w:left w:val="nil"/>
              <w:bottom w:val="single" w:color="000000" w:sz="12" w:space="0"/>
              <w:right w:val="nil"/>
            </w:tcBorders>
            <w:shd w:val="clear" w:color="auto" w:fill="FFFFFF"/>
            <w:vAlign w:val="center"/>
          </w:tcPr>
          <w:p w14:paraId="3A96C6D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All study areas</w:t>
            </w:r>
          </w:p>
        </w:tc>
        <w:tc>
          <w:tcPr>
            <w:tcW w:w="1238" w:type="pct"/>
            <w:tcBorders>
              <w:top w:val="nil"/>
              <w:left w:val="nil"/>
              <w:bottom w:val="single" w:color="000000" w:sz="12" w:space="0"/>
              <w:right w:val="nil"/>
            </w:tcBorders>
            <w:shd w:val="clear" w:color="auto" w:fill="FFFFFF"/>
            <w:vAlign w:val="center"/>
          </w:tcPr>
          <w:p w14:paraId="668691D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Stability</w:t>
            </w:r>
          </w:p>
        </w:tc>
      </w:tr>
    </w:tbl>
    <w:p w14:paraId="3E46B2E4">
      <w:pPr>
        <w:pageBreakBefore w:val="0"/>
        <w:widowControl/>
        <w:kinsoku/>
        <w:wordWrap/>
        <w:overflowPunct/>
        <w:topLinePunct w:val="0"/>
        <w:autoSpaceDE/>
        <w:autoSpaceDN/>
        <w:bidi w:val="0"/>
        <w:adjustRightInd/>
        <w:snapToGrid/>
        <w:spacing w:before="0" w:after="160" w:line="240" w:lineRule="auto"/>
        <w:ind w:firstLine="0"/>
        <w:jc w:val="left"/>
        <w:textAlignment w:val="auto"/>
        <w:rPr>
          <w:rFonts w:hint="default" w:ascii="Times New Roman" w:hAnsi="Times New Roman" w:eastAsia="Times New Roman" w:cs="Times New Roman"/>
          <w:i/>
          <w:iCs w:val="0"/>
          <w:sz w:val="24"/>
          <w:szCs w:val="24"/>
        </w:rPr>
      </w:pPr>
      <w:r>
        <w:rPr>
          <w:rFonts w:hint="default" w:ascii="Times New Roman" w:hAnsi="Times New Roman" w:eastAsia="Times New Roman" w:cs="Times New Roman"/>
          <w:i/>
          <w:iCs w:val="0"/>
          <w:sz w:val="24"/>
          <w:szCs w:val="24"/>
        </w:rPr>
        <w:t>Note. Influence diagnostics assess area-level leverage. The leave-one-area-out result shows no reversal in the ordering of the combined people and place point estimates when any single area is omitted; it does not provide an uncertainty interval for their difference.</w:t>
      </w:r>
    </w:p>
    <w:p w14:paraId="73613CB1">
      <w:pPr>
        <w:pageBreakBefore w:val="0"/>
        <w:widowControl/>
        <w:kinsoku/>
        <w:wordWrap/>
        <w:overflowPunct/>
        <w:topLinePunct w:val="0"/>
        <w:autoSpaceDE/>
        <w:autoSpaceDN/>
        <w:bidi w:val="0"/>
        <w:adjustRightInd/>
        <w:snapToGrid/>
        <w:spacing w:before="0" w:after="160" w:line="240" w:lineRule="auto"/>
        <w:ind w:firstLine="0"/>
        <w:jc w:val="left"/>
        <w:textAlignment w:val="auto"/>
        <w:rPr>
          <w:rFonts w:hint="default" w:ascii="Times New Roman" w:hAnsi="Times New Roman" w:eastAsia="Times New Roman" w:cs="Times New Roman"/>
          <w:sz w:val="24"/>
          <w:szCs w:val="24"/>
        </w:rPr>
      </w:pPr>
    </w:p>
    <w:p w14:paraId="72FDE787">
      <w:pPr>
        <w:pStyle w:val="3"/>
        <w:keepNext/>
        <w:pageBreakBefore w:val="0"/>
        <w:widowControl/>
        <w:kinsoku/>
        <w:wordWrap/>
        <w:overflowPunct/>
        <w:topLinePunct w:val="0"/>
        <w:autoSpaceDE/>
        <w:autoSpaceDN/>
        <w:bidi w:val="0"/>
        <w:adjustRightInd/>
        <w:snapToGrid/>
        <w:spacing w:before="0" w:after="160" w:line="240" w:lineRule="auto"/>
        <w:ind w:firstLine="0"/>
        <w:jc w:val="both"/>
        <w:textAlignment w:val="auto"/>
        <w:rPr>
          <w:rFonts w:hint="default" w:ascii="Times New Roman" w:hAnsi="Times New Roman" w:cs="Times New Roman"/>
          <w:sz w:val="28"/>
          <w:szCs w:val="28"/>
        </w:rPr>
      </w:pPr>
      <w:r>
        <w:rPr>
          <w:rFonts w:hint="default" w:ascii="Times New Roman" w:hAnsi="Times New Roman" w:eastAsia="Times New Roman" w:cs="Times New Roman"/>
          <w:b/>
          <w:i w:val="0"/>
          <w:sz w:val="28"/>
          <w:szCs w:val="28"/>
        </w:rPr>
        <w:t>Supplementary Appendix E. External statistical benchmarks and supporting context</w:t>
      </w:r>
    </w:p>
    <w:p w14:paraId="713F1508">
      <w:pPr>
        <w:keepNext w:val="0"/>
        <w:keepLines w:val="0"/>
        <w:pageBreakBefore w:val="0"/>
        <w:widowControl/>
        <w:kinsoku/>
        <w:wordWrap/>
        <w:overflowPunct/>
        <w:topLinePunct w:val="0"/>
        <w:autoSpaceDE/>
        <w:autoSpaceDN/>
        <w:bidi w:val="0"/>
        <w:adjustRightInd/>
        <w:snapToGrid/>
        <w:spacing w:before="0" w:after="160" w:line="240" w:lineRule="auto"/>
        <w:ind w:firstLine="0"/>
        <w:jc w:val="both"/>
        <w:textAlignment w:val="auto"/>
        <w:rPr>
          <w:rFonts w:hint="default" w:ascii="Times New Roman" w:hAnsi="Times New Roman" w:eastAsia="Times New Roman" w:cs="Times New Roman"/>
          <w:i w:val="0"/>
          <w:sz w:val="24"/>
          <w:szCs w:val="24"/>
        </w:rPr>
      </w:pPr>
      <w:r>
        <w:rPr>
          <w:rFonts w:hint="default" w:ascii="Times New Roman" w:hAnsi="Times New Roman" w:eastAsia="Times New Roman" w:cs="Times New Roman"/>
          <w:i w:val="0"/>
          <w:sz w:val="24"/>
          <w:szCs w:val="24"/>
        </w:rPr>
        <w:t>These external statistics support the motivation and validation of the study but are not substituted for the paper's own Secure APS decomposition results.</w:t>
      </w:r>
      <w:r>
        <w:rPr>
          <w:rFonts w:ascii="Times New Roman" w:hAnsi="Times New Roman"/>
          <w:i w:val="0"/>
          <w:sz w:val="24"/>
        </w:rPr>
        <w:t xml:space="preserve"> Table E1 summarises the verified national disability labour-market benchmarks.</w:t>
      </w:r>
    </w:p>
    <w:p w14:paraId="35A78621">
      <w:pPr>
        <w:keepNext w:val="0"/>
        <w:keepLines w:val="0"/>
        <w:pageBreakBefore w:val="0"/>
        <w:widowControl/>
        <w:kinsoku/>
        <w:wordWrap/>
        <w:overflowPunct/>
        <w:topLinePunct w:val="0"/>
        <w:autoSpaceDE/>
        <w:autoSpaceDN/>
        <w:bidi w:val="0"/>
        <w:adjustRightInd/>
        <w:snapToGrid/>
        <w:spacing w:before="0" w:after="160" w:line="240" w:lineRule="auto"/>
        <w:ind w:firstLine="0"/>
        <w:jc w:val="both"/>
        <w:textAlignment w:val="auto"/>
        <w:rPr>
          <w:rFonts w:hint="default" w:ascii="Times New Roman" w:hAnsi="Times New Roman" w:eastAsia="Times New Roman" w:cs="Times New Roman"/>
          <w:i w:val="0"/>
          <w:sz w:val="24"/>
          <w:szCs w:val="24"/>
        </w:rPr>
      </w:pPr>
    </w:p>
    <w:p w14:paraId="714BA15F">
      <w:pPr>
        <w:keepNext/>
        <w:pageBreakBefore w:val="0"/>
        <w:widowControl/>
        <w:kinsoku/>
        <w:wordWrap/>
        <w:overflowPunct/>
        <w:topLinePunct w:val="0"/>
        <w:autoSpaceDE/>
        <w:autoSpaceDN/>
        <w:bidi w:val="0"/>
        <w:adjustRightInd/>
        <w:snapToGrid/>
        <w:spacing w:before="0" w:after="160" w:line="240" w:lineRule="auto"/>
        <w:ind w:firstLine="0"/>
        <w:jc w:val="center"/>
        <w:textAlignment w:val="auto"/>
        <w:rPr>
          <w:rFonts w:hint="default" w:ascii="Times New Roman" w:hAnsi="Times New Roman" w:cs="Times New Roman"/>
          <w:sz w:val="24"/>
          <w:szCs w:val="24"/>
        </w:rPr>
      </w:pPr>
      <w:r>
        <w:rPr>
          <w:rFonts w:hint="default" w:ascii="Times New Roman" w:hAnsi="Times New Roman" w:eastAsia="Times New Roman" w:cs="Times New Roman"/>
          <w:b/>
          <w:sz w:val="24"/>
          <w:szCs w:val="24"/>
        </w:rPr>
        <w:t xml:space="preserve">Table E1. </w:t>
      </w:r>
      <w:r>
        <w:rPr>
          <w:rFonts w:hint="default" w:ascii="Times New Roman" w:hAnsi="Times New Roman" w:eastAsia="Times New Roman" w:cs="Times New Roman"/>
          <w:sz w:val="24"/>
          <w:szCs w:val="24"/>
        </w:rPr>
        <w:t>Verified national disability labour-market benchmarks</w:t>
      </w:r>
    </w:p>
    <w:tbl>
      <w:tblPr>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539"/>
        <w:gridCol w:w="3727"/>
        <w:gridCol w:w="965"/>
        <w:gridCol w:w="3005"/>
      </w:tblGrid>
      <w:tr w14:paraId="55DBC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blHeader/>
          <w:jc w:val="center"/>
        </w:trPr>
        <w:tc>
          <w:tcPr>
            <w:tcW w:w="833" w:type="pct"/>
            <w:tcBorders>
              <w:top w:val="single" w:color="000000" w:sz="12" w:space="0"/>
              <w:left w:val="nil"/>
              <w:bottom w:val="single" w:color="000000" w:sz="8" w:space="0"/>
              <w:right w:val="single" w:color="000000" w:sz="12" w:space="0"/>
            </w:tcBorders>
            <w:shd w:val="clear" w:color="auto" w:fill="FFFFFF"/>
            <w:vAlign w:val="center"/>
          </w:tcPr>
          <w:p w14:paraId="18919A5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Period</w:t>
            </w:r>
          </w:p>
        </w:tc>
        <w:tc>
          <w:tcPr>
            <w:tcW w:w="2017" w:type="pct"/>
            <w:tcBorders>
              <w:top w:val="single" w:color="000000" w:sz="12" w:space="0"/>
              <w:left w:val="nil"/>
              <w:bottom w:val="single" w:color="000000" w:sz="8" w:space="0"/>
              <w:right w:val="nil"/>
            </w:tcBorders>
            <w:shd w:val="clear" w:color="auto" w:fill="FFFFFF"/>
            <w:vAlign w:val="center"/>
          </w:tcPr>
          <w:p w14:paraId="0DECE26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Indicator</w:t>
            </w:r>
          </w:p>
        </w:tc>
        <w:tc>
          <w:tcPr>
            <w:tcW w:w="522" w:type="pct"/>
            <w:tcBorders>
              <w:top w:val="single" w:color="000000" w:sz="12" w:space="0"/>
              <w:left w:val="nil"/>
              <w:bottom w:val="single" w:color="000000" w:sz="8" w:space="0"/>
              <w:right w:val="nil"/>
            </w:tcBorders>
            <w:shd w:val="clear" w:color="auto" w:fill="FFFFFF"/>
            <w:vAlign w:val="center"/>
          </w:tcPr>
          <w:p w14:paraId="274BA98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Value</w:t>
            </w:r>
          </w:p>
        </w:tc>
        <w:tc>
          <w:tcPr>
            <w:tcW w:w="1626" w:type="pct"/>
            <w:tcBorders>
              <w:top w:val="single" w:color="000000" w:sz="12" w:space="0"/>
              <w:left w:val="nil"/>
              <w:bottom w:val="single" w:color="000000" w:sz="8" w:space="0"/>
              <w:right w:val="nil"/>
            </w:tcBorders>
            <w:shd w:val="clear" w:color="auto" w:fill="FFFFFF"/>
            <w:vAlign w:val="center"/>
          </w:tcPr>
          <w:p w14:paraId="45774F8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Source</w:t>
            </w:r>
          </w:p>
        </w:tc>
      </w:tr>
      <w:tr w14:paraId="21145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833" w:type="pct"/>
            <w:tcBorders>
              <w:top w:val="nil"/>
              <w:left w:val="nil"/>
              <w:bottom w:val="nil"/>
              <w:right w:val="single" w:color="000000" w:sz="12" w:space="0"/>
            </w:tcBorders>
            <w:shd w:val="clear" w:color="auto" w:fill="FFFFFF"/>
            <w:vAlign w:val="center"/>
          </w:tcPr>
          <w:p w14:paraId="2BEA216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Apr-Jun 2025</w:t>
            </w:r>
          </w:p>
        </w:tc>
        <w:tc>
          <w:tcPr>
            <w:tcW w:w="2017" w:type="pct"/>
            <w:tcBorders>
              <w:top w:val="nil"/>
              <w:left w:val="nil"/>
              <w:bottom w:val="nil"/>
              <w:right w:val="nil"/>
            </w:tcBorders>
            <w:shd w:val="clear" w:color="auto" w:fill="FFFFFF"/>
            <w:vAlign w:val="center"/>
          </w:tcPr>
          <w:p w14:paraId="20BCB95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Disabled employment rate</w:t>
            </w:r>
          </w:p>
        </w:tc>
        <w:tc>
          <w:tcPr>
            <w:tcW w:w="522" w:type="pct"/>
            <w:tcBorders>
              <w:top w:val="nil"/>
              <w:left w:val="nil"/>
              <w:bottom w:val="nil"/>
              <w:right w:val="nil"/>
            </w:tcBorders>
            <w:shd w:val="clear" w:color="auto" w:fill="FFFFFF"/>
            <w:vAlign w:val="center"/>
          </w:tcPr>
          <w:p w14:paraId="6F3F7910">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52.80%</w:t>
            </w:r>
          </w:p>
        </w:tc>
        <w:tc>
          <w:tcPr>
            <w:tcW w:w="1626" w:type="pct"/>
            <w:tcBorders>
              <w:top w:val="nil"/>
              <w:left w:val="nil"/>
              <w:bottom w:val="nil"/>
              <w:right w:val="nil"/>
            </w:tcBorders>
            <w:shd w:val="clear" w:color="auto" w:fill="FFFFFF"/>
            <w:vAlign w:val="center"/>
          </w:tcPr>
          <w:p w14:paraId="77FDAF4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DWP 2026</w:t>
            </w:r>
          </w:p>
        </w:tc>
      </w:tr>
      <w:tr w14:paraId="1589D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833" w:type="pct"/>
            <w:tcBorders>
              <w:top w:val="nil"/>
              <w:left w:val="nil"/>
              <w:bottom w:val="nil"/>
              <w:right w:val="single" w:color="000000" w:sz="12" w:space="0"/>
            </w:tcBorders>
            <w:shd w:val="clear" w:color="auto" w:fill="FFFFFF"/>
            <w:vAlign w:val="center"/>
          </w:tcPr>
          <w:p w14:paraId="5FDBB0A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Apr-Jun 2025</w:t>
            </w:r>
          </w:p>
        </w:tc>
        <w:tc>
          <w:tcPr>
            <w:tcW w:w="2017" w:type="pct"/>
            <w:tcBorders>
              <w:top w:val="nil"/>
              <w:left w:val="nil"/>
              <w:bottom w:val="nil"/>
              <w:right w:val="nil"/>
            </w:tcBorders>
            <w:shd w:val="clear" w:color="auto" w:fill="FFFFFF"/>
            <w:vAlign w:val="center"/>
          </w:tcPr>
          <w:p w14:paraId="4EB27C9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Non-disabled employment rate</w:t>
            </w:r>
          </w:p>
        </w:tc>
        <w:tc>
          <w:tcPr>
            <w:tcW w:w="522" w:type="pct"/>
            <w:tcBorders>
              <w:top w:val="nil"/>
              <w:left w:val="nil"/>
              <w:bottom w:val="nil"/>
              <w:right w:val="nil"/>
            </w:tcBorders>
            <w:shd w:val="clear" w:color="auto" w:fill="FFFFFF"/>
            <w:vAlign w:val="center"/>
          </w:tcPr>
          <w:p w14:paraId="422850C6">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82.50%</w:t>
            </w:r>
          </w:p>
        </w:tc>
        <w:tc>
          <w:tcPr>
            <w:tcW w:w="1626" w:type="pct"/>
            <w:tcBorders>
              <w:top w:val="nil"/>
              <w:left w:val="nil"/>
              <w:bottom w:val="nil"/>
              <w:right w:val="nil"/>
            </w:tcBorders>
            <w:shd w:val="clear" w:color="auto" w:fill="FFFFFF"/>
            <w:vAlign w:val="center"/>
          </w:tcPr>
          <w:p w14:paraId="15EA8A1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DWP 2026</w:t>
            </w:r>
          </w:p>
        </w:tc>
      </w:tr>
      <w:tr w14:paraId="21A5A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833" w:type="pct"/>
            <w:tcBorders>
              <w:top w:val="nil"/>
              <w:left w:val="nil"/>
              <w:bottom w:val="nil"/>
              <w:right w:val="single" w:color="000000" w:sz="12" w:space="0"/>
            </w:tcBorders>
            <w:shd w:val="clear" w:color="auto" w:fill="FFFFFF"/>
            <w:vAlign w:val="center"/>
          </w:tcPr>
          <w:p w14:paraId="69440E7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Apr-Jun 2025</w:t>
            </w:r>
          </w:p>
        </w:tc>
        <w:tc>
          <w:tcPr>
            <w:tcW w:w="2017" w:type="pct"/>
            <w:tcBorders>
              <w:top w:val="nil"/>
              <w:left w:val="nil"/>
              <w:bottom w:val="nil"/>
              <w:right w:val="nil"/>
            </w:tcBorders>
            <w:shd w:val="clear" w:color="auto" w:fill="FFFFFF"/>
            <w:vAlign w:val="center"/>
          </w:tcPr>
          <w:p w14:paraId="5E36875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Disability employment gap</w:t>
            </w:r>
          </w:p>
        </w:tc>
        <w:tc>
          <w:tcPr>
            <w:tcW w:w="522" w:type="pct"/>
            <w:tcBorders>
              <w:top w:val="nil"/>
              <w:left w:val="nil"/>
              <w:bottom w:val="nil"/>
              <w:right w:val="nil"/>
            </w:tcBorders>
            <w:shd w:val="clear" w:color="auto" w:fill="FFFFFF"/>
            <w:vAlign w:val="center"/>
          </w:tcPr>
          <w:p w14:paraId="2B81FDB2">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29.7 pp</w:t>
            </w:r>
          </w:p>
        </w:tc>
        <w:tc>
          <w:tcPr>
            <w:tcW w:w="1626" w:type="pct"/>
            <w:tcBorders>
              <w:top w:val="nil"/>
              <w:left w:val="nil"/>
              <w:bottom w:val="nil"/>
              <w:right w:val="nil"/>
            </w:tcBorders>
            <w:shd w:val="clear" w:color="auto" w:fill="FFFFFF"/>
            <w:vAlign w:val="center"/>
          </w:tcPr>
          <w:p w14:paraId="4EA8A29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DWP 2026</w:t>
            </w:r>
          </w:p>
        </w:tc>
      </w:tr>
      <w:tr w14:paraId="3E448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833" w:type="pct"/>
            <w:tcBorders>
              <w:top w:val="nil"/>
              <w:left w:val="nil"/>
              <w:bottom w:val="nil"/>
              <w:right w:val="single" w:color="000000" w:sz="12" w:space="0"/>
            </w:tcBorders>
            <w:shd w:val="clear" w:color="auto" w:fill="FFFFFF"/>
            <w:vAlign w:val="center"/>
          </w:tcPr>
          <w:p w14:paraId="535F08F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Apr-Jun 2025</w:t>
            </w:r>
          </w:p>
        </w:tc>
        <w:tc>
          <w:tcPr>
            <w:tcW w:w="2017" w:type="pct"/>
            <w:tcBorders>
              <w:top w:val="nil"/>
              <w:left w:val="nil"/>
              <w:bottom w:val="nil"/>
              <w:right w:val="nil"/>
            </w:tcBorders>
            <w:shd w:val="clear" w:color="auto" w:fill="FFFFFF"/>
            <w:vAlign w:val="center"/>
          </w:tcPr>
          <w:p w14:paraId="265BFC1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Disabled underemployment rate</w:t>
            </w:r>
          </w:p>
        </w:tc>
        <w:tc>
          <w:tcPr>
            <w:tcW w:w="522" w:type="pct"/>
            <w:tcBorders>
              <w:top w:val="nil"/>
              <w:left w:val="nil"/>
              <w:bottom w:val="nil"/>
              <w:right w:val="nil"/>
            </w:tcBorders>
            <w:shd w:val="clear" w:color="auto" w:fill="FFFFFF"/>
            <w:vAlign w:val="center"/>
          </w:tcPr>
          <w:p w14:paraId="22E745C9">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10.00%</w:t>
            </w:r>
          </w:p>
        </w:tc>
        <w:tc>
          <w:tcPr>
            <w:tcW w:w="1626" w:type="pct"/>
            <w:tcBorders>
              <w:top w:val="nil"/>
              <w:left w:val="nil"/>
              <w:bottom w:val="nil"/>
              <w:right w:val="nil"/>
            </w:tcBorders>
            <w:shd w:val="clear" w:color="auto" w:fill="FFFFFF"/>
            <w:vAlign w:val="center"/>
          </w:tcPr>
          <w:p w14:paraId="4D0363F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DWP 2026</w:t>
            </w:r>
          </w:p>
        </w:tc>
      </w:tr>
      <w:tr w14:paraId="487C6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33" w:type="pct"/>
            <w:tcBorders>
              <w:top w:val="nil"/>
              <w:left w:val="nil"/>
              <w:bottom w:val="nil"/>
              <w:right w:val="single" w:color="000000" w:sz="12" w:space="0"/>
            </w:tcBorders>
            <w:shd w:val="clear" w:color="auto" w:fill="FFFFFF"/>
            <w:vAlign w:val="center"/>
          </w:tcPr>
          <w:p w14:paraId="5AEBD49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Apr-Jun 2025</w:t>
            </w:r>
          </w:p>
        </w:tc>
        <w:tc>
          <w:tcPr>
            <w:tcW w:w="2017" w:type="pct"/>
            <w:tcBorders>
              <w:top w:val="nil"/>
              <w:left w:val="nil"/>
              <w:bottom w:val="nil"/>
              <w:right w:val="nil"/>
            </w:tcBorders>
            <w:shd w:val="clear" w:color="auto" w:fill="FFFFFF"/>
            <w:vAlign w:val="center"/>
          </w:tcPr>
          <w:p w14:paraId="6F5E780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Non-disabled underemployment rate</w:t>
            </w:r>
          </w:p>
        </w:tc>
        <w:tc>
          <w:tcPr>
            <w:tcW w:w="522" w:type="pct"/>
            <w:tcBorders>
              <w:top w:val="nil"/>
              <w:left w:val="nil"/>
              <w:bottom w:val="nil"/>
              <w:right w:val="nil"/>
            </w:tcBorders>
            <w:shd w:val="clear" w:color="auto" w:fill="FFFFFF"/>
            <w:vAlign w:val="center"/>
          </w:tcPr>
          <w:p w14:paraId="4552A912">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7.70%</w:t>
            </w:r>
          </w:p>
        </w:tc>
        <w:tc>
          <w:tcPr>
            <w:tcW w:w="1626" w:type="pct"/>
            <w:tcBorders>
              <w:top w:val="nil"/>
              <w:left w:val="nil"/>
              <w:bottom w:val="nil"/>
              <w:right w:val="nil"/>
            </w:tcBorders>
            <w:shd w:val="clear" w:color="auto" w:fill="FFFFFF"/>
            <w:vAlign w:val="center"/>
          </w:tcPr>
          <w:p w14:paraId="75E3E6D1">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DWP 2026</w:t>
            </w:r>
          </w:p>
        </w:tc>
      </w:tr>
      <w:tr w14:paraId="4AC8F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33" w:type="pct"/>
            <w:tcBorders>
              <w:top w:val="nil"/>
              <w:left w:val="nil"/>
              <w:bottom w:val="nil"/>
              <w:right w:val="single" w:color="000000" w:sz="12" w:space="0"/>
            </w:tcBorders>
            <w:shd w:val="clear" w:color="auto" w:fill="FFFFFF"/>
            <w:vAlign w:val="center"/>
          </w:tcPr>
          <w:p w14:paraId="56D3111D">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Apr-Jun 2025</w:t>
            </w:r>
          </w:p>
        </w:tc>
        <w:tc>
          <w:tcPr>
            <w:tcW w:w="2017" w:type="pct"/>
            <w:tcBorders>
              <w:top w:val="nil"/>
              <w:left w:val="nil"/>
              <w:bottom w:val="nil"/>
              <w:right w:val="nil"/>
            </w:tcBorders>
            <w:shd w:val="clear" w:color="auto" w:fill="FFFFFF"/>
            <w:vAlign w:val="center"/>
          </w:tcPr>
          <w:p w14:paraId="5D52F53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Disability underemployment gap</w:t>
            </w:r>
          </w:p>
        </w:tc>
        <w:tc>
          <w:tcPr>
            <w:tcW w:w="522" w:type="pct"/>
            <w:tcBorders>
              <w:top w:val="nil"/>
              <w:left w:val="nil"/>
              <w:bottom w:val="nil"/>
              <w:right w:val="nil"/>
            </w:tcBorders>
            <w:shd w:val="clear" w:color="auto" w:fill="FFFFFF"/>
            <w:vAlign w:val="center"/>
          </w:tcPr>
          <w:p w14:paraId="0C77797C">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2.3 pp</w:t>
            </w:r>
          </w:p>
        </w:tc>
        <w:tc>
          <w:tcPr>
            <w:tcW w:w="1626" w:type="pct"/>
            <w:tcBorders>
              <w:top w:val="nil"/>
              <w:left w:val="nil"/>
              <w:bottom w:val="nil"/>
              <w:right w:val="nil"/>
            </w:tcBorders>
            <w:shd w:val="clear" w:color="auto" w:fill="FFFFFF"/>
            <w:vAlign w:val="center"/>
          </w:tcPr>
          <w:p w14:paraId="3449C47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Derived from published rates</w:t>
            </w:r>
          </w:p>
        </w:tc>
      </w:tr>
      <w:tr w14:paraId="43F9E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33" w:type="pct"/>
            <w:tcBorders>
              <w:top w:val="nil"/>
              <w:left w:val="nil"/>
              <w:bottom w:val="nil"/>
              <w:right w:val="single" w:color="000000" w:sz="12" w:space="0"/>
            </w:tcBorders>
            <w:shd w:val="clear" w:color="auto" w:fill="FFFFFF"/>
            <w:vAlign w:val="center"/>
          </w:tcPr>
          <w:p w14:paraId="46B651A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Apr-Jun 2024</w:t>
            </w:r>
          </w:p>
        </w:tc>
        <w:tc>
          <w:tcPr>
            <w:tcW w:w="2017" w:type="pct"/>
            <w:tcBorders>
              <w:top w:val="nil"/>
              <w:left w:val="nil"/>
              <w:bottom w:val="nil"/>
              <w:right w:val="nil"/>
            </w:tcBorders>
            <w:shd w:val="clear" w:color="auto" w:fill="FFFFFF"/>
            <w:vAlign w:val="center"/>
          </w:tcPr>
          <w:p w14:paraId="6A3D52D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Disabled underemployment rate</w:t>
            </w:r>
          </w:p>
        </w:tc>
        <w:tc>
          <w:tcPr>
            <w:tcW w:w="522" w:type="pct"/>
            <w:tcBorders>
              <w:top w:val="nil"/>
              <w:left w:val="nil"/>
              <w:bottom w:val="nil"/>
              <w:right w:val="nil"/>
            </w:tcBorders>
            <w:shd w:val="clear" w:color="auto" w:fill="FFFFFF"/>
            <w:vAlign w:val="center"/>
          </w:tcPr>
          <w:p w14:paraId="6E36CBB1">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9.10%</w:t>
            </w:r>
          </w:p>
        </w:tc>
        <w:tc>
          <w:tcPr>
            <w:tcW w:w="1626" w:type="pct"/>
            <w:tcBorders>
              <w:top w:val="nil"/>
              <w:left w:val="nil"/>
              <w:bottom w:val="nil"/>
              <w:right w:val="nil"/>
            </w:tcBorders>
            <w:shd w:val="clear" w:color="auto" w:fill="FFFFFF"/>
            <w:vAlign w:val="center"/>
          </w:tcPr>
          <w:p w14:paraId="2BC8F9A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DWP 2026</w:t>
            </w:r>
          </w:p>
        </w:tc>
      </w:tr>
      <w:tr w14:paraId="45B54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833" w:type="pct"/>
            <w:tcBorders>
              <w:top w:val="nil"/>
              <w:left w:val="nil"/>
              <w:bottom w:val="nil"/>
              <w:right w:val="single" w:color="000000" w:sz="12" w:space="0"/>
            </w:tcBorders>
            <w:shd w:val="clear" w:color="auto" w:fill="FFFFFF"/>
            <w:vAlign w:val="center"/>
          </w:tcPr>
          <w:p w14:paraId="67EB9FE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Apr-Jun 2024</w:t>
            </w:r>
          </w:p>
        </w:tc>
        <w:tc>
          <w:tcPr>
            <w:tcW w:w="2017" w:type="pct"/>
            <w:tcBorders>
              <w:top w:val="nil"/>
              <w:left w:val="nil"/>
              <w:bottom w:val="nil"/>
              <w:right w:val="nil"/>
            </w:tcBorders>
            <w:shd w:val="clear" w:color="auto" w:fill="FFFFFF"/>
            <w:vAlign w:val="center"/>
          </w:tcPr>
          <w:p w14:paraId="5982989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Non-disabled underemployment rate</w:t>
            </w:r>
          </w:p>
        </w:tc>
        <w:tc>
          <w:tcPr>
            <w:tcW w:w="522" w:type="pct"/>
            <w:tcBorders>
              <w:top w:val="nil"/>
              <w:left w:val="nil"/>
              <w:bottom w:val="nil"/>
              <w:right w:val="nil"/>
            </w:tcBorders>
            <w:shd w:val="clear" w:color="auto" w:fill="FFFFFF"/>
            <w:vAlign w:val="center"/>
          </w:tcPr>
          <w:p w14:paraId="34BC5027">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6.70%</w:t>
            </w:r>
          </w:p>
        </w:tc>
        <w:tc>
          <w:tcPr>
            <w:tcW w:w="1626" w:type="pct"/>
            <w:tcBorders>
              <w:top w:val="nil"/>
              <w:left w:val="nil"/>
              <w:bottom w:val="nil"/>
              <w:right w:val="nil"/>
            </w:tcBorders>
            <w:shd w:val="clear" w:color="auto" w:fill="FFFFFF"/>
            <w:vAlign w:val="center"/>
          </w:tcPr>
          <w:p w14:paraId="39F5F84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DWP 2026</w:t>
            </w:r>
          </w:p>
        </w:tc>
      </w:tr>
      <w:tr w14:paraId="5E339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833" w:type="pct"/>
            <w:tcBorders>
              <w:top w:val="nil"/>
              <w:left w:val="nil"/>
              <w:bottom w:val="single" w:color="000000" w:sz="12" w:space="0"/>
              <w:right w:val="single" w:color="000000" w:sz="12" w:space="0"/>
            </w:tcBorders>
            <w:shd w:val="clear" w:color="auto" w:fill="FFFFFF"/>
            <w:vAlign w:val="center"/>
          </w:tcPr>
          <w:p w14:paraId="31E9800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Apr-Jun 2024</w:t>
            </w:r>
          </w:p>
        </w:tc>
        <w:tc>
          <w:tcPr>
            <w:tcW w:w="2017" w:type="pct"/>
            <w:tcBorders>
              <w:top w:val="nil"/>
              <w:left w:val="nil"/>
              <w:bottom w:val="single" w:color="000000" w:sz="12" w:space="0"/>
              <w:right w:val="nil"/>
            </w:tcBorders>
            <w:shd w:val="clear" w:color="auto" w:fill="FFFFFF"/>
            <w:vAlign w:val="center"/>
          </w:tcPr>
          <w:p w14:paraId="381D474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Disability underemployment gap</w:t>
            </w:r>
          </w:p>
        </w:tc>
        <w:tc>
          <w:tcPr>
            <w:tcW w:w="522" w:type="pct"/>
            <w:tcBorders>
              <w:top w:val="nil"/>
              <w:left w:val="nil"/>
              <w:bottom w:val="single" w:color="000000" w:sz="12" w:space="0"/>
              <w:right w:val="nil"/>
            </w:tcBorders>
            <w:shd w:val="clear" w:color="auto" w:fill="FFFFFF"/>
            <w:vAlign w:val="center"/>
          </w:tcPr>
          <w:p w14:paraId="4583B5B6">
            <w:pPr>
              <w:keepNext w:val="0"/>
              <w:keepLines w:val="0"/>
              <w:widowControl/>
              <w:suppressLineNumbers w:val="0"/>
              <w:snapToGrid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2.4 pp</w:t>
            </w:r>
          </w:p>
        </w:tc>
        <w:tc>
          <w:tcPr>
            <w:tcW w:w="1626" w:type="pct"/>
            <w:tcBorders>
              <w:top w:val="nil"/>
              <w:left w:val="nil"/>
              <w:bottom w:val="single" w:color="000000" w:sz="12" w:space="0"/>
              <w:right w:val="nil"/>
            </w:tcBorders>
            <w:shd w:val="clear" w:color="auto" w:fill="FFFFFF"/>
            <w:vAlign w:val="center"/>
          </w:tcPr>
          <w:p w14:paraId="7358B0A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Derived from published rates</w:t>
            </w:r>
          </w:p>
        </w:tc>
      </w:tr>
    </w:tbl>
    <w:p w14:paraId="7B3AFC2F">
      <w:pPr>
        <w:pageBreakBefore w:val="0"/>
        <w:widowControl/>
        <w:kinsoku/>
        <w:wordWrap/>
        <w:overflowPunct/>
        <w:topLinePunct w:val="0"/>
        <w:autoSpaceDE/>
        <w:autoSpaceDN/>
        <w:bidi w:val="0"/>
        <w:adjustRightInd/>
        <w:snapToGrid/>
        <w:spacing w:before="0" w:after="160" w:line="240" w:lineRule="auto"/>
        <w:ind w:firstLine="0"/>
        <w:jc w:val="left"/>
        <w:textAlignment w:val="auto"/>
        <w:rPr>
          <w:rFonts w:hint="default" w:ascii="Times New Roman" w:hAnsi="Times New Roman" w:cs="Times New Roman"/>
          <w:i/>
          <w:iCs w:val="0"/>
          <w:sz w:val="24"/>
          <w:szCs w:val="24"/>
        </w:rPr>
      </w:pPr>
      <w:r>
        <w:rPr>
          <w:rFonts w:hint="default" w:ascii="Times New Roman" w:hAnsi="Times New Roman" w:eastAsia="Times New Roman" w:cs="Times New Roman"/>
          <w:i/>
          <w:iCs w:val="0"/>
          <w:sz w:val="24"/>
          <w:szCs w:val="24"/>
        </w:rPr>
        <w:t>Note. DWP states that April-June 2025 quarterly disability employment figures are not seasonally adjusted and recommends same-quarter year-on-year comparisons. The national underemployment definition is reproduced in Section 5.3.</w:t>
      </w:r>
    </w:p>
    <w:p w14:paraId="17931308">
      <w:pPr>
        <w:pStyle w:val="3"/>
        <w:keepNext/>
        <w:pageBreakBefore w:val="0"/>
        <w:widowControl/>
        <w:kinsoku/>
        <w:wordWrap/>
        <w:overflowPunct/>
        <w:topLinePunct w:val="0"/>
        <w:autoSpaceDE/>
        <w:autoSpaceDN/>
        <w:bidi w:val="0"/>
        <w:adjustRightInd/>
        <w:snapToGrid/>
        <w:spacing w:before="0" w:after="160" w:line="240" w:lineRule="auto"/>
        <w:ind w:firstLine="0"/>
        <w:jc w:val="both"/>
        <w:textAlignment w:val="auto"/>
        <w:rPr>
          <w:rFonts w:hint="default" w:ascii="Times New Roman" w:hAnsi="Times New Roman" w:cs="Times New Roman"/>
          <w:sz w:val="28"/>
          <w:szCs w:val="28"/>
        </w:rPr>
      </w:pPr>
      <w:r>
        <w:rPr>
          <w:rFonts w:hint="default" w:ascii="Times New Roman" w:hAnsi="Times New Roman" w:eastAsia="Times New Roman" w:cs="Times New Roman"/>
          <w:b/>
          <w:i w:val="0"/>
          <w:sz w:val="28"/>
          <w:szCs w:val="28"/>
        </w:rPr>
        <w:t>Supplementary Appendix F. Reproducibility and disclosure-control matrix</w:t>
      </w:r>
    </w:p>
    <w:p w14:paraId="0DDDABAD">
      <w:pPr>
        <w:keepNext w:val="0"/>
        <w:keepLines w:val="0"/>
        <w:pageBreakBefore w:val="0"/>
        <w:widowControl/>
        <w:kinsoku/>
        <w:wordWrap/>
        <w:overflowPunct/>
        <w:topLinePunct w:val="0"/>
        <w:autoSpaceDE/>
        <w:autoSpaceDN/>
        <w:bidi w:val="0"/>
        <w:adjustRightInd/>
        <w:snapToGrid/>
        <w:spacing w:before="0" w:after="160" w:line="240" w:lineRule="auto"/>
        <w:ind w:firstLine="0"/>
        <w:jc w:val="left"/>
        <w:textAlignment w:val="auto"/>
        <w:rPr>
          <w:rFonts w:hint="default" w:ascii="Times New Roman" w:hAnsi="Times New Roman" w:eastAsia="Times New Roman" w:cs="Times New Roman"/>
          <w:b w:val="0"/>
          <w:sz w:val="24"/>
          <w:szCs w:val="24"/>
        </w:rPr>
      </w:pPr>
      <w:r>
        <w:rPr>
          <w:rFonts w:hint="default" w:ascii="Times New Roman" w:hAnsi="Times New Roman" w:eastAsia="Times New Roman" w:cs="Times New Roman"/>
          <w:b w:val="0"/>
          <w:sz w:val="24"/>
          <w:szCs w:val="24"/>
        </w:rPr>
        <w:t>Table F1 distinguishes information reproduced publicly from material governed by Secure Lab conditions, making the reproducibility boundary explicit without implying that protected records can be redistributed.</w:t>
      </w:r>
    </w:p>
    <w:p w14:paraId="41686C09">
      <w:pPr>
        <w:keepNext w:val="0"/>
        <w:keepLines w:val="0"/>
        <w:pageBreakBefore w:val="0"/>
        <w:widowControl/>
        <w:kinsoku/>
        <w:wordWrap/>
        <w:overflowPunct/>
        <w:topLinePunct w:val="0"/>
        <w:autoSpaceDE/>
        <w:autoSpaceDN/>
        <w:bidi w:val="0"/>
        <w:adjustRightInd/>
        <w:snapToGrid/>
        <w:spacing w:before="0" w:after="160" w:line="240" w:lineRule="auto"/>
        <w:ind w:firstLine="0"/>
        <w:jc w:val="left"/>
        <w:textAlignment w:val="auto"/>
        <w:rPr>
          <w:rFonts w:hint="default" w:ascii="Times New Roman" w:hAnsi="Times New Roman" w:eastAsia="Times New Roman" w:cs="Times New Roman"/>
          <w:b w:val="0"/>
          <w:sz w:val="24"/>
          <w:szCs w:val="24"/>
        </w:rPr>
      </w:pPr>
    </w:p>
    <w:p w14:paraId="5064AB9B">
      <w:pPr>
        <w:keepNext/>
        <w:pageBreakBefore w:val="0"/>
        <w:widowControl/>
        <w:kinsoku/>
        <w:wordWrap/>
        <w:overflowPunct/>
        <w:topLinePunct w:val="0"/>
        <w:autoSpaceDE/>
        <w:autoSpaceDN/>
        <w:bidi w:val="0"/>
        <w:adjustRightInd/>
        <w:snapToGrid/>
        <w:spacing w:before="0" w:after="160" w:line="240" w:lineRule="auto"/>
        <w:ind w:firstLine="0"/>
        <w:jc w:val="center"/>
        <w:textAlignment w:val="auto"/>
        <w:rPr>
          <w:rFonts w:hint="default" w:ascii="Times New Roman" w:hAnsi="Times New Roman" w:cs="Times New Roman"/>
          <w:sz w:val="24"/>
          <w:szCs w:val="24"/>
        </w:rPr>
      </w:pPr>
      <w:r>
        <w:rPr>
          <w:rFonts w:hint="default" w:ascii="Times New Roman" w:hAnsi="Times New Roman" w:eastAsia="Times New Roman" w:cs="Times New Roman"/>
          <w:b/>
          <w:sz w:val="24"/>
          <w:szCs w:val="24"/>
        </w:rPr>
        <w:t xml:space="preserve">Table F1. </w:t>
      </w:r>
      <w:r>
        <w:rPr>
          <w:rFonts w:hint="default" w:ascii="Times New Roman" w:hAnsi="Times New Roman" w:eastAsia="Times New Roman" w:cs="Times New Roman"/>
          <w:sz w:val="24"/>
          <w:szCs w:val="24"/>
        </w:rPr>
        <w:t>Public and restricted reproducibility materials</w:t>
      </w:r>
    </w:p>
    <w:tbl>
      <w:tblPr>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2306"/>
        <w:gridCol w:w="2173"/>
        <w:gridCol w:w="2785"/>
        <w:gridCol w:w="1972"/>
      </w:tblGrid>
      <w:tr w14:paraId="58B60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blHeader/>
          <w:jc w:val="center"/>
        </w:trPr>
        <w:tc>
          <w:tcPr>
            <w:tcW w:w="1248" w:type="pct"/>
            <w:tcBorders>
              <w:top w:val="single" w:color="000000" w:sz="12" w:space="0"/>
              <w:left w:val="nil"/>
              <w:bottom w:val="single" w:color="000000" w:sz="8" w:space="0"/>
              <w:right w:val="single" w:color="000000" w:sz="12" w:space="0"/>
            </w:tcBorders>
            <w:shd w:val="clear" w:color="auto" w:fill="FFFFFF"/>
            <w:vAlign w:val="center"/>
          </w:tcPr>
          <w:p w14:paraId="355A397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Item</w:t>
            </w:r>
          </w:p>
        </w:tc>
        <w:tc>
          <w:tcPr>
            <w:tcW w:w="1176" w:type="pct"/>
            <w:tcBorders>
              <w:top w:val="single" w:color="000000" w:sz="12" w:space="0"/>
              <w:left w:val="nil"/>
              <w:bottom w:val="single" w:color="000000" w:sz="8" w:space="0"/>
              <w:right w:val="nil"/>
            </w:tcBorders>
            <w:shd w:val="clear" w:color="auto" w:fill="FFFFFF"/>
            <w:vAlign w:val="center"/>
          </w:tcPr>
          <w:p w14:paraId="73A7E85D">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Public manuscript / supplement</w:t>
            </w:r>
          </w:p>
        </w:tc>
        <w:tc>
          <w:tcPr>
            <w:tcW w:w="1507" w:type="pct"/>
            <w:tcBorders>
              <w:top w:val="single" w:color="000000" w:sz="12" w:space="0"/>
              <w:left w:val="nil"/>
              <w:bottom w:val="single" w:color="000000" w:sz="8" w:space="0"/>
              <w:right w:val="nil"/>
            </w:tcBorders>
            <w:shd w:val="clear" w:color="auto" w:fill="FFFFFF"/>
            <w:vAlign w:val="center"/>
          </w:tcPr>
          <w:p w14:paraId="4B1026B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Secure or request-only material</w:t>
            </w:r>
          </w:p>
        </w:tc>
        <w:tc>
          <w:tcPr>
            <w:tcW w:w="1067" w:type="pct"/>
            <w:tcBorders>
              <w:top w:val="single" w:color="000000" w:sz="12" w:space="0"/>
              <w:left w:val="nil"/>
              <w:bottom w:val="single" w:color="000000" w:sz="8" w:space="0"/>
              <w:right w:val="nil"/>
            </w:tcBorders>
            <w:shd w:val="clear" w:color="auto" w:fill="FFFFFF"/>
            <w:vAlign w:val="center"/>
          </w:tcPr>
          <w:p w14:paraId="31A55B4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bdr w:val="none" w:color="auto" w:sz="0" w:space="0"/>
                <w:lang w:val="en-US" w:eastAsia="zh-CN" w:bidi="ar"/>
              </w:rPr>
              <w:t>Role</w:t>
            </w:r>
          </w:p>
        </w:tc>
      </w:tr>
      <w:tr w14:paraId="13ECB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1248" w:type="pct"/>
            <w:tcBorders>
              <w:top w:val="nil"/>
              <w:left w:val="nil"/>
              <w:bottom w:val="nil"/>
              <w:right w:val="single" w:color="000000" w:sz="12" w:space="0"/>
            </w:tcBorders>
            <w:shd w:val="clear" w:color="auto" w:fill="FFFFFF"/>
            <w:vAlign w:val="center"/>
          </w:tcPr>
          <w:p w14:paraId="1BAF622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Outcome and disability definitions</w:t>
            </w:r>
          </w:p>
        </w:tc>
        <w:tc>
          <w:tcPr>
            <w:tcW w:w="1176" w:type="pct"/>
            <w:tcBorders>
              <w:top w:val="nil"/>
              <w:left w:val="nil"/>
              <w:bottom w:val="nil"/>
              <w:right w:val="nil"/>
            </w:tcBorders>
            <w:shd w:val="clear" w:color="auto" w:fill="FFFFFF"/>
            <w:vAlign w:val="center"/>
          </w:tcPr>
          <w:p w14:paraId="641482C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Yes</w:t>
            </w:r>
          </w:p>
        </w:tc>
        <w:tc>
          <w:tcPr>
            <w:tcW w:w="1507" w:type="pct"/>
            <w:tcBorders>
              <w:top w:val="nil"/>
              <w:left w:val="nil"/>
              <w:bottom w:val="nil"/>
              <w:right w:val="nil"/>
            </w:tcBorders>
            <w:shd w:val="clear" w:color="auto" w:fill="FFFFFF"/>
            <w:vAlign w:val="center"/>
          </w:tcPr>
          <w:p w14:paraId="75D5A56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Raw/version-specific item names governed by Secure access</w:t>
            </w:r>
          </w:p>
        </w:tc>
        <w:tc>
          <w:tcPr>
            <w:tcW w:w="1067" w:type="pct"/>
            <w:tcBorders>
              <w:top w:val="nil"/>
              <w:left w:val="nil"/>
              <w:bottom w:val="nil"/>
              <w:right w:val="nil"/>
            </w:tcBorders>
            <w:shd w:val="clear" w:color="auto" w:fill="FFFFFF"/>
            <w:vAlign w:val="center"/>
          </w:tcPr>
          <w:p w14:paraId="6B66E7C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Defines analytical variables</w:t>
            </w:r>
          </w:p>
        </w:tc>
      </w:tr>
      <w:tr w14:paraId="1572A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1248" w:type="pct"/>
            <w:tcBorders>
              <w:top w:val="nil"/>
              <w:left w:val="nil"/>
              <w:bottom w:val="nil"/>
              <w:right w:val="single" w:color="000000" w:sz="12" w:space="0"/>
            </w:tcBorders>
            <w:shd w:val="clear" w:color="auto" w:fill="FFFFFF"/>
            <w:vAlign w:val="center"/>
          </w:tcPr>
          <w:p w14:paraId="02B501D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Final analytic counts and local precision summaries</w:t>
            </w:r>
          </w:p>
        </w:tc>
        <w:tc>
          <w:tcPr>
            <w:tcW w:w="1176" w:type="pct"/>
            <w:tcBorders>
              <w:top w:val="nil"/>
              <w:left w:val="nil"/>
              <w:bottom w:val="nil"/>
              <w:right w:val="nil"/>
            </w:tcBorders>
            <w:shd w:val="clear" w:color="auto" w:fill="FFFFFF"/>
            <w:vAlign w:val="center"/>
          </w:tcPr>
          <w:p w14:paraId="2F002E9D">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Yes</w:t>
            </w:r>
          </w:p>
        </w:tc>
        <w:tc>
          <w:tcPr>
            <w:tcW w:w="1507" w:type="pct"/>
            <w:tcBorders>
              <w:top w:val="nil"/>
              <w:left w:val="nil"/>
              <w:bottom w:val="nil"/>
              <w:right w:val="nil"/>
            </w:tcBorders>
            <w:shd w:val="clear" w:color="auto" w:fill="FFFFFF"/>
            <w:vAlign w:val="center"/>
          </w:tcPr>
          <w:p w14:paraId="3F5D9F6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Underlying respondent records protected</w:t>
            </w:r>
          </w:p>
        </w:tc>
        <w:tc>
          <w:tcPr>
            <w:tcW w:w="1067" w:type="pct"/>
            <w:tcBorders>
              <w:top w:val="nil"/>
              <w:left w:val="nil"/>
              <w:bottom w:val="nil"/>
              <w:right w:val="nil"/>
            </w:tcBorders>
            <w:shd w:val="clear" w:color="auto" w:fill="FFFFFF"/>
            <w:vAlign w:val="center"/>
          </w:tcPr>
          <w:p w14:paraId="7F89CB2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Documents analytical scope</w:t>
            </w:r>
          </w:p>
        </w:tc>
      </w:tr>
      <w:tr w14:paraId="6BC7D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48" w:type="pct"/>
            <w:tcBorders>
              <w:top w:val="nil"/>
              <w:left w:val="nil"/>
              <w:bottom w:val="nil"/>
              <w:right w:val="single" w:color="000000" w:sz="12" w:space="0"/>
            </w:tcBorders>
            <w:shd w:val="clear" w:color="auto" w:fill="FFFFFF"/>
            <w:vAlign w:val="center"/>
          </w:tcPr>
          <w:p w14:paraId="4603A01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Source-release ledger and interview-period mapping</w:t>
            </w:r>
          </w:p>
        </w:tc>
        <w:tc>
          <w:tcPr>
            <w:tcW w:w="1176" w:type="pct"/>
            <w:tcBorders>
              <w:top w:val="nil"/>
              <w:left w:val="nil"/>
              <w:bottom w:val="nil"/>
              <w:right w:val="nil"/>
            </w:tcBorders>
            <w:shd w:val="clear" w:color="auto" w:fill="FFFFFF"/>
            <w:vAlign w:val="center"/>
          </w:tcPr>
          <w:p w14:paraId="2FA76094">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Summary only</w:t>
            </w:r>
          </w:p>
        </w:tc>
        <w:tc>
          <w:tcPr>
            <w:tcW w:w="1507" w:type="pct"/>
            <w:tcBorders>
              <w:top w:val="nil"/>
              <w:left w:val="nil"/>
              <w:bottom w:val="nil"/>
              <w:right w:val="nil"/>
            </w:tcBorders>
            <w:shd w:val="clear" w:color="auto" w:fill="FFFFFF"/>
            <w:vAlign w:val="center"/>
          </w:tcPr>
          <w:p w14:paraId="74BFC75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Exact release identifiers and secure construction ledger</w:t>
            </w:r>
          </w:p>
        </w:tc>
        <w:tc>
          <w:tcPr>
            <w:tcW w:w="1067" w:type="pct"/>
            <w:tcBorders>
              <w:top w:val="nil"/>
              <w:left w:val="nil"/>
              <w:bottom w:val="nil"/>
              <w:right w:val="nil"/>
            </w:tcBorders>
            <w:shd w:val="clear" w:color="auto" w:fill="FFFFFF"/>
            <w:vAlign w:val="center"/>
          </w:tcPr>
          <w:p w14:paraId="1ADD129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Defines source provenance</w:t>
            </w:r>
          </w:p>
        </w:tc>
      </w:tr>
      <w:tr w14:paraId="6ECDA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1248" w:type="pct"/>
            <w:tcBorders>
              <w:top w:val="nil"/>
              <w:left w:val="nil"/>
              <w:bottom w:val="nil"/>
              <w:right w:val="single" w:color="000000" w:sz="12" w:space="0"/>
            </w:tcBorders>
            <w:shd w:val="clear" w:color="auto" w:fill="FFFFFF"/>
            <w:vAlign w:val="center"/>
          </w:tcPr>
          <w:p w14:paraId="762B74B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Wave retention and duplicate-interview handling</w:t>
            </w:r>
          </w:p>
        </w:tc>
        <w:tc>
          <w:tcPr>
            <w:tcW w:w="1176" w:type="pct"/>
            <w:tcBorders>
              <w:top w:val="nil"/>
              <w:left w:val="nil"/>
              <w:bottom w:val="nil"/>
              <w:right w:val="nil"/>
            </w:tcBorders>
            <w:shd w:val="clear" w:color="auto" w:fill="FFFFFF"/>
            <w:vAlign w:val="center"/>
          </w:tcPr>
          <w:p w14:paraId="5D02367B">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Not reconstructed from public year labels</w:t>
            </w:r>
          </w:p>
        </w:tc>
        <w:tc>
          <w:tcPr>
            <w:tcW w:w="1507" w:type="pct"/>
            <w:tcBorders>
              <w:top w:val="nil"/>
              <w:left w:val="nil"/>
              <w:bottom w:val="nil"/>
              <w:right w:val="nil"/>
            </w:tcBorders>
            <w:shd w:val="clear" w:color="auto" w:fill="FFFFFF"/>
            <w:vAlign w:val="center"/>
          </w:tcPr>
          <w:p w14:paraId="5A6E7F1D">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Executable construction logic / disclosure-cleared description</w:t>
            </w:r>
          </w:p>
        </w:tc>
        <w:tc>
          <w:tcPr>
            <w:tcW w:w="1067" w:type="pct"/>
            <w:tcBorders>
              <w:top w:val="nil"/>
              <w:left w:val="nil"/>
              <w:bottom w:val="nil"/>
              <w:right w:val="nil"/>
            </w:tcBorders>
            <w:shd w:val="clear" w:color="auto" w:fill="FFFFFF"/>
            <w:vAlign w:val="center"/>
          </w:tcPr>
          <w:p w14:paraId="5DBC328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Defines person-wave construction</w:t>
            </w:r>
          </w:p>
        </w:tc>
      </w:tr>
      <w:tr w14:paraId="65CE5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48" w:type="pct"/>
            <w:tcBorders>
              <w:top w:val="nil"/>
              <w:left w:val="nil"/>
              <w:bottom w:val="nil"/>
              <w:right w:val="single" w:color="000000" w:sz="12" w:space="0"/>
            </w:tcBorders>
            <w:shd w:val="clear" w:color="auto" w:fill="FFFFFF"/>
            <w:vAlign w:val="center"/>
          </w:tcPr>
          <w:p w14:paraId="29CDF18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Weight variables and any rescaling</w:t>
            </w:r>
          </w:p>
        </w:tc>
        <w:tc>
          <w:tcPr>
            <w:tcW w:w="1176" w:type="pct"/>
            <w:tcBorders>
              <w:top w:val="nil"/>
              <w:left w:val="nil"/>
              <w:bottom w:val="nil"/>
              <w:right w:val="nil"/>
            </w:tcBorders>
            <w:shd w:val="clear" w:color="auto" w:fill="FFFFFF"/>
            <w:vAlign w:val="center"/>
          </w:tcPr>
          <w:p w14:paraId="2B08E8E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General weighting statement</w:t>
            </w:r>
          </w:p>
        </w:tc>
        <w:tc>
          <w:tcPr>
            <w:tcW w:w="1507" w:type="pct"/>
            <w:tcBorders>
              <w:top w:val="nil"/>
              <w:left w:val="nil"/>
              <w:bottom w:val="nil"/>
              <w:right w:val="nil"/>
            </w:tcBorders>
            <w:shd w:val="clear" w:color="auto" w:fill="FFFFFF"/>
            <w:vAlign w:val="center"/>
          </w:tcPr>
          <w:p w14:paraId="0E5617E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Exact weighting syntax / disclosure-cleared description</w:t>
            </w:r>
          </w:p>
        </w:tc>
        <w:tc>
          <w:tcPr>
            <w:tcW w:w="1067" w:type="pct"/>
            <w:tcBorders>
              <w:top w:val="nil"/>
              <w:left w:val="nil"/>
              <w:bottom w:val="nil"/>
              <w:right w:val="nil"/>
            </w:tcBorders>
            <w:shd w:val="clear" w:color="auto" w:fill="FFFFFF"/>
            <w:vAlign w:val="center"/>
          </w:tcPr>
          <w:p w14:paraId="36D00E2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Defines period-average weighted estimand</w:t>
            </w:r>
          </w:p>
        </w:tc>
      </w:tr>
      <w:tr w14:paraId="1FB2A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1248" w:type="pct"/>
            <w:tcBorders>
              <w:top w:val="nil"/>
              <w:left w:val="nil"/>
              <w:bottom w:val="nil"/>
              <w:right w:val="single" w:color="000000" w:sz="12" w:space="0"/>
            </w:tcBorders>
            <w:shd w:val="clear" w:color="auto" w:fill="FFFFFF"/>
            <w:vAlign w:val="center"/>
          </w:tcPr>
          <w:p w14:paraId="06BEEE30">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Study-area definition</w:t>
            </w:r>
          </w:p>
        </w:tc>
        <w:tc>
          <w:tcPr>
            <w:tcW w:w="1176" w:type="pct"/>
            <w:tcBorders>
              <w:top w:val="nil"/>
              <w:left w:val="nil"/>
              <w:bottom w:val="nil"/>
              <w:right w:val="nil"/>
            </w:tcBorders>
            <w:shd w:val="clear" w:color="auto" w:fill="FFFFFF"/>
            <w:vAlign w:val="center"/>
          </w:tcPr>
          <w:p w14:paraId="04E6D6B1">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175 harmonised areas; selected labels</w:t>
            </w:r>
          </w:p>
        </w:tc>
        <w:tc>
          <w:tcPr>
            <w:tcW w:w="1507" w:type="pct"/>
            <w:tcBorders>
              <w:top w:val="nil"/>
              <w:left w:val="nil"/>
              <w:bottom w:val="nil"/>
              <w:right w:val="nil"/>
            </w:tcBorders>
            <w:shd w:val="clear" w:color="auto" w:fill="FFFFFF"/>
            <w:vAlign w:val="center"/>
          </w:tcPr>
          <w:p w14:paraId="690357F9">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Complete harmonised geography crosswalk</w:t>
            </w:r>
          </w:p>
        </w:tc>
        <w:tc>
          <w:tcPr>
            <w:tcW w:w="1067" w:type="pct"/>
            <w:tcBorders>
              <w:top w:val="nil"/>
              <w:left w:val="nil"/>
              <w:bottom w:val="nil"/>
              <w:right w:val="nil"/>
            </w:tcBorders>
            <w:shd w:val="clear" w:color="auto" w:fill="FFFFFF"/>
            <w:vAlign w:val="center"/>
          </w:tcPr>
          <w:p w14:paraId="346C03D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Defines spatial unit</w:t>
            </w:r>
          </w:p>
        </w:tc>
      </w:tr>
      <w:tr w14:paraId="6637C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48" w:type="pct"/>
            <w:tcBorders>
              <w:top w:val="nil"/>
              <w:left w:val="nil"/>
              <w:bottom w:val="nil"/>
              <w:right w:val="single" w:color="000000" w:sz="12" w:space="0"/>
            </w:tcBorders>
            <w:shd w:val="clear" w:color="auto" w:fill="FFFFFF"/>
            <w:vAlign w:val="center"/>
          </w:tcPr>
          <w:p w14:paraId="359AE1E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Model equations and decomposition definitions</w:t>
            </w:r>
          </w:p>
        </w:tc>
        <w:tc>
          <w:tcPr>
            <w:tcW w:w="1176" w:type="pct"/>
            <w:tcBorders>
              <w:top w:val="nil"/>
              <w:left w:val="nil"/>
              <w:bottom w:val="nil"/>
              <w:right w:val="nil"/>
            </w:tcBorders>
            <w:shd w:val="clear" w:color="auto" w:fill="FFFFFF"/>
            <w:vAlign w:val="center"/>
          </w:tcPr>
          <w:p w14:paraId="3A2E3A0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Yes</w:t>
            </w:r>
          </w:p>
        </w:tc>
        <w:tc>
          <w:tcPr>
            <w:tcW w:w="1507" w:type="pct"/>
            <w:tcBorders>
              <w:top w:val="nil"/>
              <w:left w:val="nil"/>
              <w:bottom w:val="nil"/>
              <w:right w:val="nil"/>
            </w:tcBorders>
            <w:shd w:val="clear" w:color="auto" w:fill="FFFFFF"/>
            <w:vAlign w:val="center"/>
          </w:tcPr>
          <w:p w14:paraId="2976658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Executable estimation code</w:t>
            </w:r>
          </w:p>
        </w:tc>
        <w:tc>
          <w:tcPr>
            <w:tcW w:w="1067" w:type="pct"/>
            <w:tcBorders>
              <w:top w:val="nil"/>
              <w:left w:val="nil"/>
              <w:bottom w:val="nil"/>
              <w:right w:val="nil"/>
            </w:tcBorders>
            <w:shd w:val="clear" w:color="auto" w:fill="FFFFFF"/>
            <w:vAlign w:val="center"/>
          </w:tcPr>
          <w:p w14:paraId="4B4F5C3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Defines estimator</w:t>
            </w:r>
          </w:p>
        </w:tc>
      </w:tr>
      <w:tr w14:paraId="630BE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1248" w:type="pct"/>
            <w:tcBorders>
              <w:top w:val="nil"/>
              <w:left w:val="nil"/>
              <w:bottom w:val="nil"/>
              <w:right w:val="single" w:color="000000" w:sz="12" w:space="0"/>
            </w:tcBorders>
            <w:shd w:val="clear" w:color="auto" w:fill="FFFFFF"/>
            <w:vAlign w:val="center"/>
          </w:tcPr>
          <w:p w14:paraId="405FB923">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Spatial-weight specification</w:t>
            </w:r>
          </w:p>
        </w:tc>
        <w:tc>
          <w:tcPr>
            <w:tcW w:w="1176" w:type="pct"/>
            <w:tcBorders>
              <w:top w:val="nil"/>
              <w:left w:val="nil"/>
              <w:bottom w:val="nil"/>
              <w:right w:val="nil"/>
            </w:tcBorders>
            <w:shd w:val="clear" w:color="auto" w:fill="FFFFFF"/>
            <w:vAlign w:val="center"/>
          </w:tcPr>
          <w:p w14:paraId="6B5A79A1">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Matrix families and disclosed Moran outputs</w:t>
            </w:r>
          </w:p>
        </w:tc>
        <w:tc>
          <w:tcPr>
            <w:tcW w:w="1507" w:type="pct"/>
            <w:tcBorders>
              <w:top w:val="nil"/>
              <w:left w:val="nil"/>
              <w:bottom w:val="nil"/>
              <w:right w:val="nil"/>
            </w:tcBorders>
            <w:shd w:val="clear" w:color="auto" w:fill="FFFFFF"/>
            <w:vAlign w:val="center"/>
          </w:tcPr>
          <w:p w14:paraId="7306D22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Exact normalisation, distance threshold, island handling and permutation settings</w:t>
            </w:r>
          </w:p>
        </w:tc>
        <w:tc>
          <w:tcPr>
            <w:tcW w:w="1067" w:type="pct"/>
            <w:tcBorders>
              <w:top w:val="nil"/>
              <w:left w:val="nil"/>
              <w:bottom w:val="nil"/>
              <w:right w:val="nil"/>
            </w:tcBorders>
            <w:shd w:val="clear" w:color="auto" w:fill="FFFFFF"/>
            <w:vAlign w:val="center"/>
          </w:tcPr>
          <w:p w14:paraId="587CE836">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Reproduces spatial diagnostics</w:t>
            </w:r>
          </w:p>
        </w:tc>
      </w:tr>
      <w:tr w14:paraId="3645C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1248" w:type="pct"/>
            <w:tcBorders>
              <w:top w:val="nil"/>
              <w:left w:val="nil"/>
              <w:bottom w:val="nil"/>
              <w:right w:val="single" w:color="000000" w:sz="12" w:space="0"/>
            </w:tcBorders>
            <w:shd w:val="clear" w:color="auto" w:fill="FFFFFF"/>
            <w:vAlign w:val="center"/>
          </w:tcPr>
          <w:p w14:paraId="37C3E9B5">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Aggregate results</w:t>
            </w:r>
          </w:p>
        </w:tc>
        <w:tc>
          <w:tcPr>
            <w:tcW w:w="1176" w:type="pct"/>
            <w:tcBorders>
              <w:top w:val="nil"/>
              <w:left w:val="nil"/>
              <w:bottom w:val="nil"/>
              <w:right w:val="nil"/>
            </w:tcBorders>
            <w:shd w:val="clear" w:color="auto" w:fill="FFFFFF"/>
            <w:vAlign w:val="center"/>
          </w:tcPr>
          <w:p w14:paraId="6D06675C">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Main and supplementary tables</w:t>
            </w:r>
          </w:p>
        </w:tc>
        <w:tc>
          <w:tcPr>
            <w:tcW w:w="1507" w:type="pct"/>
            <w:tcBorders>
              <w:top w:val="nil"/>
              <w:left w:val="nil"/>
              <w:bottom w:val="nil"/>
              <w:right w:val="nil"/>
            </w:tcBorders>
            <w:shd w:val="clear" w:color="auto" w:fill="FFFFFF"/>
            <w:vAlign w:val="center"/>
          </w:tcPr>
          <w:p w14:paraId="4E79A63F">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Additional disclosure-cleared output files</w:t>
            </w:r>
          </w:p>
        </w:tc>
        <w:tc>
          <w:tcPr>
            <w:tcW w:w="1067" w:type="pct"/>
            <w:tcBorders>
              <w:top w:val="nil"/>
              <w:left w:val="nil"/>
              <w:bottom w:val="nil"/>
              <w:right w:val="nil"/>
            </w:tcBorders>
            <w:shd w:val="clear" w:color="auto" w:fill="FFFFFF"/>
            <w:vAlign w:val="center"/>
          </w:tcPr>
          <w:p w14:paraId="5EE764F8">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Supports reported findings</w:t>
            </w:r>
          </w:p>
        </w:tc>
      </w:tr>
      <w:tr w14:paraId="3E74B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1248" w:type="pct"/>
            <w:tcBorders>
              <w:top w:val="nil"/>
              <w:left w:val="nil"/>
              <w:bottom w:val="single" w:color="000000" w:sz="12" w:space="0"/>
              <w:right w:val="single" w:color="000000" w:sz="12" w:space="0"/>
            </w:tcBorders>
            <w:shd w:val="clear" w:color="auto" w:fill="FFFFFF"/>
            <w:vAlign w:val="center"/>
          </w:tcPr>
          <w:p w14:paraId="465C570E">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Protected microdata</w:t>
            </w:r>
          </w:p>
        </w:tc>
        <w:tc>
          <w:tcPr>
            <w:tcW w:w="1176" w:type="pct"/>
            <w:tcBorders>
              <w:top w:val="nil"/>
              <w:left w:val="nil"/>
              <w:bottom w:val="single" w:color="000000" w:sz="12" w:space="0"/>
              <w:right w:val="nil"/>
            </w:tcBorders>
            <w:shd w:val="clear" w:color="auto" w:fill="FFFFFF"/>
            <w:vAlign w:val="center"/>
          </w:tcPr>
          <w:p w14:paraId="150BB477">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No</w:t>
            </w:r>
          </w:p>
        </w:tc>
        <w:tc>
          <w:tcPr>
            <w:tcW w:w="1507" w:type="pct"/>
            <w:tcBorders>
              <w:top w:val="nil"/>
              <w:left w:val="nil"/>
              <w:bottom w:val="single" w:color="000000" w:sz="12" w:space="0"/>
              <w:right w:val="nil"/>
            </w:tcBorders>
            <w:shd w:val="clear" w:color="auto" w:fill="FFFFFF"/>
            <w:vAlign w:val="center"/>
          </w:tcPr>
          <w:p w14:paraId="5E845F02">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Access only through UK Data Service Secure Lab</w:t>
            </w:r>
          </w:p>
        </w:tc>
        <w:tc>
          <w:tcPr>
            <w:tcW w:w="1067" w:type="pct"/>
            <w:tcBorders>
              <w:top w:val="nil"/>
              <w:left w:val="nil"/>
              <w:bottom w:val="single" w:color="000000" w:sz="12" w:space="0"/>
              <w:right w:val="nil"/>
            </w:tcBorders>
            <w:shd w:val="clear" w:color="auto" w:fill="FFFFFF"/>
            <w:vAlign w:val="center"/>
          </w:tcPr>
          <w:p w14:paraId="06FB685A">
            <w:pPr>
              <w:keepNext w:val="0"/>
              <w:keepLines w:val="0"/>
              <w:widowControl/>
              <w:suppressLineNumbers w:val="0"/>
              <w:snapToGrid w:val="0"/>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Cannot be redistributed by authors</w:t>
            </w:r>
          </w:p>
        </w:tc>
      </w:tr>
    </w:tbl>
    <w:p w14:paraId="13A81916">
      <w:pPr>
        <w:pageBreakBefore w:val="0"/>
        <w:widowControl/>
        <w:kinsoku/>
        <w:wordWrap/>
        <w:overflowPunct/>
        <w:topLinePunct w:val="0"/>
        <w:autoSpaceDE/>
        <w:autoSpaceDN/>
        <w:bidi w:val="0"/>
        <w:adjustRightInd/>
        <w:snapToGrid/>
        <w:spacing w:before="0" w:after="160" w:line="240" w:lineRule="auto"/>
        <w:ind w:firstLine="0"/>
        <w:jc w:val="left"/>
        <w:textAlignment w:val="auto"/>
        <w:rPr>
          <w:rFonts w:hint="default" w:ascii="Times New Roman" w:hAnsi="Times New Roman" w:cs="Times New Roman"/>
          <w:i/>
          <w:iCs w:val="0"/>
          <w:sz w:val="24"/>
          <w:szCs w:val="24"/>
        </w:rPr>
      </w:pPr>
      <w:r>
        <w:rPr>
          <w:rFonts w:hint="default" w:ascii="Times New Roman" w:hAnsi="Times New Roman" w:eastAsia="Times New Roman" w:cs="Times New Roman"/>
          <w:i/>
          <w:iCs w:val="0"/>
          <w:sz w:val="24"/>
          <w:szCs w:val="24"/>
        </w:rPr>
        <w:t>Note. Availability of request-only materials remains subject to ONS/UK Data Service licensing and statistical disclosure-control requirements.</w:t>
      </w:r>
    </w:p>
    <w:p w14:paraId="1AB007C6">
      <w:pPr>
        <w:pageBreakBefore w:val="0"/>
        <w:widowControl/>
        <w:kinsoku/>
        <w:wordWrap/>
        <w:overflowPunct/>
        <w:topLinePunct w:val="0"/>
        <w:autoSpaceDE/>
        <w:autoSpaceDN/>
        <w:bidi w:val="0"/>
        <w:adjustRightInd/>
        <w:snapToGrid/>
        <w:spacing w:before="0" w:after="160" w:line="240" w:lineRule="auto"/>
        <w:ind w:firstLine="0"/>
        <w:textAlignment w:val="auto"/>
        <w:rPr>
          <w:rFonts w:hint="default" w:ascii="Times New Roman" w:hAnsi="Times New Roman" w:cs="Times New Roman"/>
          <w:sz w:val="24"/>
          <w:szCs w:val="24"/>
        </w:rPr>
      </w:pPr>
      <w:bookmarkStart w:id="0" w:name="_GoBack"/>
      <w:bookmarkEnd w:id="0"/>
    </w:p>
    <w:sectPr>
      <w:footerReference r:id="rId5" w:type="default"/>
      <w:footerReference w:type="first" r:id="rId11"/>
      <w:footerReference w:type="even" r:id="rId12"/>
      <w:pgSz w:w="11906" w:h="16838"/>
      <w:pgMar w:top="1440" w:right="1440" w:bottom="1440" w:left="1440" w:header="708" w:footer="708" w:gutter="0"/>
      <w:lnNumType w:countBy="1" w:restart="continuous"/>
      <w:cols w:space="720" w:num="1"/>
      <w:docGrid w:type="lines"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Math">
    <w:panose1 w:val="02040503050406030204"/>
    <w:charset w:val="00"/>
    <w:family w:val="auto"/>
    <w:pitch w:val="default"/>
    <w:sig w:usb0="E00006FF" w:usb1="420024FF" w:usb2="02000000" w:usb3="00000000" w:csb0="2000019F" w:csb1="00000000"/>
  </w:font>
  <w:font w:name="MS Mincho">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19A1A">
    <w:pPr>
      <w:jc w:val="center"/>
      <w:suppressLineNumbers/>
    </w:pPr>
    <w:r>
      <w:rPr>
        <w:rFonts w:ascii="Times New Roman" w:hAnsi="Times New Roman" w:eastAsia="Times New Roman" w:cs="Times New Roman"/>
        <w:b w:val="0"/>
        <w:i w:val="0"/>
        <w:sz w:val="20"/>
      </w:rPr>
      <w:fldChar w:fldCharType="begin"/>
    </w:r>
    <w:r>
      <w:rPr>
        <w:rFonts w:ascii="Times New Roman" w:hAnsi="Times New Roman" w:eastAsia="Times New Roman" w:cs="Times New Roman"/>
        <w:b w:val="0"/>
        <w:i w:val="0"/>
        <w:sz w:val="20"/>
      </w:rPr>
      <w:instrText xml:space="preserve"> PAGE   \* MERGEFORMAT </w:instrText>
    </w:r>
    <w:r>
      <w:rPr>
        <w:rFonts w:ascii="Times New Roman" w:hAnsi="Times New Roman" w:eastAsia="Times New Roman" w:cs="Times New Roman"/>
        <w:b w:val="0"/>
        <w:i w:val="0"/>
        <w:sz w:val="20"/>
      </w:rPr>
      <w:fldChar w:fldCharType="separate"/>
    </w:r>
    <w:r>
      <w:rPr>
        <w:rFonts w:ascii="Times New Roman" w:hAnsi="Times New Roman" w:eastAsia="Times New Roman" w:cs="Times New Roman"/>
        <w:b w:val="0"/>
        <w:i w:val="0"/>
        <w:sz w:val="20"/>
      </w:rPr>
      <w:t>1</w:t>
    </w:r>
    <w:r>
      <w:rPr>
        <w:rFonts w:ascii="Times New Roman" w:hAnsi="Times New Roman" w:eastAsia="Times New Roman" w:cs="Times New Roman"/>
        <w:b w:val="0"/>
        <w:i w:val="0"/>
        <w:sz w:val="20"/>
      </w:rPr>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uppressLineNumbers/>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uppressLineNumber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295277A"/>
    <w:rsid w:val="02A93B2F"/>
    <w:rsid w:val="038E3477"/>
    <w:rsid w:val="04DA4474"/>
    <w:rsid w:val="0D98311E"/>
    <w:rsid w:val="0DD57A0E"/>
    <w:rsid w:val="0E713D4A"/>
    <w:rsid w:val="19207ED7"/>
    <w:rsid w:val="19270ACA"/>
    <w:rsid w:val="1C0721E0"/>
    <w:rsid w:val="2169146B"/>
    <w:rsid w:val="27235023"/>
    <w:rsid w:val="27E60CAF"/>
    <w:rsid w:val="297939AC"/>
    <w:rsid w:val="2D202ABC"/>
    <w:rsid w:val="2D93621A"/>
    <w:rsid w:val="35E55944"/>
    <w:rsid w:val="36186477"/>
    <w:rsid w:val="37841E99"/>
    <w:rsid w:val="38F60B75"/>
    <w:rsid w:val="3A231646"/>
    <w:rsid w:val="3ACA5AF3"/>
    <w:rsid w:val="3E5A3954"/>
    <w:rsid w:val="41126AEB"/>
    <w:rsid w:val="41CB6494"/>
    <w:rsid w:val="42E3281F"/>
    <w:rsid w:val="4AE4089B"/>
    <w:rsid w:val="4CD11285"/>
    <w:rsid w:val="560403F4"/>
    <w:rsid w:val="58A00076"/>
    <w:rsid w:val="5B6F4CBD"/>
    <w:rsid w:val="5BB460BB"/>
    <w:rsid w:val="5FA168CF"/>
    <w:rsid w:val="62465009"/>
    <w:rsid w:val="634B4F32"/>
    <w:rsid w:val="646D58E0"/>
    <w:rsid w:val="68540EE4"/>
    <w:rsid w:val="693B5FAC"/>
    <w:rsid w:val="6F9F2E6F"/>
    <w:rsid w:val="71687ABE"/>
    <w:rsid w:val="71D94C09"/>
    <w:rsid w:val="73BE0114"/>
    <w:rsid w:val="75E2743D"/>
    <w:rsid w:val="76472C78"/>
    <w:rsid w:val="79C421B0"/>
    <w:rsid w:val="7AC5601E"/>
    <w:rsid w:val="7C413482"/>
    <w:rsid w:val="7CB903AF"/>
    <w:rsid w:val="7DF76690"/>
  </w:rsids>
  <m:mathPr>
    <m:mathFont m:val="Times New Roman"/>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before="0" w:after="160" w:line="360" w:lineRule="auto"/>
      <w:jc w:val="both"/>
    </w:pPr>
    <w:rPr>
      <w:rFonts w:ascii="Times New Roman" w:hAnsi="Times New Roman" w:eastAsiaTheme="minorEastAsia" w:cstheme="minorBidi"/>
      <w:sz w:val="24"/>
      <w:szCs w:val="22"/>
      <w:lang w:val="en-US" w:eastAsia="en-US" w:bidi="ar-SA"/>
    </w:rPr>
  </w:style>
  <w:style w:type="paragraph" w:styleId="3">
    <w:name w:val="heading 1"/>
    <w:basedOn w:val="1"/>
    <w:next w:val="1"/>
    <w:link w:val="138"/>
    <w:qFormat/>
    <w:uiPriority w:val="9"/>
    <w:pPr>
      <w:keepNext/>
      <w:keepLines/>
      <w:spacing w:before="200" w:after="40"/>
      <w:outlineLvl w:val="0"/>
    </w:pPr>
    <w:rPr>
      <w:rFonts w:asciiTheme="majorHAnsi" w:hAnsiTheme="majorHAnsi" w:eastAsiaTheme="majorEastAsia" w:cstheme="majorBidi"/>
      <w:b/>
      <w:bCs/>
      <w:color w:val="000000"/>
      <w:sz w:val="32"/>
      <w:szCs w:val="28"/>
    </w:rPr>
  </w:style>
  <w:style w:type="paragraph" w:styleId="4">
    <w:name w:val="heading 2"/>
    <w:basedOn w:val="1"/>
    <w:next w:val="1"/>
    <w:link w:val="139"/>
    <w:unhideWhenUsed/>
    <w:qFormat/>
    <w:uiPriority w:val="9"/>
    <w:pPr>
      <w:keepNext/>
      <w:keepLines/>
      <w:spacing w:before="120" w:after="40"/>
      <w:outlineLvl w:val="1"/>
    </w:pPr>
    <w:rPr>
      <w:rFonts w:asciiTheme="majorHAnsi" w:hAnsiTheme="majorHAnsi" w:eastAsiaTheme="majorEastAsia" w:cstheme="majorBidi"/>
      <w:b/>
      <w:bCs/>
      <w:color w:val="000000"/>
      <w:sz w:val="28"/>
      <w:szCs w:val="26"/>
    </w:rPr>
  </w:style>
  <w:style w:type="paragraph" w:styleId="5">
    <w:name w:val="heading 3"/>
    <w:basedOn w:val="1"/>
    <w:next w:val="1"/>
    <w:link w:val="140"/>
    <w:unhideWhenUsed/>
    <w:qFormat/>
    <w:uiPriority w:val="9"/>
    <w:pPr>
      <w:keepNext/>
      <w:keepLines/>
      <w:spacing w:before="120" w:after="40"/>
      <w:outlineLvl w:val="2"/>
    </w:pPr>
    <w:rPr>
      <w:rFonts w:asciiTheme="majorHAnsi" w:hAnsiTheme="majorHAnsi" w:eastAsiaTheme="majorEastAsia" w:cstheme="majorBidi"/>
      <w:b/>
      <w:bCs/>
      <w:i/>
      <w:color w:val="000000"/>
      <w:sz w:val="24"/>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sz w:val="24"/>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 Id="rId11" Type="http://schemas.openxmlformats.org/officeDocument/2006/relationships/footer" Target="footer2.xml"/><Relationship Id="rId1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1452</Words>
  <Characters>9700</Characters>
  <Lines>0</Lines>
  <Paragraphs>0</Paragraphs>
  <TotalTime>0</TotalTime>
  <ScaleCrop>false</ScaleCrop>
  <LinksUpToDate>false</LinksUpToDate>
  <CharactersWithSpaces>10883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
  <dc:description>Revised submission version; no fabricated bootstrap or sampling-error-corrected estimates.</dc:description>
  <cp:lastModifiedBy/>
  <dcterms:modified xsi:type="dcterms:W3CDTF">2026-08-12T10:34:28Z</dcterms:modified>
  <dc:subject>SSCI supplementary material</dc:subject>
  <dc:title>Supplementary Material - When Employment Is Not Enough: The Geography of Disability Underemployment in Britain</dc:title>
  <cp:revision>1</cp:revision>
</cp:coreProperties>
</file>