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5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Supplementary Information</w:t>
      </w:r>
    </w:p>
    <w:p/>
    <w:p>
      <w:pPr>
        <w:jc w:val="center"/>
      </w:pPr>
      <w:r>
        <w:rPr>
          <w:i/>
          <w:sz w:val="24"/>
        </w:rPr>
        <w:t>Diagnosing Causal Credibility of Machine Learning Explanations:</w:t>
        <w:br/>
        <w:t>A Dual-SHAP Attribution Framework Applied to Social Survey Data</w:t>
      </w:r>
    </w:p>
    <w:p/>
    <w:p>
      <w:pPr>
        <w:jc w:val="center"/>
      </w:pPr>
      <w:r>
        <w:rPr>
          <w:sz w:val="22"/>
        </w:rPr>
        <w:t>Shidong Li</w:t>
      </w:r>
    </w:p>
    <w:p/>
    <w:p>
      <w:pPr>
        <w:pStyle w:val="Heading2"/>
      </w:pPr>
      <w:r>
        <w:rPr>
          <w:b/>
          <w:sz w:val="22"/>
        </w:rPr>
        <w:t>Table S1. Variable descriptions and descriptive statistics.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>
        <w:tc>
          <w:tcPr>
            <w:tcW w:type="dxa" w:w="1134"/>
            <w:shd w:fill="D9E2F3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b/>
                <w:sz w:val="14"/>
              </w:rPr>
              <w:t>Category</w:t>
            </w:r>
          </w:p>
        </w:tc>
        <w:tc>
          <w:tcPr>
            <w:tcW w:type="dxa" w:w="1361"/>
            <w:shd w:fill="D9E2F3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b/>
                <w:sz w:val="14"/>
              </w:rPr>
              <w:t>Variable</w:t>
            </w:r>
          </w:p>
        </w:tc>
        <w:tc>
          <w:tcPr>
            <w:tcW w:type="dxa" w:w="2381"/>
            <w:shd w:fill="D9E2F3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b/>
                <w:sz w:val="14"/>
              </w:rPr>
              <w:t>Description</w:t>
            </w:r>
          </w:p>
        </w:tc>
        <w:tc>
          <w:tcPr>
            <w:tcW w:type="dxa" w:w="680"/>
            <w:shd w:fill="D9E2F3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b/>
                <w:sz w:val="14"/>
              </w:rPr>
              <w:t>Scale</w:t>
            </w:r>
          </w:p>
        </w:tc>
        <w:tc>
          <w:tcPr>
            <w:tcW w:type="dxa" w:w="510"/>
            <w:shd w:fill="D9E2F3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b/>
                <w:sz w:val="14"/>
              </w:rPr>
              <w:t>N</w:t>
            </w:r>
          </w:p>
        </w:tc>
        <w:tc>
          <w:tcPr>
            <w:tcW w:type="dxa" w:w="624"/>
            <w:shd w:fill="D9E2F3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b/>
                <w:sz w:val="14"/>
              </w:rPr>
              <w:t>Mean</w:t>
            </w:r>
          </w:p>
        </w:tc>
        <w:tc>
          <w:tcPr>
            <w:tcW w:type="dxa" w:w="567"/>
            <w:shd w:fill="D9E2F3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b/>
                <w:sz w:val="14"/>
              </w:rPr>
              <w:t>SD</w:t>
            </w:r>
          </w:p>
        </w:tc>
        <w:tc>
          <w:tcPr>
            <w:tcW w:type="dxa" w:w="624"/>
            <w:shd w:fill="D9E2F3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b/>
                <w:sz w:val="14"/>
              </w:rPr>
              <w:t>Median</w:t>
            </w:r>
          </w:p>
        </w:tc>
        <w:tc>
          <w:tcPr>
            <w:tcW w:type="dxa" w:w="567"/>
            <w:shd w:fill="D9E2F3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b/>
                <w:sz w:val="14"/>
              </w:rPr>
              <w:t>Min</w:t>
            </w:r>
          </w:p>
        </w:tc>
        <w:tc>
          <w:tcPr>
            <w:tcW w:type="dxa" w:w="567"/>
            <w:shd w:fill="D9E2F3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b/>
                <w:sz w:val="14"/>
              </w:rPr>
              <w:t>Max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A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a31a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Neighborly socializing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1–7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3.918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2.381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7.0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A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a31b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Friend socializing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1–7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1934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4.564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2.174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7.0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A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a3006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Relative gathering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3.990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0.816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A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a3007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Friend gathering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3.960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1.069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A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a311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Leisure socializing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2.578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1.213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B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c3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Family contact count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1–8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2.335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1.095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8.0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B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c5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Non-kin contact count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1–8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2.692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1.526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8.0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B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c13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Acquainted neighbors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4.072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1.207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B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c14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Helpable neighbors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2.932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1.490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C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c1b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Trust in relatives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2.740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0.647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C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c1c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Trust in neighbors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2.786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0.605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C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c17c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Trust in strangers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1.915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0.609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C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a33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General social trust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1939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3.603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1.019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D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a284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Community participation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3.670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1.179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D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a285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Community activities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2.896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1.618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D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a281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Volunteer activities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1.628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1.050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E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a3012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Television usage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2.990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1.842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E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a32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Internet usage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1937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1.581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1.220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6.0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E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a3009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Newspaper reading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3.406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1.757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E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a3002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Online frequency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4.728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0.544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E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a3008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Overnight trips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3.478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1.616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Domain E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a3010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Exercise frequency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4.807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0.596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Demographics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a3a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Age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years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69.835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6.728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69.0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60.0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94.0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Demographics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a25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Residence duration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years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53.946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21.941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63.0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91.0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Demographics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a13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Height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cm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1934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162.148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8.117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162.0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100.0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188.0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Demographics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a14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Weight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kg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1940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121.290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22.336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120.0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55.0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220.0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Demographics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a1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Family size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persons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2.051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2.067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17.0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Socioeconomic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log_income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Personal income (log)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log yuan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-inf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nan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9.6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-inf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13.5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Socioeconomic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log_income2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Occupational income (log)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log yuan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1900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-inf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nan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-inf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-inf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13.5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Socioeconomic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log_faminc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Family income (log)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log yuan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1802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-inf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nan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10.3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-inf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16.1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Family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a681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Number of sons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count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1.100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0.815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6.0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Family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a68a1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Number of biological sons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count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1.080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0.818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6.0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Family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a682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Number of daughters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count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1.013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0.971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11.0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Family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a68a2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Number of biological daughters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count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0.978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0.946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7.0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Family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a68b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Number of minor children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count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0.071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0.393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Family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a372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Desired number of sons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count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10.462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28.349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97.0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Family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a373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Desired number of daughters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count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10.441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28.358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97.0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Family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spouse_age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Spouse age (derived)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years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1429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68.484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7.180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68.0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37.0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103.0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Family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marriage_duration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Marriage duration (derived)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years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1399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15.590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478.746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-7974.0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75.0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Social attitudes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a421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Gender role attitude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3.453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1.385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-2.0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Social attitudes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a422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Gender attitude – male superiority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3.019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1.403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-2.0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Social attitudes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a423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Gender attitude – marrying well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3.209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1.416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-2.0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Social attitudes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a424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Gender attitude – layoff priority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2.022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1.306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-2.0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Social attitudes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a425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Gender attitude – chore sharing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4.073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1.106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-2.0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Social attitudes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a35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Perceived social fairness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3.337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1.113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-2.0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Social attitudes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a34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Social vigilance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2.885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1.221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-2.0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Political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a48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Support for migration freedom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3.693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1.308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Political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a47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Support for fertility freedom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3.191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1.386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Political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a46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Support for free speech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2.365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1.362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Social capital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b4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Viewpoint consistency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3.339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0.836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Religion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a6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Frequency of religious activities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1.316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1.168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9.0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Subjective class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a43a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Current SES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1–10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4.270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2.023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10.0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Subjective class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a43b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SES 10 years ago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1–10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4.028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2.120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10.0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Subjective class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a43c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SES in 10 years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1–10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4.153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2.658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10.0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Subjective class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a43d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SES at age 14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1–10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3.088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2.196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10.0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Subjective class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a43e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Overall socioeconomic status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1–10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1933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3.671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0.923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Language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a50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Mandarin speaking ability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2.809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1.098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Language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a49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Mandarin listening ability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3.481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1.022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4.0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Language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a52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English speaking ability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1.153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0.479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-2.0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  <w:tr>
        <w:tc>
          <w:tcPr>
            <w:tcW w:type="dxa" w:w="113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Language</w:t>
            </w:r>
          </w:p>
        </w:tc>
        <w:tc>
          <w:tcPr>
            <w:tcW w:type="dxa" w:w="136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a51</w:t>
            </w:r>
          </w:p>
        </w:tc>
        <w:tc>
          <w:tcPr>
            <w:tcW w:type="dxa" w:w="2381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English listening ability</w:t>
            </w:r>
          </w:p>
        </w:tc>
        <w:tc>
          <w:tcPr>
            <w:tcW w:type="dxa" w:w="68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1–5</w:t>
            </w:r>
          </w:p>
        </w:tc>
        <w:tc>
          <w:tcPr>
            <w:tcW w:type="dxa" w:w="510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1942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1.222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0.593</w:t>
            </w:r>
          </w:p>
        </w:tc>
        <w:tc>
          <w:tcPr>
            <w:tcW w:type="dxa" w:w="624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1.0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-2.0</w:t>
            </w:r>
          </w:p>
        </w:tc>
        <w:tc>
          <w:tcPr>
            <w:tcW w:type="dxa" w:w="567"/>
            <w:tcMar>
              <w:top w:w="12" w:type="dxa"/>
              <w:bottom w:w="12" w:type="dxa"/>
              <w:left w:w="20" w:type="dxa"/>
              <w:right w:w="20" w:type="dxa"/>
            </w:tcMar>
          </w:tcPr>
          <w:p>
            <w:r/>
            <w:r>
              <w:rPr>
                <w:rFonts w:ascii="Times New Roman" w:hAnsi="Times New Roman"/>
                <w:sz w:val="14"/>
              </w:rPr>
              <w:t>5.0</w:t>
            </w:r>
          </w:p>
        </w:tc>
      </w:tr>
    </w:tbl>
    <w:p/>
    <w:p>
      <w:r>
        <w:rPr>
          <w:b/>
          <w:sz w:val="18"/>
        </w:rPr>
        <w:t xml:space="preserve">Note: </w:t>
      </w:r>
      <w:r>
        <w:rPr>
          <w:sz w:val="18"/>
        </w:rPr>
        <w:t>Data source: Chinese General Social Survey 2023 (CGSS 2023), N = 4,752. Outcome variables (Y): 22 behavioral outcomes across five domains. Predictor variables (X): 38 exogenous variables (33 direct survey items + 5 derived). Derived variables: log-transformed income measures (log_income, log_income2, log_faminc), spouse age (2023 − spouse birth year), and marriage duration (2023 − marriage year). Negative values treated as missing per CGSS conventions. Variables not selected in the final 29 predictors were filtered by the 90% cumulative SHAP importance threshold.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7626349471823036691-data_volume/files/所有对话/主对话/CGSS老年人社交行为分析/submission/supplementary_information.docx","ReservedCode1":"","ContentPropagator":"001191110102MACQD9K64028705","PropagateID":"1946566052819339#1786606185744","ReservedCode2":""}</vt:lpwstr>
  </property>
</Properties>
</file>