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E1E39" w14:textId="77777777" w:rsidR="003B4964" w:rsidRDefault="003B4964" w:rsidP="003B4964">
      <w:pPr>
        <w:pageBreakBefore/>
        <w:spacing w:line="720" w:lineRule="auto"/>
        <w:rPr>
          <w:rFonts w:ascii="Arial" w:hAnsi="Arial" w:cs="Arial"/>
          <w:b/>
          <w:bCs/>
          <w:sz w:val="22"/>
          <w:szCs w:val="22"/>
        </w:rPr>
      </w:pPr>
      <w:r>
        <w:rPr>
          <w:rFonts w:ascii="Arial" w:hAnsi="Arial" w:cs="Arial"/>
          <w:b/>
          <w:bCs/>
          <w:sz w:val="22"/>
          <w:szCs w:val="22"/>
        </w:rPr>
        <w:t xml:space="preserve">Supplemental Material </w:t>
      </w:r>
    </w:p>
    <w:p w14:paraId="061A4109" w14:textId="77777777" w:rsidR="003B4964" w:rsidRDefault="003B4964" w:rsidP="003B4964">
      <w:pPr>
        <w:rPr>
          <w:rFonts w:ascii="Arial" w:hAnsi="Arial" w:cs="Arial"/>
          <w:b/>
          <w:bCs/>
          <w:sz w:val="22"/>
          <w:szCs w:val="22"/>
        </w:rPr>
      </w:pPr>
      <w:r w:rsidRPr="00872595">
        <w:rPr>
          <w:rFonts w:ascii="Arial" w:hAnsi="Arial" w:cs="Arial"/>
          <w:b/>
          <w:bCs/>
          <w:sz w:val="22"/>
          <w:szCs w:val="22"/>
        </w:rPr>
        <w:t xml:space="preserve">Supplemental Table 1. </w:t>
      </w:r>
      <w:r w:rsidRPr="00872595">
        <w:rPr>
          <w:rFonts w:ascii="Arial" w:hAnsi="Arial" w:cs="Arial"/>
          <w:sz w:val="22"/>
          <w:szCs w:val="22"/>
        </w:rPr>
        <w:t>Gene set enrichment analysis (GSEA) of human adaptive and pre-adaptive NK cells</w:t>
      </w:r>
    </w:p>
    <w:tbl>
      <w:tblPr>
        <w:tblW w:w="9353" w:type="dxa"/>
        <w:tblInd w:w="8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0" w:type="dxa"/>
          <w:right w:w="10" w:type="dxa"/>
        </w:tblCellMar>
        <w:tblLook w:val="0000" w:firstRow="0" w:lastRow="0" w:firstColumn="0" w:lastColumn="0" w:noHBand="0" w:noVBand="0"/>
      </w:tblPr>
      <w:tblGrid>
        <w:gridCol w:w="2340"/>
        <w:gridCol w:w="890"/>
        <w:gridCol w:w="710"/>
        <w:gridCol w:w="740"/>
        <w:gridCol w:w="450"/>
        <w:gridCol w:w="540"/>
        <w:gridCol w:w="540"/>
        <w:gridCol w:w="3143"/>
      </w:tblGrid>
      <w:tr w:rsidR="003B4964" w:rsidRPr="00872595" w14:paraId="44316AA8" w14:textId="77777777" w:rsidTr="00475CF6">
        <w:trPr>
          <w:tblHeader/>
        </w:trPr>
        <w:tc>
          <w:tcPr>
            <w:tcW w:w="2340" w:type="dxa"/>
            <w:shd w:val="clear" w:color="auto" w:fill="D9D9D9" w:themeFill="background1" w:themeFillShade="D9"/>
            <w:tcMar>
              <w:top w:w="50" w:type="dxa"/>
              <w:left w:w="90" w:type="dxa"/>
              <w:bottom w:w="50" w:type="dxa"/>
              <w:right w:w="90" w:type="dxa"/>
            </w:tcMar>
            <w:vAlign w:val="center"/>
          </w:tcPr>
          <w:p w14:paraId="383D9EF5"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b/>
                <w:bCs/>
                <w:sz w:val="14"/>
                <w:szCs w:val="14"/>
              </w:rPr>
              <w:t>Pathway</w:t>
            </w:r>
          </w:p>
        </w:tc>
        <w:tc>
          <w:tcPr>
            <w:tcW w:w="890" w:type="dxa"/>
            <w:shd w:val="clear" w:color="auto" w:fill="D9D9D9" w:themeFill="background1" w:themeFillShade="D9"/>
            <w:tcMar>
              <w:top w:w="50" w:type="dxa"/>
              <w:left w:w="90" w:type="dxa"/>
              <w:bottom w:w="50" w:type="dxa"/>
              <w:right w:w="90" w:type="dxa"/>
            </w:tcMar>
            <w:vAlign w:val="center"/>
          </w:tcPr>
          <w:p w14:paraId="2F07E8A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b/>
                <w:bCs/>
                <w:sz w:val="14"/>
                <w:szCs w:val="14"/>
              </w:rPr>
              <w:t>P value</w:t>
            </w:r>
          </w:p>
        </w:tc>
        <w:tc>
          <w:tcPr>
            <w:tcW w:w="710" w:type="dxa"/>
            <w:shd w:val="clear" w:color="auto" w:fill="D9D9D9" w:themeFill="background1" w:themeFillShade="D9"/>
            <w:tcMar>
              <w:top w:w="50" w:type="dxa"/>
              <w:left w:w="90" w:type="dxa"/>
              <w:bottom w:w="50" w:type="dxa"/>
              <w:right w:w="90" w:type="dxa"/>
            </w:tcMar>
            <w:vAlign w:val="center"/>
          </w:tcPr>
          <w:p w14:paraId="5D764695"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b/>
                <w:bCs/>
                <w:sz w:val="14"/>
                <w:szCs w:val="14"/>
              </w:rPr>
              <w:t>FDR</w:t>
            </w:r>
          </w:p>
        </w:tc>
        <w:tc>
          <w:tcPr>
            <w:tcW w:w="740" w:type="dxa"/>
            <w:shd w:val="clear" w:color="auto" w:fill="D9D9D9" w:themeFill="background1" w:themeFillShade="D9"/>
            <w:tcMar>
              <w:top w:w="50" w:type="dxa"/>
              <w:left w:w="90" w:type="dxa"/>
              <w:bottom w:w="50" w:type="dxa"/>
              <w:right w:w="90" w:type="dxa"/>
            </w:tcMar>
            <w:vAlign w:val="center"/>
          </w:tcPr>
          <w:p w14:paraId="1D7EA722"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b/>
                <w:bCs/>
                <w:sz w:val="14"/>
                <w:szCs w:val="14"/>
              </w:rPr>
              <w:t>log2err</w:t>
            </w:r>
          </w:p>
        </w:tc>
        <w:tc>
          <w:tcPr>
            <w:tcW w:w="450" w:type="dxa"/>
            <w:shd w:val="clear" w:color="auto" w:fill="D9D9D9" w:themeFill="background1" w:themeFillShade="D9"/>
            <w:tcMar>
              <w:top w:w="50" w:type="dxa"/>
              <w:left w:w="90" w:type="dxa"/>
              <w:bottom w:w="50" w:type="dxa"/>
              <w:right w:w="90" w:type="dxa"/>
            </w:tcMar>
            <w:vAlign w:val="center"/>
          </w:tcPr>
          <w:p w14:paraId="1EDE9780"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b/>
                <w:bCs/>
                <w:sz w:val="14"/>
                <w:szCs w:val="14"/>
              </w:rPr>
              <w:t>ES</w:t>
            </w:r>
          </w:p>
        </w:tc>
        <w:tc>
          <w:tcPr>
            <w:tcW w:w="540" w:type="dxa"/>
            <w:shd w:val="clear" w:color="auto" w:fill="D9D9D9" w:themeFill="background1" w:themeFillShade="D9"/>
            <w:tcMar>
              <w:top w:w="50" w:type="dxa"/>
              <w:left w:w="90" w:type="dxa"/>
              <w:bottom w:w="50" w:type="dxa"/>
              <w:right w:w="90" w:type="dxa"/>
            </w:tcMar>
            <w:vAlign w:val="center"/>
          </w:tcPr>
          <w:p w14:paraId="5C66BC4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b/>
                <w:bCs/>
                <w:sz w:val="14"/>
                <w:szCs w:val="14"/>
              </w:rPr>
              <w:t>NES</w:t>
            </w:r>
          </w:p>
        </w:tc>
        <w:tc>
          <w:tcPr>
            <w:tcW w:w="540" w:type="dxa"/>
            <w:shd w:val="clear" w:color="auto" w:fill="D9D9D9" w:themeFill="background1" w:themeFillShade="D9"/>
            <w:tcMar>
              <w:top w:w="50" w:type="dxa"/>
              <w:left w:w="90" w:type="dxa"/>
              <w:bottom w:w="50" w:type="dxa"/>
              <w:right w:w="90" w:type="dxa"/>
            </w:tcMar>
            <w:vAlign w:val="center"/>
          </w:tcPr>
          <w:p w14:paraId="6C52B5A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b/>
                <w:bCs/>
                <w:sz w:val="14"/>
                <w:szCs w:val="14"/>
              </w:rPr>
              <w:t>Size</w:t>
            </w:r>
          </w:p>
        </w:tc>
        <w:tc>
          <w:tcPr>
            <w:tcW w:w="3143" w:type="dxa"/>
            <w:shd w:val="clear" w:color="auto" w:fill="D9D9D9" w:themeFill="background1" w:themeFillShade="D9"/>
            <w:tcMar>
              <w:top w:w="50" w:type="dxa"/>
              <w:left w:w="90" w:type="dxa"/>
              <w:bottom w:w="50" w:type="dxa"/>
              <w:right w:w="90" w:type="dxa"/>
            </w:tcMar>
            <w:vAlign w:val="center"/>
          </w:tcPr>
          <w:p w14:paraId="3C0FC626"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b/>
                <w:bCs/>
                <w:sz w:val="14"/>
                <w:szCs w:val="14"/>
              </w:rPr>
              <w:t>Leading-edge genes</w:t>
            </w:r>
          </w:p>
        </w:tc>
      </w:tr>
      <w:tr w:rsidR="003B4964" w:rsidRPr="00872595" w14:paraId="099FF32A" w14:textId="77777777" w:rsidTr="00475CF6">
        <w:trPr>
          <w:trHeight w:val="111"/>
        </w:trPr>
        <w:tc>
          <w:tcPr>
            <w:tcW w:w="2340" w:type="dxa"/>
            <w:tcMar>
              <w:top w:w="50" w:type="dxa"/>
              <w:left w:w="90" w:type="dxa"/>
              <w:bottom w:w="50" w:type="dxa"/>
              <w:right w:w="90" w:type="dxa"/>
            </w:tcMar>
            <w:vAlign w:val="center"/>
          </w:tcPr>
          <w:p w14:paraId="36D59A7B"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Cytotoxicity</w:t>
            </w:r>
          </w:p>
        </w:tc>
        <w:tc>
          <w:tcPr>
            <w:tcW w:w="890" w:type="dxa"/>
            <w:tcMar>
              <w:top w:w="50" w:type="dxa"/>
              <w:left w:w="90" w:type="dxa"/>
              <w:bottom w:w="50" w:type="dxa"/>
              <w:right w:w="90" w:type="dxa"/>
            </w:tcMar>
            <w:vAlign w:val="center"/>
          </w:tcPr>
          <w:p w14:paraId="3B94264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9.2 × 10</w:t>
            </w:r>
            <w:r w:rsidRPr="00872595">
              <w:rPr>
                <w:rFonts w:ascii="Arial" w:hAnsi="Arial" w:cs="Arial"/>
                <w:sz w:val="14"/>
                <w:szCs w:val="14"/>
                <w:vertAlign w:val="superscript"/>
              </w:rPr>
              <w:t>−6</w:t>
            </w:r>
          </w:p>
        </w:tc>
        <w:tc>
          <w:tcPr>
            <w:tcW w:w="710" w:type="dxa"/>
            <w:tcMar>
              <w:top w:w="50" w:type="dxa"/>
              <w:left w:w="90" w:type="dxa"/>
              <w:bottom w:w="50" w:type="dxa"/>
              <w:right w:w="90" w:type="dxa"/>
            </w:tcMar>
            <w:vAlign w:val="center"/>
          </w:tcPr>
          <w:p w14:paraId="3D8DDB45"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1.4 × 10</w:t>
            </w:r>
            <w:r w:rsidRPr="00872595">
              <w:rPr>
                <w:rFonts w:ascii="Arial" w:hAnsi="Arial" w:cs="Arial"/>
                <w:sz w:val="14"/>
                <w:szCs w:val="14"/>
                <w:vertAlign w:val="superscript"/>
              </w:rPr>
              <w:t>−4</w:t>
            </w:r>
          </w:p>
        </w:tc>
        <w:tc>
          <w:tcPr>
            <w:tcW w:w="740" w:type="dxa"/>
            <w:tcMar>
              <w:top w:w="50" w:type="dxa"/>
              <w:left w:w="90" w:type="dxa"/>
              <w:bottom w:w="50" w:type="dxa"/>
              <w:right w:w="90" w:type="dxa"/>
            </w:tcMar>
            <w:vAlign w:val="center"/>
          </w:tcPr>
          <w:p w14:paraId="0621BF9C"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0.59</w:t>
            </w:r>
          </w:p>
        </w:tc>
        <w:tc>
          <w:tcPr>
            <w:tcW w:w="450" w:type="dxa"/>
            <w:tcMar>
              <w:top w:w="50" w:type="dxa"/>
              <w:left w:w="90" w:type="dxa"/>
              <w:bottom w:w="50" w:type="dxa"/>
              <w:right w:w="90" w:type="dxa"/>
            </w:tcMar>
            <w:vAlign w:val="center"/>
          </w:tcPr>
          <w:p w14:paraId="57C07978"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0.94</w:t>
            </w:r>
          </w:p>
        </w:tc>
        <w:tc>
          <w:tcPr>
            <w:tcW w:w="540" w:type="dxa"/>
            <w:tcMar>
              <w:top w:w="50" w:type="dxa"/>
              <w:left w:w="90" w:type="dxa"/>
              <w:bottom w:w="50" w:type="dxa"/>
              <w:right w:w="90" w:type="dxa"/>
            </w:tcMar>
            <w:vAlign w:val="center"/>
          </w:tcPr>
          <w:p w14:paraId="0E00DA7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2.05</w:t>
            </w:r>
          </w:p>
        </w:tc>
        <w:tc>
          <w:tcPr>
            <w:tcW w:w="540" w:type="dxa"/>
            <w:tcMar>
              <w:top w:w="50" w:type="dxa"/>
              <w:left w:w="90" w:type="dxa"/>
              <w:bottom w:w="50" w:type="dxa"/>
              <w:right w:w="90" w:type="dxa"/>
            </w:tcMar>
            <w:vAlign w:val="center"/>
          </w:tcPr>
          <w:p w14:paraId="51C9FA52"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9</w:t>
            </w:r>
          </w:p>
        </w:tc>
        <w:tc>
          <w:tcPr>
            <w:tcW w:w="3143" w:type="dxa"/>
            <w:tcMar>
              <w:top w:w="50" w:type="dxa"/>
              <w:left w:w="90" w:type="dxa"/>
              <w:bottom w:w="50" w:type="dxa"/>
              <w:right w:w="90" w:type="dxa"/>
            </w:tcMar>
            <w:vAlign w:val="center"/>
          </w:tcPr>
          <w:p w14:paraId="4C94F5A1"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GZMA, KLRD1, GNLY, FASLG, NKG7, GZMH</w:t>
            </w:r>
          </w:p>
        </w:tc>
      </w:tr>
      <w:tr w:rsidR="003B4964" w:rsidRPr="00872595" w14:paraId="1CC82D14" w14:textId="77777777" w:rsidTr="00475CF6">
        <w:tc>
          <w:tcPr>
            <w:tcW w:w="2340" w:type="dxa"/>
            <w:shd w:val="clear" w:color="auto" w:fill="F2F2F2" w:themeFill="background1" w:themeFillShade="F2"/>
            <w:tcMar>
              <w:top w:w="50" w:type="dxa"/>
              <w:left w:w="90" w:type="dxa"/>
              <w:bottom w:w="50" w:type="dxa"/>
              <w:right w:w="90" w:type="dxa"/>
            </w:tcMar>
            <w:vAlign w:val="center"/>
          </w:tcPr>
          <w:p w14:paraId="58404548"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Activating receptors</w:t>
            </w:r>
          </w:p>
        </w:tc>
        <w:tc>
          <w:tcPr>
            <w:tcW w:w="890" w:type="dxa"/>
            <w:shd w:val="clear" w:color="auto" w:fill="F2F2F2" w:themeFill="background1" w:themeFillShade="F2"/>
            <w:tcMar>
              <w:top w:w="50" w:type="dxa"/>
              <w:left w:w="90" w:type="dxa"/>
              <w:bottom w:w="50" w:type="dxa"/>
              <w:right w:w="90" w:type="dxa"/>
            </w:tcMar>
            <w:vAlign w:val="center"/>
          </w:tcPr>
          <w:p w14:paraId="34AECFB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1.9 × 10</w:t>
            </w:r>
            <w:r w:rsidRPr="00872595">
              <w:rPr>
                <w:rFonts w:ascii="Arial" w:hAnsi="Arial" w:cs="Arial"/>
                <w:sz w:val="14"/>
                <w:szCs w:val="14"/>
                <w:vertAlign w:val="superscript"/>
              </w:rPr>
              <w:t>−4</w:t>
            </w:r>
          </w:p>
        </w:tc>
        <w:tc>
          <w:tcPr>
            <w:tcW w:w="710" w:type="dxa"/>
            <w:shd w:val="clear" w:color="auto" w:fill="F2F2F2" w:themeFill="background1" w:themeFillShade="F2"/>
            <w:tcMar>
              <w:top w:w="50" w:type="dxa"/>
              <w:left w:w="90" w:type="dxa"/>
              <w:bottom w:w="50" w:type="dxa"/>
              <w:right w:w="90" w:type="dxa"/>
            </w:tcMar>
            <w:vAlign w:val="center"/>
          </w:tcPr>
          <w:p w14:paraId="31649E24"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9.7 × 10</w:t>
            </w:r>
            <w:r w:rsidRPr="00872595">
              <w:rPr>
                <w:rFonts w:ascii="Arial" w:hAnsi="Arial" w:cs="Arial"/>
                <w:sz w:val="14"/>
                <w:szCs w:val="14"/>
                <w:vertAlign w:val="superscript"/>
              </w:rPr>
              <w:t>−4</w:t>
            </w:r>
          </w:p>
        </w:tc>
        <w:tc>
          <w:tcPr>
            <w:tcW w:w="740" w:type="dxa"/>
            <w:shd w:val="clear" w:color="auto" w:fill="F2F2F2" w:themeFill="background1" w:themeFillShade="F2"/>
            <w:tcMar>
              <w:top w:w="50" w:type="dxa"/>
              <w:left w:w="90" w:type="dxa"/>
              <w:bottom w:w="50" w:type="dxa"/>
              <w:right w:w="90" w:type="dxa"/>
            </w:tcMar>
            <w:vAlign w:val="center"/>
          </w:tcPr>
          <w:p w14:paraId="7C13970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0.52</w:t>
            </w:r>
          </w:p>
        </w:tc>
        <w:tc>
          <w:tcPr>
            <w:tcW w:w="450" w:type="dxa"/>
            <w:shd w:val="clear" w:color="auto" w:fill="F2F2F2" w:themeFill="background1" w:themeFillShade="F2"/>
            <w:tcMar>
              <w:top w:w="50" w:type="dxa"/>
              <w:left w:w="90" w:type="dxa"/>
              <w:bottom w:w="50" w:type="dxa"/>
              <w:right w:w="90" w:type="dxa"/>
            </w:tcMar>
            <w:vAlign w:val="center"/>
          </w:tcPr>
          <w:p w14:paraId="1696D4F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0.94</w:t>
            </w:r>
          </w:p>
        </w:tc>
        <w:tc>
          <w:tcPr>
            <w:tcW w:w="540" w:type="dxa"/>
            <w:shd w:val="clear" w:color="auto" w:fill="F2F2F2" w:themeFill="background1" w:themeFillShade="F2"/>
            <w:tcMar>
              <w:top w:w="50" w:type="dxa"/>
              <w:left w:w="90" w:type="dxa"/>
              <w:bottom w:w="50" w:type="dxa"/>
              <w:right w:w="90" w:type="dxa"/>
            </w:tcMar>
            <w:vAlign w:val="center"/>
          </w:tcPr>
          <w:p w14:paraId="337502B0"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1.85</w:t>
            </w:r>
          </w:p>
        </w:tc>
        <w:tc>
          <w:tcPr>
            <w:tcW w:w="540" w:type="dxa"/>
            <w:shd w:val="clear" w:color="auto" w:fill="F2F2F2" w:themeFill="background1" w:themeFillShade="F2"/>
            <w:tcMar>
              <w:top w:w="50" w:type="dxa"/>
              <w:left w:w="90" w:type="dxa"/>
              <w:bottom w:w="50" w:type="dxa"/>
              <w:right w:w="90" w:type="dxa"/>
            </w:tcMar>
            <w:vAlign w:val="center"/>
          </w:tcPr>
          <w:p w14:paraId="2AF4F68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6</w:t>
            </w:r>
          </w:p>
        </w:tc>
        <w:tc>
          <w:tcPr>
            <w:tcW w:w="3143" w:type="dxa"/>
            <w:shd w:val="clear" w:color="auto" w:fill="F2F2F2" w:themeFill="background1" w:themeFillShade="F2"/>
            <w:tcMar>
              <w:top w:w="50" w:type="dxa"/>
              <w:left w:w="90" w:type="dxa"/>
              <w:bottom w:w="50" w:type="dxa"/>
              <w:right w:w="90" w:type="dxa"/>
            </w:tcMar>
            <w:vAlign w:val="center"/>
          </w:tcPr>
          <w:p w14:paraId="12A3462F"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KLRC2, KLRK1, SLAMF7, NCR1, NCR3</w:t>
            </w:r>
          </w:p>
        </w:tc>
      </w:tr>
      <w:tr w:rsidR="003B4964" w:rsidRPr="00872595" w14:paraId="4A2444B9" w14:textId="77777777" w:rsidTr="00475CF6">
        <w:trPr>
          <w:trHeight w:val="57"/>
        </w:trPr>
        <w:tc>
          <w:tcPr>
            <w:tcW w:w="2340" w:type="dxa"/>
            <w:tcMar>
              <w:top w:w="50" w:type="dxa"/>
              <w:left w:w="90" w:type="dxa"/>
              <w:bottom w:w="50" w:type="dxa"/>
              <w:right w:w="90" w:type="dxa"/>
            </w:tcMar>
            <w:vAlign w:val="center"/>
          </w:tcPr>
          <w:p w14:paraId="46760DFD"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Chemokine trafficking</w:t>
            </w:r>
          </w:p>
        </w:tc>
        <w:tc>
          <w:tcPr>
            <w:tcW w:w="890" w:type="dxa"/>
            <w:tcMar>
              <w:top w:w="50" w:type="dxa"/>
              <w:left w:w="90" w:type="dxa"/>
              <w:bottom w:w="50" w:type="dxa"/>
              <w:right w:w="90" w:type="dxa"/>
            </w:tcMar>
            <w:vAlign w:val="center"/>
          </w:tcPr>
          <w:p w14:paraId="3A0385D1"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1.6 × 10</w:t>
            </w:r>
            <w:r w:rsidRPr="00872595">
              <w:rPr>
                <w:rFonts w:ascii="Arial" w:hAnsi="Arial" w:cs="Arial"/>
                <w:sz w:val="14"/>
                <w:szCs w:val="14"/>
                <w:vertAlign w:val="superscript"/>
              </w:rPr>
              <w:t>−4</w:t>
            </w:r>
          </w:p>
        </w:tc>
        <w:tc>
          <w:tcPr>
            <w:tcW w:w="710" w:type="dxa"/>
            <w:tcMar>
              <w:top w:w="50" w:type="dxa"/>
              <w:left w:w="90" w:type="dxa"/>
              <w:bottom w:w="50" w:type="dxa"/>
              <w:right w:w="90" w:type="dxa"/>
            </w:tcMar>
            <w:vAlign w:val="center"/>
          </w:tcPr>
          <w:p w14:paraId="343173C6"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9.7 × 10</w:t>
            </w:r>
            <w:r w:rsidRPr="00872595">
              <w:rPr>
                <w:rFonts w:ascii="Arial" w:hAnsi="Arial" w:cs="Arial"/>
                <w:sz w:val="14"/>
                <w:szCs w:val="14"/>
                <w:vertAlign w:val="superscript"/>
              </w:rPr>
              <w:t>−4</w:t>
            </w:r>
          </w:p>
        </w:tc>
        <w:tc>
          <w:tcPr>
            <w:tcW w:w="740" w:type="dxa"/>
            <w:tcMar>
              <w:top w:w="50" w:type="dxa"/>
              <w:left w:w="90" w:type="dxa"/>
              <w:bottom w:w="50" w:type="dxa"/>
              <w:right w:w="90" w:type="dxa"/>
            </w:tcMar>
            <w:vAlign w:val="center"/>
          </w:tcPr>
          <w:p w14:paraId="68334C64"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0.52</w:t>
            </w:r>
          </w:p>
        </w:tc>
        <w:tc>
          <w:tcPr>
            <w:tcW w:w="450" w:type="dxa"/>
            <w:tcMar>
              <w:top w:w="50" w:type="dxa"/>
              <w:left w:w="90" w:type="dxa"/>
              <w:bottom w:w="50" w:type="dxa"/>
              <w:right w:w="90" w:type="dxa"/>
            </w:tcMar>
            <w:vAlign w:val="center"/>
          </w:tcPr>
          <w:p w14:paraId="130693E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0.93</w:t>
            </w:r>
          </w:p>
        </w:tc>
        <w:tc>
          <w:tcPr>
            <w:tcW w:w="540" w:type="dxa"/>
            <w:tcMar>
              <w:top w:w="50" w:type="dxa"/>
              <w:left w:w="90" w:type="dxa"/>
              <w:bottom w:w="50" w:type="dxa"/>
              <w:right w:w="90" w:type="dxa"/>
            </w:tcMar>
            <w:vAlign w:val="center"/>
          </w:tcPr>
          <w:p w14:paraId="7E643318"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1.89</w:t>
            </w:r>
          </w:p>
        </w:tc>
        <w:tc>
          <w:tcPr>
            <w:tcW w:w="540" w:type="dxa"/>
            <w:tcMar>
              <w:top w:w="50" w:type="dxa"/>
              <w:left w:w="90" w:type="dxa"/>
              <w:bottom w:w="50" w:type="dxa"/>
              <w:right w:w="90" w:type="dxa"/>
            </w:tcMar>
            <w:vAlign w:val="center"/>
          </w:tcPr>
          <w:p w14:paraId="6509126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7</w:t>
            </w:r>
          </w:p>
        </w:tc>
        <w:tc>
          <w:tcPr>
            <w:tcW w:w="3143" w:type="dxa"/>
            <w:tcMar>
              <w:top w:w="50" w:type="dxa"/>
              <w:left w:w="90" w:type="dxa"/>
              <w:bottom w:w="50" w:type="dxa"/>
              <w:right w:w="90" w:type="dxa"/>
            </w:tcMar>
            <w:vAlign w:val="center"/>
          </w:tcPr>
          <w:p w14:paraId="281509C3"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CCL4, CCL5, CXCR3, CCL3, CXCR4</w:t>
            </w:r>
          </w:p>
        </w:tc>
      </w:tr>
      <w:tr w:rsidR="003B4964" w:rsidRPr="00872595" w14:paraId="4AAD775C" w14:textId="77777777" w:rsidTr="00475CF6">
        <w:tc>
          <w:tcPr>
            <w:tcW w:w="2340" w:type="dxa"/>
            <w:shd w:val="clear" w:color="auto" w:fill="F2F2F2" w:themeFill="background1" w:themeFillShade="F2"/>
            <w:tcMar>
              <w:top w:w="50" w:type="dxa"/>
              <w:left w:w="90" w:type="dxa"/>
              <w:bottom w:w="50" w:type="dxa"/>
              <w:right w:w="90" w:type="dxa"/>
            </w:tcMar>
            <w:vAlign w:val="center"/>
          </w:tcPr>
          <w:p w14:paraId="6C6D409A"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Collagen/TGFβ fibrosis</w:t>
            </w:r>
          </w:p>
        </w:tc>
        <w:tc>
          <w:tcPr>
            <w:tcW w:w="890" w:type="dxa"/>
            <w:shd w:val="clear" w:color="auto" w:fill="F2F2F2" w:themeFill="background1" w:themeFillShade="F2"/>
            <w:tcMar>
              <w:top w:w="50" w:type="dxa"/>
              <w:left w:w="90" w:type="dxa"/>
              <w:bottom w:w="50" w:type="dxa"/>
              <w:right w:w="90" w:type="dxa"/>
            </w:tcMar>
            <w:vAlign w:val="center"/>
          </w:tcPr>
          <w:p w14:paraId="3654342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1.3 × 10</w:t>
            </w:r>
            <w:r w:rsidRPr="00872595">
              <w:rPr>
                <w:rFonts w:ascii="Arial" w:hAnsi="Arial" w:cs="Arial"/>
                <w:sz w:val="14"/>
                <w:szCs w:val="14"/>
                <w:vertAlign w:val="superscript"/>
              </w:rPr>
              <w:t>−3</w:t>
            </w:r>
          </w:p>
        </w:tc>
        <w:tc>
          <w:tcPr>
            <w:tcW w:w="710" w:type="dxa"/>
            <w:shd w:val="clear" w:color="auto" w:fill="F2F2F2" w:themeFill="background1" w:themeFillShade="F2"/>
            <w:tcMar>
              <w:top w:w="50" w:type="dxa"/>
              <w:left w:w="90" w:type="dxa"/>
              <w:bottom w:w="50" w:type="dxa"/>
              <w:right w:w="90" w:type="dxa"/>
            </w:tcMar>
            <w:vAlign w:val="center"/>
          </w:tcPr>
          <w:p w14:paraId="57619EB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4.8 × 10</w:t>
            </w:r>
            <w:r w:rsidRPr="00872595">
              <w:rPr>
                <w:rFonts w:ascii="Arial" w:hAnsi="Arial" w:cs="Arial"/>
                <w:sz w:val="14"/>
                <w:szCs w:val="14"/>
                <w:vertAlign w:val="superscript"/>
              </w:rPr>
              <w:t>−3</w:t>
            </w:r>
          </w:p>
        </w:tc>
        <w:tc>
          <w:tcPr>
            <w:tcW w:w="740" w:type="dxa"/>
            <w:shd w:val="clear" w:color="auto" w:fill="F2F2F2" w:themeFill="background1" w:themeFillShade="F2"/>
            <w:tcMar>
              <w:top w:w="50" w:type="dxa"/>
              <w:left w:w="90" w:type="dxa"/>
              <w:bottom w:w="50" w:type="dxa"/>
              <w:right w:w="90" w:type="dxa"/>
            </w:tcMar>
            <w:vAlign w:val="center"/>
          </w:tcPr>
          <w:p w14:paraId="57120D65"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0.46</w:t>
            </w:r>
          </w:p>
        </w:tc>
        <w:tc>
          <w:tcPr>
            <w:tcW w:w="450" w:type="dxa"/>
            <w:shd w:val="clear" w:color="auto" w:fill="F2F2F2" w:themeFill="background1" w:themeFillShade="F2"/>
            <w:tcMar>
              <w:top w:w="50" w:type="dxa"/>
              <w:left w:w="90" w:type="dxa"/>
              <w:bottom w:w="50" w:type="dxa"/>
              <w:right w:w="90" w:type="dxa"/>
            </w:tcMar>
            <w:vAlign w:val="center"/>
          </w:tcPr>
          <w:p w14:paraId="6A98C9C2"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0.91</w:t>
            </w:r>
          </w:p>
        </w:tc>
        <w:tc>
          <w:tcPr>
            <w:tcW w:w="540" w:type="dxa"/>
            <w:shd w:val="clear" w:color="auto" w:fill="F2F2F2" w:themeFill="background1" w:themeFillShade="F2"/>
            <w:tcMar>
              <w:top w:w="50" w:type="dxa"/>
              <w:left w:w="90" w:type="dxa"/>
              <w:bottom w:w="50" w:type="dxa"/>
              <w:right w:w="90" w:type="dxa"/>
            </w:tcMar>
            <w:vAlign w:val="center"/>
          </w:tcPr>
          <w:p w14:paraId="0281112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1.79</w:t>
            </w:r>
          </w:p>
        </w:tc>
        <w:tc>
          <w:tcPr>
            <w:tcW w:w="540" w:type="dxa"/>
            <w:shd w:val="clear" w:color="auto" w:fill="F2F2F2" w:themeFill="background1" w:themeFillShade="F2"/>
            <w:tcMar>
              <w:top w:w="50" w:type="dxa"/>
              <w:left w:w="90" w:type="dxa"/>
              <w:bottom w:w="50" w:type="dxa"/>
              <w:right w:w="90" w:type="dxa"/>
            </w:tcMar>
            <w:vAlign w:val="center"/>
          </w:tcPr>
          <w:p w14:paraId="2C7C2B2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6</w:t>
            </w:r>
          </w:p>
        </w:tc>
        <w:tc>
          <w:tcPr>
            <w:tcW w:w="3143" w:type="dxa"/>
            <w:shd w:val="clear" w:color="auto" w:fill="F2F2F2" w:themeFill="background1" w:themeFillShade="F2"/>
            <w:tcMar>
              <w:top w:w="50" w:type="dxa"/>
              <w:left w:w="90" w:type="dxa"/>
              <w:bottom w:w="50" w:type="dxa"/>
              <w:right w:w="90" w:type="dxa"/>
            </w:tcMar>
            <w:vAlign w:val="center"/>
          </w:tcPr>
          <w:p w14:paraId="328F9E02"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ITGA1, ITGB1, SMAD7, CD44</w:t>
            </w:r>
          </w:p>
        </w:tc>
      </w:tr>
      <w:tr w:rsidR="003B4964" w:rsidRPr="00872595" w14:paraId="427B9C3F" w14:textId="77777777" w:rsidTr="00475CF6">
        <w:tc>
          <w:tcPr>
            <w:tcW w:w="2340" w:type="dxa"/>
            <w:tcMar>
              <w:top w:w="50" w:type="dxa"/>
              <w:left w:w="90" w:type="dxa"/>
              <w:bottom w:w="50" w:type="dxa"/>
              <w:right w:w="90" w:type="dxa"/>
            </w:tcMar>
            <w:vAlign w:val="center"/>
          </w:tcPr>
          <w:p w14:paraId="7BC8ECF2"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Hallmark allograft rejection</w:t>
            </w:r>
          </w:p>
        </w:tc>
        <w:tc>
          <w:tcPr>
            <w:tcW w:w="890" w:type="dxa"/>
            <w:tcMar>
              <w:top w:w="50" w:type="dxa"/>
              <w:left w:w="90" w:type="dxa"/>
              <w:bottom w:w="50" w:type="dxa"/>
              <w:right w:w="90" w:type="dxa"/>
            </w:tcMar>
            <w:vAlign w:val="center"/>
          </w:tcPr>
          <w:p w14:paraId="6636E8A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1.9 × 10</w:t>
            </w:r>
            <w:r w:rsidRPr="00872595">
              <w:rPr>
                <w:rFonts w:ascii="Arial" w:hAnsi="Arial" w:cs="Arial"/>
                <w:sz w:val="14"/>
                <w:szCs w:val="14"/>
                <w:vertAlign w:val="superscript"/>
              </w:rPr>
              <w:t>−3</w:t>
            </w:r>
          </w:p>
        </w:tc>
        <w:tc>
          <w:tcPr>
            <w:tcW w:w="710" w:type="dxa"/>
            <w:tcMar>
              <w:top w:w="50" w:type="dxa"/>
              <w:left w:w="90" w:type="dxa"/>
              <w:bottom w:w="50" w:type="dxa"/>
              <w:right w:w="90" w:type="dxa"/>
            </w:tcMar>
            <w:vAlign w:val="center"/>
          </w:tcPr>
          <w:p w14:paraId="6388993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5.6 × 10</w:t>
            </w:r>
            <w:r w:rsidRPr="00872595">
              <w:rPr>
                <w:rFonts w:ascii="Arial" w:hAnsi="Arial" w:cs="Arial"/>
                <w:sz w:val="14"/>
                <w:szCs w:val="14"/>
                <w:vertAlign w:val="superscript"/>
              </w:rPr>
              <w:t>−3</w:t>
            </w:r>
          </w:p>
        </w:tc>
        <w:tc>
          <w:tcPr>
            <w:tcW w:w="740" w:type="dxa"/>
            <w:tcMar>
              <w:top w:w="50" w:type="dxa"/>
              <w:left w:w="90" w:type="dxa"/>
              <w:bottom w:w="50" w:type="dxa"/>
              <w:right w:w="90" w:type="dxa"/>
            </w:tcMar>
            <w:vAlign w:val="center"/>
          </w:tcPr>
          <w:p w14:paraId="0A6A1265"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0.46</w:t>
            </w:r>
          </w:p>
        </w:tc>
        <w:tc>
          <w:tcPr>
            <w:tcW w:w="450" w:type="dxa"/>
            <w:tcMar>
              <w:top w:w="50" w:type="dxa"/>
              <w:left w:w="90" w:type="dxa"/>
              <w:bottom w:w="50" w:type="dxa"/>
              <w:right w:w="90" w:type="dxa"/>
            </w:tcMar>
            <w:vAlign w:val="center"/>
          </w:tcPr>
          <w:p w14:paraId="22507081"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0.46</w:t>
            </w:r>
          </w:p>
        </w:tc>
        <w:tc>
          <w:tcPr>
            <w:tcW w:w="540" w:type="dxa"/>
            <w:tcMar>
              <w:top w:w="50" w:type="dxa"/>
              <w:left w:w="90" w:type="dxa"/>
              <w:bottom w:w="50" w:type="dxa"/>
              <w:right w:w="90" w:type="dxa"/>
            </w:tcMar>
            <w:vAlign w:val="center"/>
          </w:tcPr>
          <w:p w14:paraId="02F8C71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1.63</w:t>
            </w:r>
          </w:p>
        </w:tc>
        <w:tc>
          <w:tcPr>
            <w:tcW w:w="540" w:type="dxa"/>
            <w:tcMar>
              <w:top w:w="50" w:type="dxa"/>
              <w:left w:w="90" w:type="dxa"/>
              <w:bottom w:w="50" w:type="dxa"/>
              <w:right w:w="90" w:type="dxa"/>
            </w:tcMar>
            <w:vAlign w:val="center"/>
          </w:tcPr>
          <w:p w14:paraId="1CFAF9C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96</w:t>
            </w:r>
          </w:p>
        </w:tc>
        <w:tc>
          <w:tcPr>
            <w:tcW w:w="3143" w:type="dxa"/>
            <w:tcMar>
              <w:top w:w="50" w:type="dxa"/>
              <w:left w:w="90" w:type="dxa"/>
              <w:bottom w:w="50" w:type="dxa"/>
              <w:right w:w="90" w:type="dxa"/>
            </w:tcMar>
            <w:vAlign w:val="center"/>
          </w:tcPr>
          <w:p w14:paraId="634E00A5"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CCL4, CCL5, CD8A, GZMA, CD3D, KLRD1, CD2, IFNG, CXCR3, NCR1, IL2RB, CD3G, CD247, CD96, FASLG, LCK, CD8B, ETS1, GBP2, CD3E, STAT4</w:t>
            </w:r>
          </w:p>
        </w:tc>
      </w:tr>
      <w:tr w:rsidR="003B4964" w:rsidRPr="00872595" w14:paraId="0FD17F0F" w14:textId="77777777" w:rsidTr="00475CF6">
        <w:tc>
          <w:tcPr>
            <w:tcW w:w="2340" w:type="dxa"/>
            <w:shd w:val="clear" w:color="auto" w:fill="F2F2F2" w:themeFill="background1" w:themeFillShade="F2"/>
            <w:tcMar>
              <w:top w:w="50" w:type="dxa"/>
              <w:left w:w="90" w:type="dxa"/>
              <w:bottom w:w="50" w:type="dxa"/>
              <w:right w:w="90" w:type="dxa"/>
            </w:tcMar>
            <w:vAlign w:val="center"/>
          </w:tcPr>
          <w:p w14:paraId="1B2602B8"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Hallmark TNFα signaling via NF-</w:t>
            </w:r>
            <w:proofErr w:type="spellStart"/>
            <w:r w:rsidRPr="00872595">
              <w:rPr>
                <w:rFonts w:ascii="Arial" w:hAnsi="Arial" w:cs="Arial"/>
                <w:sz w:val="14"/>
                <w:szCs w:val="14"/>
              </w:rPr>
              <w:t>κB</w:t>
            </w:r>
            <w:proofErr w:type="spellEnd"/>
          </w:p>
        </w:tc>
        <w:tc>
          <w:tcPr>
            <w:tcW w:w="890" w:type="dxa"/>
            <w:shd w:val="clear" w:color="auto" w:fill="F2F2F2" w:themeFill="background1" w:themeFillShade="F2"/>
            <w:tcMar>
              <w:top w:w="50" w:type="dxa"/>
              <w:left w:w="90" w:type="dxa"/>
              <w:bottom w:w="50" w:type="dxa"/>
              <w:right w:w="90" w:type="dxa"/>
            </w:tcMar>
            <w:vAlign w:val="center"/>
          </w:tcPr>
          <w:p w14:paraId="1C42FA8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6.0 × 10</w:t>
            </w:r>
            <w:r w:rsidRPr="00872595">
              <w:rPr>
                <w:rFonts w:ascii="Arial" w:hAnsi="Arial" w:cs="Arial"/>
                <w:sz w:val="14"/>
                <w:szCs w:val="14"/>
                <w:vertAlign w:val="superscript"/>
              </w:rPr>
              <w:t>−3</w:t>
            </w:r>
          </w:p>
        </w:tc>
        <w:tc>
          <w:tcPr>
            <w:tcW w:w="710" w:type="dxa"/>
            <w:shd w:val="clear" w:color="auto" w:fill="F2F2F2" w:themeFill="background1" w:themeFillShade="F2"/>
            <w:tcMar>
              <w:top w:w="50" w:type="dxa"/>
              <w:left w:w="90" w:type="dxa"/>
              <w:bottom w:w="50" w:type="dxa"/>
              <w:right w:w="90" w:type="dxa"/>
            </w:tcMar>
            <w:vAlign w:val="center"/>
          </w:tcPr>
          <w:p w14:paraId="5092C56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0.015</w:t>
            </w:r>
          </w:p>
        </w:tc>
        <w:tc>
          <w:tcPr>
            <w:tcW w:w="740" w:type="dxa"/>
            <w:shd w:val="clear" w:color="auto" w:fill="F2F2F2" w:themeFill="background1" w:themeFillShade="F2"/>
            <w:tcMar>
              <w:top w:w="50" w:type="dxa"/>
              <w:left w:w="90" w:type="dxa"/>
              <w:bottom w:w="50" w:type="dxa"/>
              <w:right w:w="90" w:type="dxa"/>
            </w:tcMar>
            <w:vAlign w:val="center"/>
          </w:tcPr>
          <w:p w14:paraId="29AC7DA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0.41</w:t>
            </w:r>
          </w:p>
        </w:tc>
        <w:tc>
          <w:tcPr>
            <w:tcW w:w="450" w:type="dxa"/>
            <w:shd w:val="clear" w:color="auto" w:fill="F2F2F2" w:themeFill="background1" w:themeFillShade="F2"/>
            <w:tcMar>
              <w:top w:w="50" w:type="dxa"/>
              <w:left w:w="90" w:type="dxa"/>
              <w:bottom w:w="50" w:type="dxa"/>
              <w:right w:w="90" w:type="dxa"/>
            </w:tcMar>
            <w:vAlign w:val="center"/>
          </w:tcPr>
          <w:p w14:paraId="595E2D96"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0.48</w:t>
            </w:r>
          </w:p>
        </w:tc>
        <w:tc>
          <w:tcPr>
            <w:tcW w:w="540" w:type="dxa"/>
            <w:shd w:val="clear" w:color="auto" w:fill="F2F2F2" w:themeFill="background1" w:themeFillShade="F2"/>
            <w:tcMar>
              <w:top w:w="50" w:type="dxa"/>
              <w:left w:w="90" w:type="dxa"/>
              <w:bottom w:w="50" w:type="dxa"/>
              <w:right w:w="90" w:type="dxa"/>
            </w:tcMar>
            <w:vAlign w:val="center"/>
          </w:tcPr>
          <w:p w14:paraId="0D07C83C"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1.62</w:t>
            </w:r>
          </w:p>
        </w:tc>
        <w:tc>
          <w:tcPr>
            <w:tcW w:w="540" w:type="dxa"/>
            <w:shd w:val="clear" w:color="auto" w:fill="F2F2F2" w:themeFill="background1" w:themeFillShade="F2"/>
            <w:tcMar>
              <w:top w:w="50" w:type="dxa"/>
              <w:left w:w="90" w:type="dxa"/>
              <w:bottom w:w="50" w:type="dxa"/>
              <w:right w:w="90" w:type="dxa"/>
            </w:tcMar>
            <w:vAlign w:val="center"/>
          </w:tcPr>
          <w:p w14:paraId="7E99591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71</w:t>
            </w:r>
          </w:p>
        </w:tc>
        <w:tc>
          <w:tcPr>
            <w:tcW w:w="3143" w:type="dxa"/>
            <w:shd w:val="clear" w:color="auto" w:fill="F2F2F2" w:themeFill="background1" w:themeFillShade="F2"/>
            <w:tcMar>
              <w:top w:w="50" w:type="dxa"/>
              <w:left w:w="90" w:type="dxa"/>
              <w:bottom w:w="50" w:type="dxa"/>
              <w:right w:w="90" w:type="dxa"/>
            </w:tcMar>
            <w:vAlign w:val="center"/>
          </w:tcPr>
          <w:p w14:paraId="5BFCE45C"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CCL4, CCL5, PHLDA1, DUSP2, CFLAR, DUSP4, GADD45B, TANK, MCL1, PNRC1, CD44, SLC2A3, TIPARP, CD69, NFE2L2, KLF6, ATF3, TNIP1</w:t>
            </w:r>
          </w:p>
        </w:tc>
      </w:tr>
      <w:tr w:rsidR="003B4964" w:rsidRPr="00872595" w14:paraId="181C6CE6" w14:textId="77777777" w:rsidTr="00475CF6">
        <w:tc>
          <w:tcPr>
            <w:tcW w:w="2340" w:type="dxa"/>
            <w:tcMar>
              <w:top w:w="50" w:type="dxa"/>
              <w:left w:w="90" w:type="dxa"/>
              <w:bottom w:w="50" w:type="dxa"/>
              <w:right w:w="90" w:type="dxa"/>
            </w:tcMar>
            <w:vAlign w:val="center"/>
          </w:tcPr>
          <w:p w14:paraId="7304098F"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Tissue residency</w:t>
            </w:r>
          </w:p>
        </w:tc>
        <w:tc>
          <w:tcPr>
            <w:tcW w:w="890" w:type="dxa"/>
            <w:tcMar>
              <w:top w:w="50" w:type="dxa"/>
              <w:left w:w="90" w:type="dxa"/>
              <w:bottom w:w="50" w:type="dxa"/>
              <w:right w:w="90" w:type="dxa"/>
            </w:tcMar>
            <w:vAlign w:val="center"/>
          </w:tcPr>
          <w:p w14:paraId="7CEFAC1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7.9 × 10</w:t>
            </w:r>
            <w:r w:rsidRPr="00872595">
              <w:rPr>
                <w:rFonts w:ascii="Arial" w:hAnsi="Arial" w:cs="Arial"/>
                <w:sz w:val="14"/>
                <w:szCs w:val="14"/>
                <w:vertAlign w:val="superscript"/>
              </w:rPr>
              <w:t>−3</w:t>
            </w:r>
          </w:p>
        </w:tc>
        <w:tc>
          <w:tcPr>
            <w:tcW w:w="710" w:type="dxa"/>
            <w:tcMar>
              <w:top w:w="50" w:type="dxa"/>
              <w:left w:w="90" w:type="dxa"/>
              <w:bottom w:w="50" w:type="dxa"/>
              <w:right w:w="90" w:type="dxa"/>
            </w:tcMar>
            <w:vAlign w:val="center"/>
          </w:tcPr>
          <w:p w14:paraId="11AA7D1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0.017</w:t>
            </w:r>
          </w:p>
        </w:tc>
        <w:tc>
          <w:tcPr>
            <w:tcW w:w="740" w:type="dxa"/>
            <w:tcMar>
              <w:top w:w="50" w:type="dxa"/>
              <w:left w:w="90" w:type="dxa"/>
              <w:bottom w:w="50" w:type="dxa"/>
              <w:right w:w="90" w:type="dxa"/>
            </w:tcMar>
            <w:vAlign w:val="center"/>
          </w:tcPr>
          <w:p w14:paraId="548CFFB8"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0.38</w:t>
            </w:r>
          </w:p>
        </w:tc>
        <w:tc>
          <w:tcPr>
            <w:tcW w:w="450" w:type="dxa"/>
            <w:tcMar>
              <w:top w:w="50" w:type="dxa"/>
              <w:left w:w="90" w:type="dxa"/>
              <w:bottom w:w="50" w:type="dxa"/>
              <w:right w:w="90" w:type="dxa"/>
            </w:tcMar>
            <w:vAlign w:val="center"/>
          </w:tcPr>
          <w:p w14:paraId="403B0A10"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0.84</w:t>
            </w:r>
          </w:p>
        </w:tc>
        <w:tc>
          <w:tcPr>
            <w:tcW w:w="540" w:type="dxa"/>
            <w:tcMar>
              <w:top w:w="50" w:type="dxa"/>
              <w:left w:w="90" w:type="dxa"/>
              <w:bottom w:w="50" w:type="dxa"/>
              <w:right w:w="90" w:type="dxa"/>
            </w:tcMar>
            <w:vAlign w:val="center"/>
          </w:tcPr>
          <w:p w14:paraId="33FDE7F2"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1.70</w:t>
            </w:r>
          </w:p>
        </w:tc>
        <w:tc>
          <w:tcPr>
            <w:tcW w:w="540" w:type="dxa"/>
            <w:tcMar>
              <w:top w:w="50" w:type="dxa"/>
              <w:left w:w="90" w:type="dxa"/>
              <w:bottom w:w="50" w:type="dxa"/>
              <w:right w:w="90" w:type="dxa"/>
            </w:tcMar>
            <w:vAlign w:val="center"/>
          </w:tcPr>
          <w:p w14:paraId="2EB80A7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7</w:t>
            </w:r>
          </w:p>
        </w:tc>
        <w:tc>
          <w:tcPr>
            <w:tcW w:w="3143" w:type="dxa"/>
            <w:tcMar>
              <w:top w:w="50" w:type="dxa"/>
              <w:left w:w="90" w:type="dxa"/>
              <w:bottom w:w="50" w:type="dxa"/>
              <w:right w:w="90" w:type="dxa"/>
            </w:tcMar>
            <w:vAlign w:val="center"/>
          </w:tcPr>
          <w:p w14:paraId="6576C2CF"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ZNF683, CXCR6, ITGA1, RGS1, CD69</w:t>
            </w:r>
          </w:p>
        </w:tc>
      </w:tr>
      <w:tr w:rsidR="003B4964" w:rsidRPr="00872595" w14:paraId="0667E7A3" w14:textId="77777777" w:rsidTr="00475CF6">
        <w:trPr>
          <w:trHeight w:val="2307"/>
        </w:trPr>
        <w:tc>
          <w:tcPr>
            <w:tcW w:w="2340" w:type="dxa"/>
            <w:shd w:val="clear" w:color="auto" w:fill="F2F2F2" w:themeFill="background1" w:themeFillShade="F2"/>
            <w:tcMar>
              <w:top w:w="50" w:type="dxa"/>
              <w:left w:w="90" w:type="dxa"/>
              <w:bottom w:w="50" w:type="dxa"/>
              <w:right w:w="90" w:type="dxa"/>
            </w:tcMar>
            <w:vAlign w:val="center"/>
          </w:tcPr>
          <w:p w14:paraId="158A6409"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Hallmark oxidative phosphorylation</w:t>
            </w:r>
          </w:p>
        </w:tc>
        <w:tc>
          <w:tcPr>
            <w:tcW w:w="890" w:type="dxa"/>
            <w:shd w:val="clear" w:color="auto" w:fill="F2F2F2" w:themeFill="background1" w:themeFillShade="F2"/>
            <w:tcMar>
              <w:top w:w="50" w:type="dxa"/>
              <w:left w:w="90" w:type="dxa"/>
              <w:bottom w:w="50" w:type="dxa"/>
              <w:right w:w="90" w:type="dxa"/>
            </w:tcMar>
            <w:vAlign w:val="center"/>
          </w:tcPr>
          <w:p w14:paraId="792C74B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0.032</w:t>
            </w:r>
          </w:p>
        </w:tc>
        <w:tc>
          <w:tcPr>
            <w:tcW w:w="710" w:type="dxa"/>
            <w:shd w:val="clear" w:color="auto" w:fill="F2F2F2" w:themeFill="background1" w:themeFillShade="F2"/>
            <w:tcMar>
              <w:top w:w="50" w:type="dxa"/>
              <w:left w:w="90" w:type="dxa"/>
              <w:bottom w:w="50" w:type="dxa"/>
              <w:right w:w="90" w:type="dxa"/>
            </w:tcMar>
            <w:vAlign w:val="center"/>
          </w:tcPr>
          <w:p w14:paraId="3987CE8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0.060</w:t>
            </w:r>
          </w:p>
        </w:tc>
        <w:tc>
          <w:tcPr>
            <w:tcW w:w="740" w:type="dxa"/>
            <w:shd w:val="clear" w:color="auto" w:fill="F2F2F2" w:themeFill="background1" w:themeFillShade="F2"/>
            <w:tcMar>
              <w:top w:w="50" w:type="dxa"/>
              <w:left w:w="90" w:type="dxa"/>
              <w:bottom w:w="50" w:type="dxa"/>
              <w:right w:w="90" w:type="dxa"/>
            </w:tcMar>
            <w:vAlign w:val="center"/>
          </w:tcPr>
          <w:p w14:paraId="2A0AF6B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0.32</w:t>
            </w:r>
          </w:p>
        </w:tc>
        <w:tc>
          <w:tcPr>
            <w:tcW w:w="450" w:type="dxa"/>
            <w:shd w:val="clear" w:color="auto" w:fill="F2F2F2" w:themeFill="background1" w:themeFillShade="F2"/>
            <w:tcMar>
              <w:top w:w="50" w:type="dxa"/>
              <w:left w:w="90" w:type="dxa"/>
              <w:bottom w:w="50" w:type="dxa"/>
              <w:right w:w="90" w:type="dxa"/>
            </w:tcMar>
            <w:vAlign w:val="center"/>
          </w:tcPr>
          <w:p w14:paraId="01A7DD58"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−0.42</w:t>
            </w:r>
          </w:p>
        </w:tc>
        <w:tc>
          <w:tcPr>
            <w:tcW w:w="540" w:type="dxa"/>
            <w:shd w:val="clear" w:color="auto" w:fill="F2F2F2" w:themeFill="background1" w:themeFillShade="F2"/>
            <w:tcMar>
              <w:top w:w="50" w:type="dxa"/>
              <w:left w:w="90" w:type="dxa"/>
              <w:bottom w:w="50" w:type="dxa"/>
              <w:right w:w="90" w:type="dxa"/>
            </w:tcMar>
            <w:vAlign w:val="center"/>
          </w:tcPr>
          <w:p w14:paraId="1FE32D0C"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−1.36</w:t>
            </w:r>
          </w:p>
        </w:tc>
        <w:tc>
          <w:tcPr>
            <w:tcW w:w="540" w:type="dxa"/>
            <w:shd w:val="clear" w:color="auto" w:fill="F2F2F2" w:themeFill="background1" w:themeFillShade="F2"/>
            <w:tcMar>
              <w:top w:w="50" w:type="dxa"/>
              <w:left w:w="90" w:type="dxa"/>
              <w:bottom w:w="50" w:type="dxa"/>
              <w:right w:w="90" w:type="dxa"/>
            </w:tcMar>
            <w:vAlign w:val="center"/>
          </w:tcPr>
          <w:p w14:paraId="6943E20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141</w:t>
            </w:r>
          </w:p>
        </w:tc>
        <w:tc>
          <w:tcPr>
            <w:tcW w:w="3143" w:type="dxa"/>
            <w:shd w:val="clear" w:color="auto" w:fill="F2F2F2" w:themeFill="background1" w:themeFillShade="F2"/>
            <w:tcMar>
              <w:top w:w="50" w:type="dxa"/>
              <w:left w:w="90" w:type="dxa"/>
              <w:bottom w:w="50" w:type="dxa"/>
              <w:right w:w="90" w:type="dxa"/>
            </w:tcMar>
            <w:vAlign w:val="center"/>
          </w:tcPr>
          <w:p w14:paraId="6C43F702"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ATP6V0B, MGST3, NDUFB1, COX5B, ATP6V0C, GPX4, ATP6V1F, ATP5MC3, NDUFA4, ATP6AP1, TIMM10, UQCRC1, ACO2, NDUFA7, NDUFA5, ATP5PO, ALAS1, ATP6V1D, SLC25A6, ATP5MG, MDH1, ATP5PD, POR, ATP6V1G1, NDUFB2, HADHA, MRPL11, NDUFS3, TIMM13, ATP1B1, PRDX3, COX7A2L, ATP5F1A, NDUFB6, NDUFB4, ISCU, SDHD, NDUFB5, ATP5ME, NDUFA8, ATP5PF, ATP6V0E1, NDUFS2, CYB5R3, PDHA1, MRPS12, NDUFB7, UQCR11, IDH3G, TIMM8B, ECH1, NDUFC2, COX6B1, ACADVL, DECR1</w:t>
            </w:r>
          </w:p>
        </w:tc>
      </w:tr>
      <w:tr w:rsidR="003B4964" w:rsidRPr="00872595" w14:paraId="7C4C42FB" w14:textId="77777777" w:rsidTr="00475CF6">
        <w:tc>
          <w:tcPr>
            <w:tcW w:w="2340" w:type="dxa"/>
            <w:tcMar>
              <w:top w:w="50" w:type="dxa"/>
              <w:left w:w="90" w:type="dxa"/>
              <w:bottom w:w="50" w:type="dxa"/>
              <w:right w:w="90" w:type="dxa"/>
            </w:tcMar>
            <w:vAlign w:val="center"/>
          </w:tcPr>
          <w:p w14:paraId="5B2E1EDF"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Hallmark IFNα response</w:t>
            </w:r>
          </w:p>
        </w:tc>
        <w:tc>
          <w:tcPr>
            <w:tcW w:w="890" w:type="dxa"/>
            <w:tcMar>
              <w:top w:w="50" w:type="dxa"/>
              <w:left w:w="90" w:type="dxa"/>
              <w:bottom w:w="50" w:type="dxa"/>
              <w:right w:w="90" w:type="dxa"/>
            </w:tcMar>
            <w:vAlign w:val="center"/>
          </w:tcPr>
          <w:p w14:paraId="136335DE"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0.088</w:t>
            </w:r>
          </w:p>
        </w:tc>
        <w:tc>
          <w:tcPr>
            <w:tcW w:w="710" w:type="dxa"/>
            <w:tcMar>
              <w:top w:w="50" w:type="dxa"/>
              <w:left w:w="90" w:type="dxa"/>
              <w:bottom w:w="50" w:type="dxa"/>
              <w:right w:w="90" w:type="dxa"/>
            </w:tcMar>
            <w:vAlign w:val="center"/>
          </w:tcPr>
          <w:p w14:paraId="60164BD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0.13</w:t>
            </w:r>
          </w:p>
        </w:tc>
        <w:tc>
          <w:tcPr>
            <w:tcW w:w="740" w:type="dxa"/>
            <w:tcMar>
              <w:top w:w="50" w:type="dxa"/>
              <w:left w:w="90" w:type="dxa"/>
              <w:bottom w:w="50" w:type="dxa"/>
              <w:right w:w="90" w:type="dxa"/>
            </w:tcMar>
            <w:vAlign w:val="center"/>
          </w:tcPr>
          <w:p w14:paraId="5268F1F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0.18</w:t>
            </w:r>
          </w:p>
        </w:tc>
        <w:tc>
          <w:tcPr>
            <w:tcW w:w="450" w:type="dxa"/>
            <w:tcMar>
              <w:top w:w="50" w:type="dxa"/>
              <w:left w:w="90" w:type="dxa"/>
              <w:bottom w:w="50" w:type="dxa"/>
              <w:right w:w="90" w:type="dxa"/>
            </w:tcMar>
            <w:vAlign w:val="center"/>
          </w:tcPr>
          <w:p w14:paraId="1F176FA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−0.47</w:t>
            </w:r>
          </w:p>
        </w:tc>
        <w:tc>
          <w:tcPr>
            <w:tcW w:w="540" w:type="dxa"/>
            <w:tcMar>
              <w:top w:w="50" w:type="dxa"/>
              <w:left w:w="90" w:type="dxa"/>
              <w:bottom w:w="50" w:type="dxa"/>
              <w:right w:w="90" w:type="dxa"/>
            </w:tcMar>
            <w:vAlign w:val="center"/>
          </w:tcPr>
          <w:p w14:paraId="6123ABE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−1.34</w:t>
            </w:r>
          </w:p>
        </w:tc>
        <w:tc>
          <w:tcPr>
            <w:tcW w:w="540" w:type="dxa"/>
            <w:tcMar>
              <w:top w:w="50" w:type="dxa"/>
              <w:left w:w="90" w:type="dxa"/>
              <w:bottom w:w="50" w:type="dxa"/>
              <w:right w:w="90" w:type="dxa"/>
            </w:tcMar>
            <w:vAlign w:val="center"/>
          </w:tcPr>
          <w:p w14:paraId="3087241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55</w:t>
            </w:r>
          </w:p>
        </w:tc>
        <w:tc>
          <w:tcPr>
            <w:tcW w:w="3143" w:type="dxa"/>
            <w:tcMar>
              <w:top w:w="50" w:type="dxa"/>
              <w:left w:w="90" w:type="dxa"/>
              <w:bottom w:w="50" w:type="dxa"/>
              <w:right w:w="90" w:type="dxa"/>
            </w:tcMar>
            <w:vAlign w:val="center"/>
          </w:tcPr>
          <w:p w14:paraId="4B7FAE3D"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IFI30, CD74, LGALS3BP, IFI27, BST2, IFIT3, SELL, STAT2, PLSCR1, PARP14</w:t>
            </w:r>
          </w:p>
        </w:tc>
      </w:tr>
      <w:tr w:rsidR="003B4964" w:rsidRPr="00872595" w14:paraId="74109158" w14:textId="77777777" w:rsidTr="00475CF6">
        <w:tc>
          <w:tcPr>
            <w:tcW w:w="2340" w:type="dxa"/>
            <w:shd w:val="clear" w:color="auto" w:fill="F2F2F2" w:themeFill="background1" w:themeFillShade="F2"/>
            <w:tcMar>
              <w:top w:w="50" w:type="dxa"/>
              <w:left w:w="90" w:type="dxa"/>
              <w:bottom w:w="50" w:type="dxa"/>
              <w:right w:w="90" w:type="dxa"/>
            </w:tcMar>
            <w:vAlign w:val="center"/>
          </w:tcPr>
          <w:p w14:paraId="14B29BCF"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NKG2D signaling</w:t>
            </w:r>
          </w:p>
        </w:tc>
        <w:tc>
          <w:tcPr>
            <w:tcW w:w="890" w:type="dxa"/>
            <w:shd w:val="clear" w:color="auto" w:fill="F2F2F2" w:themeFill="background1" w:themeFillShade="F2"/>
            <w:tcMar>
              <w:top w:w="50" w:type="dxa"/>
              <w:left w:w="90" w:type="dxa"/>
              <w:bottom w:w="50" w:type="dxa"/>
              <w:right w:w="90" w:type="dxa"/>
            </w:tcMar>
            <w:vAlign w:val="center"/>
          </w:tcPr>
          <w:p w14:paraId="23101B2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0.084</w:t>
            </w:r>
          </w:p>
        </w:tc>
        <w:tc>
          <w:tcPr>
            <w:tcW w:w="710" w:type="dxa"/>
            <w:shd w:val="clear" w:color="auto" w:fill="F2F2F2" w:themeFill="background1" w:themeFillShade="F2"/>
            <w:tcMar>
              <w:top w:w="50" w:type="dxa"/>
              <w:left w:w="90" w:type="dxa"/>
              <w:bottom w:w="50" w:type="dxa"/>
              <w:right w:w="90" w:type="dxa"/>
            </w:tcMar>
            <w:vAlign w:val="center"/>
          </w:tcPr>
          <w:p w14:paraId="3BEEA7E5"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0.13</w:t>
            </w:r>
          </w:p>
        </w:tc>
        <w:tc>
          <w:tcPr>
            <w:tcW w:w="740" w:type="dxa"/>
            <w:shd w:val="clear" w:color="auto" w:fill="F2F2F2" w:themeFill="background1" w:themeFillShade="F2"/>
            <w:tcMar>
              <w:top w:w="50" w:type="dxa"/>
              <w:left w:w="90" w:type="dxa"/>
              <w:bottom w:w="50" w:type="dxa"/>
              <w:right w:w="90" w:type="dxa"/>
            </w:tcMar>
            <w:vAlign w:val="center"/>
          </w:tcPr>
          <w:p w14:paraId="4DABD84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0.23</w:t>
            </w:r>
          </w:p>
        </w:tc>
        <w:tc>
          <w:tcPr>
            <w:tcW w:w="450" w:type="dxa"/>
            <w:shd w:val="clear" w:color="auto" w:fill="F2F2F2" w:themeFill="background1" w:themeFillShade="F2"/>
            <w:tcMar>
              <w:top w:w="50" w:type="dxa"/>
              <w:left w:w="90" w:type="dxa"/>
              <w:bottom w:w="50" w:type="dxa"/>
              <w:right w:w="90" w:type="dxa"/>
            </w:tcMar>
            <w:vAlign w:val="center"/>
          </w:tcPr>
          <w:p w14:paraId="5494FEB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0.71</w:t>
            </w:r>
          </w:p>
        </w:tc>
        <w:tc>
          <w:tcPr>
            <w:tcW w:w="540" w:type="dxa"/>
            <w:shd w:val="clear" w:color="auto" w:fill="F2F2F2" w:themeFill="background1" w:themeFillShade="F2"/>
            <w:tcMar>
              <w:top w:w="50" w:type="dxa"/>
              <w:left w:w="90" w:type="dxa"/>
              <w:bottom w:w="50" w:type="dxa"/>
              <w:right w:w="90" w:type="dxa"/>
            </w:tcMar>
            <w:vAlign w:val="center"/>
          </w:tcPr>
          <w:p w14:paraId="72FBE9D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1.41</w:t>
            </w:r>
          </w:p>
        </w:tc>
        <w:tc>
          <w:tcPr>
            <w:tcW w:w="540" w:type="dxa"/>
            <w:shd w:val="clear" w:color="auto" w:fill="F2F2F2" w:themeFill="background1" w:themeFillShade="F2"/>
            <w:tcMar>
              <w:top w:w="50" w:type="dxa"/>
              <w:left w:w="90" w:type="dxa"/>
              <w:bottom w:w="50" w:type="dxa"/>
              <w:right w:w="90" w:type="dxa"/>
            </w:tcMar>
            <w:vAlign w:val="center"/>
          </w:tcPr>
          <w:p w14:paraId="45480FD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6</w:t>
            </w:r>
          </w:p>
        </w:tc>
        <w:tc>
          <w:tcPr>
            <w:tcW w:w="3143" w:type="dxa"/>
            <w:shd w:val="clear" w:color="auto" w:fill="F2F2F2" w:themeFill="background1" w:themeFillShade="F2"/>
            <w:tcMar>
              <w:top w:w="50" w:type="dxa"/>
              <w:left w:w="90" w:type="dxa"/>
              <w:bottom w:w="50" w:type="dxa"/>
              <w:right w:w="90" w:type="dxa"/>
            </w:tcMar>
            <w:vAlign w:val="center"/>
          </w:tcPr>
          <w:p w14:paraId="78948072"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KLRK1, HCST, PIK3CD</w:t>
            </w:r>
          </w:p>
        </w:tc>
      </w:tr>
      <w:tr w:rsidR="003B4964" w:rsidRPr="00872595" w14:paraId="05302440" w14:textId="77777777" w:rsidTr="00475CF6">
        <w:tc>
          <w:tcPr>
            <w:tcW w:w="2340" w:type="dxa"/>
            <w:tcMar>
              <w:top w:w="50" w:type="dxa"/>
              <w:left w:w="90" w:type="dxa"/>
              <w:bottom w:w="50" w:type="dxa"/>
              <w:right w:w="90" w:type="dxa"/>
            </w:tcMar>
            <w:vAlign w:val="center"/>
          </w:tcPr>
          <w:p w14:paraId="3AA4C798"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Hallmark inflammatory response</w:t>
            </w:r>
          </w:p>
        </w:tc>
        <w:tc>
          <w:tcPr>
            <w:tcW w:w="890" w:type="dxa"/>
            <w:tcMar>
              <w:top w:w="50" w:type="dxa"/>
              <w:left w:w="90" w:type="dxa"/>
              <w:bottom w:w="50" w:type="dxa"/>
              <w:right w:w="90" w:type="dxa"/>
            </w:tcMar>
            <w:vAlign w:val="center"/>
          </w:tcPr>
          <w:p w14:paraId="5E89D7F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0.29</w:t>
            </w:r>
          </w:p>
        </w:tc>
        <w:tc>
          <w:tcPr>
            <w:tcW w:w="710" w:type="dxa"/>
            <w:tcMar>
              <w:top w:w="50" w:type="dxa"/>
              <w:left w:w="90" w:type="dxa"/>
              <w:bottom w:w="50" w:type="dxa"/>
              <w:right w:w="90" w:type="dxa"/>
            </w:tcMar>
            <w:vAlign w:val="center"/>
          </w:tcPr>
          <w:p w14:paraId="692F6FC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0.40</w:t>
            </w:r>
          </w:p>
        </w:tc>
        <w:tc>
          <w:tcPr>
            <w:tcW w:w="740" w:type="dxa"/>
            <w:tcMar>
              <w:top w:w="50" w:type="dxa"/>
              <w:left w:w="90" w:type="dxa"/>
              <w:bottom w:w="50" w:type="dxa"/>
              <w:right w:w="90" w:type="dxa"/>
            </w:tcMar>
            <w:vAlign w:val="center"/>
          </w:tcPr>
          <w:p w14:paraId="5BE01CF4"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0.09</w:t>
            </w:r>
          </w:p>
        </w:tc>
        <w:tc>
          <w:tcPr>
            <w:tcW w:w="450" w:type="dxa"/>
            <w:tcMar>
              <w:top w:w="50" w:type="dxa"/>
              <w:left w:w="90" w:type="dxa"/>
              <w:bottom w:w="50" w:type="dxa"/>
              <w:right w:w="90" w:type="dxa"/>
            </w:tcMar>
            <w:vAlign w:val="center"/>
          </w:tcPr>
          <w:p w14:paraId="3FC3998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−0.39</w:t>
            </w:r>
          </w:p>
        </w:tc>
        <w:tc>
          <w:tcPr>
            <w:tcW w:w="540" w:type="dxa"/>
            <w:tcMar>
              <w:top w:w="50" w:type="dxa"/>
              <w:left w:w="90" w:type="dxa"/>
              <w:bottom w:w="50" w:type="dxa"/>
              <w:right w:w="90" w:type="dxa"/>
            </w:tcMar>
            <w:vAlign w:val="center"/>
          </w:tcPr>
          <w:p w14:paraId="4DE6990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−1.12</w:t>
            </w:r>
          </w:p>
        </w:tc>
        <w:tc>
          <w:tcPr>
            <w:tcW w:w="540" w:type="dxa"/>
            <w:tcMar>
              <w:top w:w="50" w:type="dxa"/>
              <w:left w:w="90" w:type="dxa"/>
              <w:bottom w:w="50" w:type="dxa"/>
              <w:right w:w="90" w:type="dxa"/>
            </w:tcMar>
            <w:vAlign w:val="center"/>
          </w:tcPr>
          <w:p w14:paraId="228A77F8"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56</w:t>
            </w:r>
          </w:p>
        </w:tc>
        <w:tc>
          <w:tcPr>
            <w:tcW w:w="3143" w:type="dxa"/>
            <w:tcMar>
              <w:top w:w="50" w:type="dxa"/>
              <w:left w:w="90" w:type="dxa"/>
              <w:bottom w:w="50" w:type="dxa"/>
              <w:right w:w="90" w:type="dxa"/>
            </w:tcMar>
            <w:vAlign w:val="center"/>
          </w:tcPr>
          <w:p w14:paraId="35291C51"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TIMP1, CYBB, MARCO, PLAUR, CD14, BST2, MSR1, AHR, SELL, CD82, C5AR1, ATP2B1, GPR183, P2RX4, IL7R</w:t>
            </w:r>
          </w:p>
        </w:tc>
      </w:tr>
      <w:tr w:rsidR="003B4964" w:rsidRPr="00872595" w14:paraId="49885707" w14:textId="77777777" w:rsidTr="00475CF6">
        <w:tc>
          <w:tcPr>
            <w:tcW w:w="2340" w:type="dxa"/>
            <w:shd w:val="clear" w:color="auto" w:fill="F2F2F2" w:themeFill="background1" w:themeFillShade="F2"/>
            <w:tcMar>
              <w:top w:w="50" w:type="dxa"/>
              <w:left w:w="90" w:type="dxa"/>
              <w:bottom w:w="50" w:type="dxa"/>
              <w:right w:w="90" w:type="dxa"/>
            </w:tcMar>
            <w:vAlign w:val="center"/>
          </w:tcPr>
          <w:p w14:paraId="22EB500B"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 xml:space="preserve">Hallmark </w:t>
            </w:r>
            <w:proofErr w:type="spellStart"/>
            <w:r w:rsidRPr="00872595">
              <w:rPr>
                <w:rFonts w:ascii="Arial" w:hAnsi="Arial" w:cs="Arial"/>
                <w:sz w:val="14"/>
                <w:szCs w:val="14"/>
              </w:rPr>
              <w:t>IFNγ</w:t>
            </w:r>
            <w:proofErr w:type="spellEnd"/>
            <w:r w:rsidRPr="00872595">
              <w:rPr>
                <w:rFonts w:ascii="Arial" w:hAnsi="Arial" w:cs="Arial"/>
                <w:sz w:val="14"/>
                <w:szCs w:val="14"/>
              </w:rPr>
              <w:t xml:space="preserve"> response</w:t>
            </w:r>
          </w:p>
        </w:tc>
        <w:tc>
          <w:tcPr>
            <w:tcW w:w="890" w:type="dxa"/>
            <w:shd w:val="clear" w:color="auto" w:fill="F2F2F2" w:themeFill="background1" w:themeFillShade="F2"/>
            <w:tcMar>
              <w:top w:w="50" w:type="dxa"/>
              <w:left w:w="90" w:type="dxa"/>
              <w:bottom w:w="50" w:type="dxa"/>
              <w:right w:w="90" w:type="dxa"/>
            </w:tcMar>
            <w:vAlign w:val="center"/>
          </w:tcPr>
          <w:p w14:paraId="386A709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0.33</w:t>
            </w:r>
          </w:p>
        </w:tc>
        <w:tc>
          <w:tcPr>
            <w:tcW w:w="710" w:type="dxa"/>
            <w:shd w:val="clear" w:color="auto" w:fill="F2F2F2" w:themeFill="background1" w:themeFillShade="F2"/>
            <w:tcMar>
              <w:top w:w="50" w:type="dxa"/>
              <w:left w:w="90" w:type="dxa"/>
              <w:bottom w:w="50" w:type="dxa"/>
              <w:right w:w="90" w:type="dxa"/>
            </w:tcMar>
            <w:vAlign w:val="center"/>
          </w:tcPr>
          <w:p w14:paraId="666E2C57"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0.42</w:t>
            </w:r>
          </w:p>
        </w:tc>
        <w:tc>
          <w:tcPr>
            <w:tcW w:w="740" w:type="dxa"/>
            <w:shd w:val="clear" w:color="auto" w:fill="F2F2F2" w:themeFill="background1" w:themeFillShade="F2"/>
            <w:tcMar>
              <w:top w:w="50" w:type="dxa"/>
              <w:left w:w="90" w:type="dxa"/>
              <w:bottom w:w="50" w:type="dxa"/>
              <w:right w:w="90" w:type="dxa"/>
            </w:tcMar>
            <w:vAlign w:val="center"/>
          </w:tcPr>
          <w:p w14:paraId="2BA7FD7E"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0.08</w:t>
            </w:r>
          </w:p>
        </w:tc>
        <w:tc>
          <w:tcPr>
            <w:tcW w:w="450" w:type="dxa"/>
            <w:shd w:val="clear" w:color="auto" w:fill="F2F2F2" w:themeFill="background1" w:themeFillShade="F2"/>
            <w:tcMar>
              <w:top w:w="50" w:type="dxa"/>
              <w:left w:w="90" w:type="dxa"/>
              <w:bottom w:w="50" w:type="dxa"/>
              <w:right w:w="90" w:type="dxa"/>
            </w:tcMar>
            <w:vAlign w:val="center"/>
          </w:tcPr>
          <w:p w14:paraId="66B4963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−0.34</w:t>
            </w:r>
          </w:p>
        </w:tc>
        <w:tc>
          <w:tcPr>
            <w:tcW w:w="540" w:type="dxa"/>
            <w:shd w:val="clear" w:color="auto" w:fill="F2F2F2" w:themeFill="background1" w:themeFillShade="F2"/>
            <w:tcMar>
              <w:top w:w="50" w:type="dxa"/>
              <w:left w:w="90" w:type="dxa"/>
              <w:bottom w:w="50" w:type="dxa"/>
              <w:right w:w="90" w:type="dxa"/>
            </w:tcMar>
            <w:vAlign w:val="center"/>
          </w:tcPr>
          <w:p w14:paraId="38F4058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−1.07</w:t>
            </w:r>
          </w:p>
        </w:tc>
        <w:tc>
          <w:tcPr>
            <w:tcW w:w="540" w:type="dxa"/>
            <w:shd w:val="clear" w:color="auto" w:fill="F2F2F2" w:themeFill="background1" w:themeFillShade="F2"/>
            <w:tcMar>
              <w:top w:w="50" w:type="dxa"/>
              <w:left w:w="90" w:type="dxa"/>
              <w:bottom w:w="50" w:type="dxa"/>
              <w:right w:w="90" w:type="dxa"/>
            </w:tcMar>
            <w:vAlign w:val="center"/>
          </w:tcPr>
          <w:p w14:paraId="04854A24"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103</w:t>
            </w:r>
          </w:p>
        </w:tc>
        <w:tc>
          <w:tcPr>
            <w:tcW w:w="3143" w:type="dxa"/>
            <w:shd w:val="clear" w:color="auto" w:fill="F2F2F2" w:themeFill="background1" w:themeFillShade="F2"/>
            <w:tcMar>
              <w:top w:w="50" w:type="dxa"/>
              <w:left w:w="90" w:type="dxa"/>
              <w:bottom w:w="50" w:type="dxa"/>
              <w:right w:w="90" w:type="dxa"/>
            </w:tcMar>
            <w:vAlign w:val="center"/>
          </w:tcPr>
          <w:p w14:paraId="0879F3BD"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IFI30, CD74, HLA-DMA, SERPING1, HLA-DRB1, LGALS3BP, HLA-DQA1, IFI27, FCGR1A, BST2, IFIT3</w:t>
            </w:r>
          </w:p>
        </w:tc>
      </w:tr>
      <w:tr w:rsidR="003B4964" w:rsidRPr="00872595" w14:paraId="768F3584" w14:textId="77777777" w:rsidTr="00475CF6">
        <w:tc>
          <w:tcPr>
            <w:tcW w:w="2340" w:type="dxa"/>
            <w:tcMar>
              <w:top w:w="50" w:type="dxa"/>
              <w:left w:w="90" w:type="dxa"/>
              <w:bottom w:w="50" w:type="dxa"/>
              <w:right w:w="90" w:type="dxa"/>
            </w:tcMar>
            <w:vAlign w:val="center"/>
          </w:tcPr>
          <w:p w14:paraId="0E7F7852"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Inhibitory/exhaustion</w:t>
            </w:r>
          </w:p>
        </w:tc>
        <w:tc>
          <w:tcPr>
            <w:tcW w:w="890" w:type="dxa"/>
            <w:tcMar>
              <w:top w:w="50" w:type="dxa"/>
              <w:left w:w="90" w:type="dxa"/>
              <w:bottom w:w="50" w:type="dxa"/>
              <w:right w:w="90" w:type="dxa"/>
            </w:tcMar>
            <w:vAlign w:val="center"/>
          </w:tcPr>
          <w:p w14:paraId="4B378DEC"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0.46</w:t>
            </w:r>
          </w:p>
        </w:tc>
        <w:tc>
          <w:tcPr>
            <w:tcW w:w="710" w:type="dxa"/>
            <w:tcMar>
              <w:top w:w="50" w:type="dxa"/>
              <w:left w:w="90" w:type="dxa"/>
              <w:bottom w:w="50" w:type="dxa"/>
              <w:right w:w="90" w:type="dxa"/>
            </w:tcMar>
            <w:vAlign w:val="center"/>
          </w:tcPr>
          <w:p w14:paraId="2D4C700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0.53</w:t>
            </w:r>
          </w:p>
        </w:tc>
        <w:tc>
          <w:tcPr>
            <w:tcW w:w="740" w:type="dxa"/>
            <w:tcMar>
              <w:top w:w="50" w:type="dxa"/>
              <w:left w:w="90" w:type="dxa"/>
              <w:bottom w:w="50" w:type="dxa"/>
              <w:right w:w="90" w:type="dxa"/>
            </w:tcMar>
            <w:vAlign w:val="center"/>
          </w:tcPr>
          <w:p w14:paraId="687369F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0.09</w:t>
            </w:r>
          </w:p>
        </w:tc>
        <w:tc>
          <w:tcPr>
            <w:tcW w:w="450" w:type="dxa"/>
            <w:tcMar>
              <w:top w:w="50" w:type="dxa"/>
              <w:left w:w="90" w:type="dxa"/>
              <w:bottom w:w="50" w:type="dxa"/>
              <w:right w:w="90" w:type="dxa"/>
            </w:tcMar>
            <w:vAlign w:val="center"/>
          </w:tcPr>
          <w:p w14:paraId="2EB5920F"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0.55</w:t>
            </w:r>
          </w:p>
        </w:tc>
        <w:tc>
          <w:tcPr>
            <w:tcW w:w="540" w:type="dxa"/>
            <w:tcMar>
              <w:top w:w="50" w:type="dxa"/>
              <w:left w:w="90" w:type="dxa"/>
              <w:bottom w:w="50" w:type="dxa"/>
              <w:right w:w="90" w:type="dxa"/>
            </w:tcMar>
            <w:vAlign w:val="center"/>
          </w:tcPr>
          <w:p w14:paraId="06B1150E"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1.03</w:t>
            </w:r>
          </w:p>
        </w:tc>
        <w:tc>
          <w:tcPr>
            <w:tcW w:w="540" w:type="dxa"/>
            <w:tcMar>
              <w:top w:w="50" w:type="dxa"/>
              <w:left w:w="90" w:type="dxa"/>
              <w:bottom w:w="50" w:type="dxa"/>
              <w:right w:w="90" w:type="dxa"/>
            </w:tcMar>
            <w:vAlign w:val="center"/>
          </w:tcPr>
          <w:p w14:paraId="52817820"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5</w:t>
            </w:r>
          </w:p>
        </w:tc>
        <w:tc>
          <w:tcPr>
            <w:tcW w:w="3143" w:type="dxa"/>
            <w:tcMar>
              <w:top w:w="50" w:type="dxa"/>
              <w:left w:w="90" w:type="dxa"/>
              <w:bottom w:w="50" w:type="dxa"/>
              <w:right w:w="90" w:type="dxa"/>
            </w:tcMar>
            <w:vAlign w:val="center"/>
          </w:tcPr>
          <w:p w14:paraId="4BEA4CC0"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CD96, KLRC1, KIR2DL3, KIR3DL1</w:t>
            </w:r>
          </w:p>
        </w:tc>
      </w:tr>
      <w:tr w:rsidR="003B4964" w:rsidRPr="00872595" w14:paraId="6AC5E6FA" w14:textId="77777777" w:rsidTr="00475CF6">
        <w:tc>
          <w:tcPr>
            <w:tcW w:w="2340" w:type="dxa"/>
            <w:shd w:val="clear" w:color="auto" w:fill="F2F2F2" w:themeFill="background1" w:themeFillShade="F2"/>
            <w:tcMar>
              <w:top w:w="50" w:type="dxa"/>
              <w:left w:w="90" w:type="dxa"/>
              <w:bottom w:w="50" w:type="dxa"/>
              <w:right w:w="90" w:type="dxa"/>
            </w:tcMar>
            <w:vAlign w:val="center"/>
          </w:tcPr>
          <w:p w14:paraId="6F050C00"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Adaptor loss</w:t>
            </w:r>
          </w:p>
        </w:tc>
        <w:tc>
          <w:tcPr>
            <w:tcW w:w="890" w:type="dxa"/>
            <w:shd w:val="clear" w:color="auto" w:fill="F2F2F2" w:themeFill="background1" w:themeFillShade="F2"/>
            <w:tcMar>
              <w:top w:w="50" w:type="dxa"/>
              <w:left w:w="90" w:type="dxa"/>
              <w:bottom w:w="50" w:type="dxa"/>
              <w:right w:w="90" w:type="dxa"/>
            </w:tcMar>
            <w:vAlign w:val="center"/>
          </w:tcPr>
          <w:p w14:paraId="2FAA505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0.60</w:t>
            </w:r>
          </w:p>
        </w:tc>
        <w:tc>
          <w:tcPr>
            <w:tcW w:w="710" w:type="dxa"/>
            <w:shd w:val="clear" w:color="auto" w:fill="F2F2F2" w:themeFill="background1" w:themeFillShade="F2"/>
            <w:tcMar>
              <w:top w:w="50" w:type="dxa"/>
              <w:left w:w="90" w:type="dxa"/>
              <w:bottom w:w="50" w:type="dxa"/>
              <w:right w:w="90" w:type="dxa"/>
            </w:tcMar>
            <w:vAlign w:val="center"/>
          </w:tcPr>
          <w:p w14:paraId="33D9DD12"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0.61</w:t>
            </w:r>
          </w:p>
        </w:tc>
        <w:tc>
          <w:tcPr>
            <w:tcW w:w="740" w:type="dxa"/>
            <w:shd w:val="clear" w:color="auto" w:fill="F2F2F2" w:themeFill="background1" w:themeFillShade="F2"/>
            <w:tcMar>
              <w:top w:w="50" w:type="dxa"/>
              <w:left w:w="90" w:type="dxa"/>
              <w:bottom w:w="50" w:type="dxa"/>
              <w:right w:w="90" w:type="dxa"/>
            </w:tcMar>
            <w:vAlign w:val="center"/>
          </w:tcPr>
          <w:p w14:paraId="4802DAD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0.07</w:t>
            </w:r>
          </w:p>
        </w:tc>
        <w:tc>
          <w:tcPr>
            <w:tcW w:w="450" w:type="dxa"/>
            <w:shd w:val="clear" w:color="auto" w:fill="F2F2F2" w:themeFill="background1" w:themeFillShade="F2"/>
            <w:tcMar>
              <w:top w:w="50" w:type="dxa"/>
              <w:left w:w="90" w:type="dxa"/>
              <w:bottom w:w="50" w:type="dxa"/>
              <w:right w:w="90" w:type="dxa"/>
            </w:tcMar>
            <w:vAlign w:val="center"/>
          </w:tcPr>
          <w:p w14:paraId="30929278"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−0.53</w:t>
            </w:r>
          </w:p>
        </w:tc>
        <w:tc>
          <w:tcPr>
            <w:tcW w:w="540" w:type="dxa"/>
            <w:shd w:val="clear" w:color="auto" w:fill="F2F2F2" w:themeFill="background1" w:themeFillShade="F2"/>
            <w:tcMar>
              <w:top w:w="50" w:type="dxa"/>
              <w:left w:w="90" w:type="dxa"/>
              <w:bottom w:w="50" w:type="dxa"/>
              <w:right w:w="90" w:type="dxa"/>
            </w:tcMar>
            <w:vAlign w:val="center"/>
          </w:tcPr>
          <w:p w14:paraId="0209E50E"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−0.93</w:t>
            </w:r>
          </w:p>
        </w:tc>
        <w:tc>
          <w:tcPr>
            <w:tcW w:w="540" w:type="dxa"/>
            <w:shd w:val="clear" w:color="auto" w:fill="F2F2F2" w:themeFill="background1" w:themeFillShade="F2"/>
            <w:tcMar>
              <w:top w:w="50" w:type="dxa"/>
              <w:left w:w="90" w:type="dxa"/>
              <w:bottom w:w="50" w:type="dxa"/>
              <w:right w:w="90" w:type="dxa"/>
            </w:tcMar>
            <w:vAlign w:val="center"/>
          </w:tcPr>
          <w:p w14:paraId="50A50D4C"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5</w:t>
            </w:r>
          </w:p>
        </w:tc>
        <w:tc>
          <w:tcPr>
            <w:tcW w:w="3143" w:type="dxa"/>
            <w:shd w:val="clear" w:color="auto" w:fill="F2F2F2" w:themeFill="background1" w:themeFillShade="F2"/>
            <w:tcMar>
              <w:top w:w="50" w:type="dxa"/>
              <w:left w:w="90" w:type="dxa"/>
              <w:bottom w:w="50" w:type="dxa"/>
              <w:right w:w="90" w:type="dxa"/>
            </w:tcMar>
            <w:vAlign w:val="center"/>
          </w:tcPr>
          <w:p w14:paraId="66FBF3D4"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FCER1G</w:t>
            </w:r>
          </w:p>
        </w:tc>
      </w:tr>
      <w:tr w:rsidR="003B4964" w:rsidRPr="00872595" w14:paraId="4481F710" w14:textId="77777777" w:rsidTr="00475CF6">
        <w:tc>
          <w:tcPr>
            <w:tcW w:w="2340" w:type="dxa"/>
            <w:tcMar>
              <w:top w:w="50" w:type="dxa"/>
              <w:left w:w="90" w:type="dxa"/>
              <w:bottom w:w="50" w:type="dxa"/>
              <w:right w:w="90" w:type="dxa"/>
            </w:tcMar>
            <w:vAlign w:val="center"/>
          </w:tcPr>
          <w:p w14:paraId="453AF24A"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sz w:val="14"/>
                <w:szCs w:val="14"/>
              </w:rPr>
              <w:t>Hallmark IL-2/STAT5 signaling</w:t>
            </w:r>
          </w:p>
        </w:tc>
        <w:tc>
          <w:tcPr>
            <w:tcW w:w="890" w:type="dxa"/>
            <w:tcMar>
              <w:top w:w="50" w:type="dxa"/>
              <w:left w:w="90" w:type="dxa"/>
              <w:bottom w:w="50" w:type="dxa"/>
              <w:right w:w="90" w:type="dxa"/>
            </w:tcMar>
            <w:vAlign w:val="center"/>
          </w:tcPr>
          <w:p w14:paraId="016DE943"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0.61</w:t>
            </w:r>
          </w:p>
        </w:tc>
        <w:tc>
          <w:tcPr>
            <w:tcW w:w="710" w:type="dxa"/>
            <w:tcMar>
              <w:top w:w="50" w:type="dxa"/>
              <w:left w:w="90" w:type="dxa"/>
              <w:bottom w:w="50" w:type="dxa"/>
              <w:right w:w="90" w:type="dxa"/>
            </w:tcMar>
            <w:vAlign w:val="center"/>
          </w:tcPr>
          <w:p w14:paraId="709A63C9"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0.61</w:t>
            </w:r>
          </w:p>
        </w:tc>
        <w:tc>
          <w:tcPr>
            <w:tcW w:w="740" w:type="dxa"/>
            <w:tcMar>
              <w:top w:w="50" w:type="dxa"/>
              <w:left w:w="90" w:type="dxa"/>
              <w:bottom w:w="50" w:type="dxa"/>
              <w:right w:w="90" w:type="dxa"/>
            </w:tcMar>
            <w:vAlign w:val="center"/>
          </w:tcPr>
          <w:p w14:paraId="6DF31BE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0.05</w:t>
            </w:r>
          </w:p>
        </w:tc>
        <w:tc>
          <w:tcPr>
            <w:tcW w:w="450" w:type="dxa"/>
            <w:tcMar>
              <w:top w:w="50" w:type="dxa"/>
              <w:left w:w="90" w:type="dxa"/>
              <w:bottom w:w="50" w:type="dxa"/>
              <w:right w:w="90" w:type="dxa"/>
            </w:tcMar>
            <w:vAlign w:val="center"/>
          </w:tcPr>
          <w:p w14:paraId="2282DC2B"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−0.31</w:t>
            </w:r>
          </w:p>
        </w:tc>
        <w:tc>
          <w:tcPr>
            <w:tcW w:w="540" w:type="dxa"/>
            <w:tcMar>
              <w:top w:w="50" w:type="dxa"/>
              <w:left w:w="90" w:type="dxa"/>
              <w:bottom w:w="50" w:type="dxa"/>
              <w:right w:w="90" w:type="dxa"/>
            </w:tcMar>
            <w:vAlign w:val="center"/>
          </w:tcPr>
          <w:p w14:paraId="1145105A"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−0.91</w:t>
            </w:r>
          </w:p>
        </w:tc>
        <w:tc>
          <w:tcPr>
            <w:tcW w:w="540" w:type="dxa"/>
            <w:tcMar>
              <w:top w:w="50" w:type="dxa"/>
              <w:left w:w="90" w:type="dxa"/>
              <w:bottom w:w="50" w:type="dxa"/>
              <w:right w:w="90" w:type="dxa"/>
            </w:tcMar>
            <w:vAlign w:val="center"/>
          </w:tcPr>
          <w:p w14:paraId="2190FF0D" w14:textId="77777777" w:rsidR="003B4964" w:rsidRPr="00872595" w:rsidRDefault="003B4964" w:rsidP="00475CF6">
            <w:pPr>
              <w:spacing w:after="0" w:line="240" w:lineRule="auto"/>
              <w:jc w:val="center"/>
              <w:rPr>
                <w:rFonts w:ascii="Arial" w:hAnsi="Arial" w:cs="Arial"/>
                <w:sz w:val="14"/>
                <w:szCs w:val="14"/>
              </w:rPr>
            </w:pPr>
            <w:r w:rsidRPr="00872595">
              <w:rPr>
                <w:rFonts w:ascii="Arial" w:hAnsi="Arial" w:cs="Arial"/>
                <w:sz w:val="14"/>
                <w:szCs w:val="14"/>
              </w:rPr>
              <w:t>71</w:t>
            </w:r>
          </w:p>
        </w:tc>
        <w:tc>
          <w:tcPr>
            <w:tcW w:w="3143" w:type="dxa"/>
            <w:tcMar>
              <w:top w:w="50" w:type="dxa"/>
              <w:left w:w="90" w:type="dxa"/>
              <w:bottom w:w="50" w:type="dxa"/>
              <w:right w:w="90" w:type="dxa"/>
            </w:tcMar>
            <w:vAlign w:val="center"/>
          </w:tcPr>
          <w:p w14:paraId="52954B98" w14:textId="77777777" w:rsidR="003B4964" w:rsidRPr="00872595" w:rsidRDefault="003B4964" w:rsidP="00475CF6">
            <w:pPr>
              <w:spacing w:after="0" w:line="240" w:lineRule="auto"/>
              <w:rPr>
                <w:rFonts w:ascii="Arial" w:hAnsi="Arial" w:cs="Arial"/>
                <w:sz w:val="14"/>
                <w:szCs w:val="14"/>
              </w:rPr>
            </w:pPr>
            <w:r w:rsidRPr="00872595">
              <w:rPr>
                <w:rFonts w:ascii="Arial" w:hAnsi="Arial" w:cs="Arial"/>
                <w:i/>
                <w:iCs/>
                <w:sz w:val="14"/>
                <w:szCs w:val="14"/>
              </w:rPr>
              <w:t>TNFRSF4, SYNGR2, IFNGR1, CAPG, AHR, CTSZ, ANXA4, SELL, GPX4, GPR65, PHTF2, PLSCR1, DHRS3, P2RX4, PLIN2, GLIPR2, RNH1, TNFRSF18</w:t>
            </w:r>
          </w:p>
        </w:tc>
      </w:tr>
    </w:tbl>
    <w:p w14:paraId="48EFE96B" w14:textId="77777777" w:rsidR="003B4964" w:rsidRDefault="003B4964" w:rsidP="003B4964">
      <w:pPr>
        <w:spacing w:after="120" w:line="240" w:lineRule="auto"/>
        <w:rPr>
          <w:rFonts w:ascii="Arial" w:hAnsi="Arial" w:cs="Arial"/>
          <w:b/>
          <w:bCs/>
          <w:sz w:val="22"/>
          <w:szCs w:val="22"/>
        </w:rPr>
      </w:pPr>
    </w:p>
    <w:p w14:paraId="36DA8816" w14:textId="77777777" w:rsidR="003B4964" w:rsidRDefault="003B4964" w:rsidP="003B4964">
      <w:pPr>
        <w:spacing w:after="120" w:line="240" w:lineRule="auto"/>
        <w:rPr>
          <w:rFonts w:ascii="Arial" w:hAnsi="Arial" w:cs="Arial"/>
          <w:b/>
          <w:bCs/>
          <w:sz w:val="22"/>
          <w:szCs w:val="22"/>
        </w:rPr>
      </w:pPr>
    </w:p>
    <w:p w14:paraId="78A38224" w14:textId="77777777" w:rsidR="003B4964" w:rsidRDefault="003B4964" w:rsidP="003B4964">
      <w:pPr>
        <w:spacing w:after="120" w:line="240" w:lineRule="auto"/>
        <w:rPr>
          <w:rFonts w:ascii="Arial" w:hAnsi="Arial" w:cs="Arial"/>
          <w:b/>
          <w:bCs/>
          <w:sz w:val="22"/>
          <w:szCs w:val="22"/>
        </w:rPr>
      </w:pPr>
    </w:p>
    <w:p w14:paraId="33C48A3A" w14:textId="77777777" w:rsidR="003B4964" w:rsidRDefault="003B4964" w:rsidP="003B4964">
      <w:pPr>
        <w:pageBreakBefore/>
        <w:spacing w:after="120" w:line="240" w:lineRule="auto"/>
        <w:rPr>
          <w:rFonts w:ascii="Arial" w:hAnsi="Arial" w:cs="Arial"/>
          <w:b/>
          <w:bCs/>
          <w:sz w:val="22"/>
          <w:szCs w:val="22"/>
        </w:rPr>
      </w:pPr>
    </w:p>
    <w:tbl>
      <w:tblPr>
        <w:tblW w:w="7987" w:type="dxa"/>
        <w:tblInd w:w="108" w:type="dxa"/>
        <w:tblLook w:val="04A0" w:firstRow="1" w:lastRow="0" w:firstColumn="1" w:lastColumn="0" w:noHBand="0" w:noVBand="1"/>
      </w:tblPr>
      <w:tblGrid>
        <w:gridCol w:w="1533"/>
        <w:gridCol w:w="981"/>
        <w:gridCol w:w="1221"/>
        <w:gridCol w:w="1124"/>
        <w:gridCol w:w="1426"/>
        <w:gridCol w:w="1702"/>
      </w:tblGrid>
      <w:tr w:rsidR="003B4964" w:rsidRPr="00D65A94" w14:paraId="042D273C" w14:textId="77777777" w:rsidTr="00475CF6">
        <w:trPr>
          <w:trHeight w:val="80"/>
        </w:trPr>
        <w:tc>
          <w:tcPr>
            <w:tcW w:w="1533" w:type="dxa"/>
            <w:tcBorders>
              <w:top w:val="single" w:sz="4" w:space="0" w:color="auto"/>
              <w:bottom w:val="single" w:sz="4" w:space="0" w:color="auto"/>
            </w:tcBorders>
            <w:noWrap/>
            <w:vAlign w:val="bottom"/>
            <w:hideMark/>
          </w:tcPr>
          <w:p w14:paraId="15F7A352" w14:textId="77777777" w:rsidR="003B4964" w:rsidRPr="00D65A94" w:rsidRDefault="003B4964" w:rsidP="00475CF6">
            <w:pPr>
              <w:spacing w:after="0" w:line="240" w:lineRule="auto"/>
              <w:rPr>
                <w:rFonts w:ascii="Arial" w:hAnsi="Arial" w:cs="Arial"/>
                <w:b/>
                <w:bCs/>
                <w:color w:val="000000"/>
                <w:sz w:val="16"/>
                <w:szCs w:val="16"/>
              </w:rPr>
            </w:pPr>
            <w:r w:rsidRPr="00D65A94">
              <w:rPr>
                <w:rFonts w:ascii="Arial" w:hAnsi="Arial" w:cs="Arial"/>
                <w:b/>
                <w:bCs/>
                <w:color w:val="000000"/>
                <w:sz w:val="16"/>
                <w:szCs w:val="16"/>
              </w:rPr>
              <w:t>fluorophore</w:t>
            </w:r>
          </w:p>
        </w:tc>
        <w:tc>
          <w:tcPr>
            <w:tcW w:w="981" w:type="dxa"/>
            <w:tcBorders>
              <w:top w:val="single" w:sz="4" w:space="0" w:color="auto"/>
              <w:bottom w:val="single" w:sz="4" w:space="0" w:color="auto"/>
            </w:tcBorders>
            <w:noWrap/>
            <w:vAlign w:val="bottom"/>
            <w:hideMark/>
          </w:tcPr>
          <w:p w14:paraId="584148DE" w14:textId="77777777" w:rsidR="003B4964" w:rsidRPr="00D65A94" w:rsidRDefault="003B4964" w:rsidP="00475CF6">
            <w:pPr>
              <w:spacing w:after="0" w:line="240" w:lineRule="auto"/>
              <w:rPr>
                <w:rFonts w:ascii="Arial" w:hAnsi="Arial" w:cs="Arial"/>
                <w:b/>
                <w:bCs/>
                <w:color w:val="000000"/>
                <w:sz w:val="16"/>
                <w:szCs w:val="16"/>
              </w:rPr>
            </w:pPr>
            <w:r w:rsidRPr="00D65A94">
              <w:rPr>
                <w:rFonts w:ascii="Arial" w:hAnsi="Arial" w:cs="Arial"/>
                <w:b/>
                <w:bCs/>
                <w:color w:val="000000"/>
                <w:sz w:val="16"/>
                <w:szCs w:val="16"/>
              </w:rPr>
              <w:t>target</w:t>
            </w:r>
          </w:p>
        </w:tc>
        <w:tc>
          <w:tcPr>
            <w:tcW w:w="1221" w:type="dxa"/>
            <w:tcBorders>
              <w:top w:val="single" w:sz="4" w:space="0" w:color="auto"/>
              <w:bottom w:val="single" w:sz="4" w:space="0" w:color="auto"/>
            </w:tcBorders>
            <w:noWrap/>
            <w:vAlign w:val="bottom"/>
            <w:hideMark/>
          </w:tcPr>
          <w:p w14:paraId="5B9562CF" w14:textId="77777777" w:rsidR="003B4964" w:rsidRPr="00D65A94" w:rsidRDefault="003B4964" w:rsidP="00475CF6">
            <w:pPr>
              <w:spacing w:after="0" w:line="240" w:lineRule="auto"/>
              <w:rPr>
                <w:rFonts w:ascii="Arial" w:hAnsi="Arial" w:cs="Arial"/>
                <w:b/>
                <w:bCs/>
                <w:color w:val="000000"/>
                <w:sz w:val="16"/>
                <w:szCs w:val="16"/>
              </w:rPr>
            </w:pPr>
            <w:r w:rsidRPr="00D65A94">
              <w:rPr>
                <w:rFonts w:ascii="Arial" w:hAnsi="Arial" w:cs="Arial"/>
                <w:b/>
                <w:bCs/>
                <w:color w:val="000000"/>
                <w:sz w:val="16"/>
                <w:szCs w:val="16"/>
              </w:rPr>
              <w:t>clone</w:t>
            </w:r>
          </w:p>
        </w:tc>
        <w:tc>
          <w:tcPr>
            <w:tcW w:w="1124" w:type="dxa"/>
            <w:tcBorders>
              <w:top w:val="single" w:sz="4" w:space="0" w:color="auto"/>
              <w:bottom w:val="single" w:sz="4" w:space="0" w:color="auto"/>
            </w:tcBorders>
            <w:noWrap/>
            <w:vAlign w:val="bottom"/>
            <w:hideMark/>
          </w:tcPr>
          <w:p w14:paraId="0CFC8A33" w14:textId="77777777" w:rsidR="003B4964" w:rsidRPr="00D65A94" w:rsidRDefault="003B4964" w:rsidP="00475CF6">
            <w:pPr>
              <w:spacing w:after="0" w:line="240" w:lineRule="auto"/>
              <w:rPr>
                <w:rFonts w:ascii="Arial" w:hAnsi="Arial" w:cs="Arial"/>
                <w:b/>
                <w:bCs/>
                <w:color w:val="000000"/>
                <w:sz w:val="16"/>
                <w:szCs w:val="16"/>
              </w:rPr>
            </w:pPr>
            <w:r w:rsidRPr="00D65A94">
              <w:rPr>
                <w:rFonts w:ascii="Arial" w:hAnsi="Arial" w:cs="Arial"/>
                <w:b/>
                <w:bCs/>
                <w:color w:val="000000"/>
                <w:sz w:val="16"/>
                <w:szCs w:val="16"/>
              </w:rPr>
              <w:t>catalog #</w:t>
            </w:r>
          </w:p>
        </w:tc>
        <w:tc>
          <w:tcPr>
            <w:tcW w:w="1426" w:type="dxa"/>
            <w:tcBorders>
              <w:top w:val="single" w:sz="4" w:space="0" w:color="auto"/>
              <w:bottom w:val="single" w:sz="4" w:space="0" w:color="auto"/>
            </w:tcBorders>
            <w:noWrap/>
            <w:vAlign w:val="bottom"/>
            <w:hideMark/>
          </w:tcPr>
          <w:p w14:paraId="4F4E88B0" w14:textId="77777777" w:rsidR="003B4964" w:rsidRPr="00D65A94" w:rsidRDefault="003B4964" w:rsidP="00475CF6">
            <w:pPr>
              <w:spacing w:after="0" w:line="240" w:lineRule="auto"/>
              <w:rPr>
                <w:rFonts w:ascii="Arial" w:hAnsi="Arial" w:cs="Arial"/>
                <w:b/>
                <w:bCs/>
                <w:color w:val="000000"/>
                <w:sz w:val="16"/>
                <w:szCs w:val="16"/>
              </w:rPr>
            </w:pPr>
            <w:r w:rsidRPr="00D65A94">
              <w:rPr>
                <w:rFonts w:ascii="Arial" w:hAnsi="Arial" w:cs="Arial"/>
                <w:b/>
                <w:bCs/>
                <w:color w:val="000000"/>
                <w:sz w:val="16"/>
                <w:szCs w:val="16"/>
              </w:rPr>
              <w:t>supplier</w:t>
            </w:r>
          </w:p>
        </w:tc>
        <w:tc>
          <w:tcPr>
            <w:tcW w:w="1702" w:type="dxa"/>
            <w:tcBorders>
              <w:top w:val="single" w:sz="4" w:space="0" w:color="auto"/>
              <w:bottom w:val="single" w:sz="4" w:space="0" w:color="auto"/>
            </w:tcBorders>
          </w:tcPr>
          <w:p w14:paraId="12DEB0B1" w14:textId="77777777" w:rsidR="003B4964" w:rsidRPr="00D65A94" w:rsidRDefault="003B4964" w:rsidP="00475CF6">
            <w:pPr>
              <w:spacing w:after="0" w:line="240" w:lineRule="auto"/>
              <w:rPr>
                <w:rFonts w:ascii="Arial" w:hAnsi="Arial" w:cs="Arial"/>
                <w:b/>
                <w:bCs/>
                <w:color w:val="000000"/>
                <w:sz w:val="16"/>
                <w:szCs w:val="16"/>
              </w:rPr>
            </w:pPr>
            <w:r w:rsidRPr="00D65A94">
              <w:rPr>
                <w:rFonts w:ascii="Arial" w:hAnsi="Arial" w:cs="Arial"/>
                <w:b/>
                <w:bCs/>
                <w:color w:val="000000"/>
                <w:sz w:val="16"/>
                <w:szCs w:val="16"/>
              </w:rPr>
              <w:t>location</w:t>
            </w:r>
          </w:p>
        </w:tc>
      </w:tr>
      <w:tr w:rsidR="003B4964" w:rsidRPr="00D65A94" w14:paraId="6BF40C58" w14:textId="77777777" w:rsidTr="00475CF6">
        <w:trPr>
          <w:trHeight w:val="197"/>
        </w:trPr>
        <w:tc>
          <w:tcPr>
            <w:tcW w:w="1533" w:type="dxa"/>
            <w:tcBorders>
              <w:top w:val="single" w:sz="4" w:space="0" w:color="auto"/>
            </w:tcBorders>
            <w:shd w:val="clear" w:color="auto" w:fill="F2F2F2" w:themeFill="background1" w:themeFillShade="F2"/>
            <w:noWrap/>
            <w:vAlign w:val="bottom"/>
            <w:hideMark/>
          </w:tcPr>
          <w:p w14:paraId="5346CD5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BUV395</w:t>
            </w:r>
          </w:p>
        </w:tc>
        <w:tc>
          <w:tcPr>
            <w:tcW w:w="981" w:type="dxa"/>
            <w:tcBorders>
              <w:top w:val="single" w:sz="4" w:space="0" w:color="auto"/>
            </w:tcBorders>
            <w:shd w:val="clear" w:color="auto" w:fill="F2F2F2" w:themeFill="background1" w:themeFillShade="F2"/>
            <w:noWrap/>
            <w:vAlign w:val="bottom"/>
            <w:hideMark/>
          </w:tcPr>
          <w:p w14:paraId="5E4134D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CD27</w:t>
            </w:r>
          </w:p>
        </w:tc>
        <w:tc>
          <w:tcPr>
            <w:tcW w:w="1221" w:type="dxa"/>
            <w:tcBorders>
              <w:top w:val="single" w:sz="4" w:space="0" w:color="auto"/>
            </w:tcBorders>
            <w:shd w:val="clear" w:color="auto" w:fill="F2F2F2" w:themeFill="background1" w:themeFillShade="F2"/>
            <w:noWrap/>
            <w:vAlign w:val="bottom"/>
            <w:hideMark/>
          </w:tcPr>
          <w:p w14:paraId="0694DD9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LG.3A20</w:t>
            </w:r>
          </w:p>
        </w:tc>
        <w:tc>
          <w:tcPr>
            <w:tcW w:w="1124" w:type="dxa"/>
            <w:tcBorders>
              <w:top w:val="single" w:sz="4" w:space="0" w:color="auto"/>
            </w:tcBorders>
            <w:shd w:val="clear" w:color="auto" w:fill="F2F2F2" w:themeFill="background1" w:themeFillShade="F2"/>
            <w:noWrap/>
            <w:vAlign w:val="bottom"/>
            <w:hideMark/>
          </w:tcPr>
          <w:p w14:paraId="1805E09F"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740247</w:t>
            </w:r>
          </w:p>
        </w:tc>
        <w:tc>
          <w:tcPr>
            <w:tcW w:w="1426" w:type="dxa"/>
            <w:tcBorders>
              <w:top w:val="single" w:sz="4" w:space="0" w:color="auto"/>
            </w:tcBorders>
            <w:shd w:val="clear" w:color="auto" w:fill="F2F2F2" w:themeFill="background1" w:themeFillShade="F2"/>
            <w:noWrap/>
            <w:vAlign w:val="bottom"/>
            <w:hideMark/>
          </w:tcPr>
          <w:p w14:paraId="3486E36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Borders>
              <w:top w:val="single" w:sz="4" w:space="0" w:color="auto"/>
            </w:tcBorders>
            <w:shd w:val="clear" w:color="auto" w:fill="F2F2F2" w:themeFill="background1" w:themeFillShade="F2"/>
          </w:tcPr>
          <w:p w14:paraId="35CF476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0344FC20" w14:textId="77777777" w:rsidTr="00475CF6">
        <w:trPr>
          <w:trHeight w:val="80"/>
        </w:trPr>
        <w:tc>
          <w:tcPr>
            <w:tcW w:w="1533" w:type="dxa"/>
            <w:noWrap/>
            <w:vAlign w:val="bottom"/>
            <w:hideMark/>
          </w:tcPr>
          <w:p w14:paraId="0C8A6D7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Viability UV</w:t>
            </w:r>
          </w:p>
        </w:tc>
        <w:tc>
          <w:tcPr>
            <w:tcW w:w="981" w:type="dxa"/>
            <w:noWrap/>
            <w:vAlign w:val="bottom"/>
            <w:hideMark/>
          </w:tcPr>
          <w:p w14:paraId="3595BAC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Live/Dead</w:t>
            </w:r>
          </w:p>
        </w:tc>
        <w:tc>
          <w:tcPr>
            <w:tcW w:w="1221" w:type="dxa"/>
            <w:noWrap/>
            <w:vAlign w:val="bottom"/>
            <w:hideMark/>
          </w:tcPr>
          <w:p w14:paraId="4C2A601E" w14:textId="77777777" w:rsidR="003B4964" w:rsidRPr="00D65A94" w:rsidRDefault="003B4964" w:rsidP="00475CF6">
            <w:pPr>
              <w:spacing w:after="0" w:line="240" w:lineRule="auto"/>
              <w:rPr>
                <w:rFonts w:ascii="Arial" w:hAnsi="Arial" w:cs="Arial"/>
                <w:color w:val="000000"/>
                <w:sz w:val="16"/>
                <w:szCs w:val="16"/>
              </w:rPr>
            </w:pPr>
          </w:p>
        </w:tc>
        <w:tc>
          <w:tcPr>
            <w:tcW w:w="1124" w:type="dxa"/>
            <w:noWrap/>
            <w:vAlign w:val="bottom"/>
            <w:hideMark/>
          </w:tcPr>
          <w:p w14:paraId="10B64F3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L23105A</w:t>
            </w:r>
          </w:p>
        </w:tc>
        <w:tc>
          <w:tcPr>
            <w:tcW w:w="1426" w:type="dxa"/>
            <w:noWrap/>
            <w:vAlign w:val="bottom"/>
            <w:hideMark/>
          </w:tcPr>
          <w:p w14:paraId="3D09D58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Invitrogen</w:t>
            </w:r>
          </w:p>
        </w:tc>
        <w:tc>
          <w:tcPr>
            <w:tcW w:w="1702" w:type="dxa"/>
          </w:tcPr>
          <w:p w14:paraId="3D51B97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Carlsbad, CA, USA</w:t>
            </w:r>
          </w:p>
        </w:tc>
      </w:tr>
      <w:tr w:rsidR="003B4964" w:rsidRPr="00D65A94" w14:paraId="0A773DCD" w14:textId="77777777" w:rsidTr="00475CF6">
        <w:trPr>
          <w:trHeight w:val="71"/>
        </w:trPr>
        <w:tc>
          <w:tcPr>
            <w:tcW w:w="1533" w:type="dxa"/>
            <w:shd w:val="clear" w:color="auto" w:fill="F2F2F2" w:themeFill="background1" w:themeFillShade="F2"/>
            <w:noWrap/>
            <w:vAlign w:val="bottom"/>
            <w:hideMark/>
          </w:tcPr>
          <w:p w14:paraId="08890EB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BUV563</w:t>
            </w:r>
          </w:p>
        </w:tc>
        <w:tc>
          <w:tcPr>
            <w:tcW w:w="981" w:type="dxa"/>
            <w:shd w:val="clear" w:color="auto" w:fill="F2F2F2" w:themeFill="background1" w:themeFillShade="F2"/>
            <w:noWrap/>
            <w:vAlign w:val="bottom"/>
            <w:hideMark/>
          </w:tcPr>
          <w:p w14:paraId="0D05AFE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CD49b</w:t>
            </w:r>
          </w:p>
        </w:tc>
        <w:tc>
          <w:tcPr>
            <w:tcW w:w="1221" w:type="dxa"/>
            <w:shd w:val="clear" w:color="auto" w:fill="F2F2F2" w:themeFill="background1" w:themeFillShade="F2"/>
            <w:noWrap/>
            <w:vAlign w:val="bottom"/>
            <w:hideMark/>
          </w:tcPr>
          <w:p w14:paraId="2E3A680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HMa2</w:t>
            </w:r>
          </w:p>
        </w:tc>
        <w:tc>
          <w:tcPr>
            <w:tcW w:w="1124" w:type="dxa"/>
            <w:shd w:val="clear" w:color="auto" w:fill="F2F2F2" w:themeFill="background1" w:themeFillShade="F2"/>
            <w:noWrap/>
            <w:vAlign w:val="bottom"/>
            <w:hideMark/>
          </w:tcPr>
          <w:p w14:paraId="11B5E92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741280</w:t>
            </w:r>
          </w:p>
        </w:tc>
        <w:tc>
          <w:tcPr>
            <w:tcW w:w="1426" w:type="dxa"/>
            <w:shd w:val="clear" w:color="auto" w:fill="F2F2F2" w:themeFill="background1" w:themeFillShade="F2"/>
            <w:noWrap/>
            <w:vAlign w:val="bottom"/>
            <w:hideMark/>
          </w:tcPr>
          <w:p w14:paraId="0ABE65D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shd w:val="clear" w:color="auto" w:fill="F2F2F2" w:themeFill="background1" w:themeFillShade="F2"/>
          </w:tcPr>
          <w:p w14:paraId="4555DFC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1D4E26C9" w14:textId="77777777" w:rsidTr="00475CF6">
        <w:trPr>
          <w:trHeight w:val="64"/>
        </w:trPr>
        <w:tc>
          <w:tcPr>
            <w:tcW w:w="1533" w:type="dxa"/>
            <w:noWrap/>
            <w:vAlign w:val="bottom"/>
            <w:hideMark/>
          </w:tcPr>
          <w:p w14:paraId="1B8A86C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BUV496</w:t>
            </w:r>
          </w:p>
        </w:tc>
        <w:tc>
          <w:tcPr>
            <w:tcW w:w="981" w:type="dxa"/>
            <w:noWrap/>
            <w:vAlign w:val="bottom"/>
            <w:hideMark/>
          </w:tcPr>
          <w:p w14:paraId="2C61B86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CD4</w:t>
            </w:r>
          </w:p>
        </w:tc>
        <w:tc>
          <w:tcPr>
            <w:tcW w:w="1221" w:type="dxa"/>
            <w:noWrap/>
            <w:vAlign w:val="bottom"/>
            <w:hideMark/>
          </w:tcPr>
          <w:p w14:paraId="3BEBB95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H129.19</w:t>
            </w:r>
          </w:p>
        </w:tc>
        <w:tc>
          <w:tcPr>
            <w:tcW w:w="1124" w:type="dxa"/>
            <w:noWrap/>
            <w:vAlign w:val="bottom"/>
            <w:hideMark/>
          </w:tcPr>
          <w:p w14:paraId="5D31C60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741078</w:t>
            </w:r>
          </w:p>
        </w:tc>
        <w:tc>
          <w:tcPr>
            <w:tcW w:w="1426" w:type="dxa"/>
            <w:noWrap/>
            <w:vAlign w:val="bottom"/>
            <w:hideMark/>
          </w:tcPr>
          <w:p w14:paraId="5986AD5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1EB4E8A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347114FD" w14:textId="77777777" w:rsidTr="00475CF6">
        <w:trPr>
          <w:trHeight w:val="64"/>
        </w:trPr>
        <w:tc>
          <w:tcPr>
            <w:tcW w:w="1533" w:type="dxa"/>
            <w:shd w:val="clear" w:color="auto" w:fill="F2F2F2" w:themeFill="background1" w:themeFillShade="F2"/>
            <w:noWrap/>
            <w:vAlign w:val="bottom"/>
            <w:hideMark/>
          </w:tcPr>
          <w:p w14:paraId="5A32B7DF"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BUV805</w:t>
            </w:r>
          </w:p>
        </w:tc>
        <w:tc>
          <w:tcPr>
            <w:tcW w:w="981" w:type="dxa"/>
            <w:shd w:val="clear" w:color="auto" w:fill="F2F2F2" w:themeFill="background1" w:themeFillShade="F2"/>
            <w:noWrap/>
            <w:vAlign w:val="bottom"/>
            <w:hideMark/>
          </w:tcPr>
          <w:p w14:paraId="66C4D17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NKG2ACE</w:t>
            </w:r>
          </w:p>
        </w:tc>
        <w:tc>
          <w:tcPr>
            <w:tcW w:w="1221" w:type="dxa"/>
            <w:shd w:val="clear" w:color="auto" w:fill="F2F2F2" w:themeFill="background1" w:themeFillShade="F2"/>
            <w:noWrap/>
            <w:vAlign w:val="bottom"/>
            <w:hideMark/>
          </w:tcPr>
          <w:p w14:paraId="27A4617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20d5</w:t>
            </w:r>
          </w:p>
        </w:tc>
        <w:tc>
          <w:tcPr>
            <w:tcW w:w="1124" w:type="dxa"/>
            <w:shd w:val="clear" w:color="auto" w:fill="F2F2F2" w:themeFill="background1" w:themeFillShade="F2"/>
            <w:noWrap/>
            <w:vAlign w:val="bottom"/>
            <w:hideMark/>
          </w:tcPr>
          <w:p w14:paraId="683C555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741990</w:t>
            </w:r>
          </w:p>
        </w:tc>
        <w:tc>
          <w:tcPr>
            <w:tcW w:w="1426" w:type="dxa"/>
            <w:shd w:val="clear" w:color="auto" w:fill="F2F2F2" w:themeFill="background1" w:themeFillShade="F2"/>
            <w:noWrap/>
            <w:vAlign w:val="bottom"/>
            <w:hideMark/>
          </w:tcPr>
          <w:p w14:paraId="6DA2EA8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shd w:val="clear" w:color="auto" w:fill="F2F2F2" w:themeFill="background1" w:themeFillShade="F2"/>
          </w:tcPr>
          <w:p w14:paraId="1E0B596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488BE311" w14:textId="77777777" w:rsidTr="00475CF6">
        <w:trPr>
          <w:trHeight w:val="107"/>
        </w:trPr>
        <w:tc>
          <w:tcPr>
            <w:tcW w:w="1533" w:type="dxa"/>
            <w:noWrap/>
            <w:vAlign w:val="bottom"/>
            <w:hideMark/>
          </w:tcPr>
          <w:p w14:paraId="713F089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BUV615</w:t>
            </w:r>
          </w:p>
        </w:tc>
        <w:tc>
          <w:tcPr>
            <w:tcW w:w="981" w:type="dxa"/>
            <w:noWrap/>
            <w:vAlign w:val="bottom"/>
            <w:hideMark/>
          </w:tcPr>
          <w:p w14:paraId="1A38C10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CD45RA</w:t>
            </w:r>
          </w:p>
        </w:tc>
        <w:tc>
          <w:tcPr>
            <w:tcW w:w="1221" w:type="dxa"/>
            <w:noWrap/>
            <w:vAlign w:val="bottom"/>
            <w:hideMark/>
          </w:tcPr>
          <w:p w14:paraId="0E50EF8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14.8</w:t>
            </w:r>
          </w:p>
        </w:tc>
        <w:tc>
          <w:tcPr>
            <w:tcW w:w="1124" w:type="dxa"/>
            <w:noWrap/>
            <w:vAlign w:val="bottom"/>
            <w:hideMark/>
          </w:tcPr>
          <w:p w14:paraId="5200B47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751645</w:t>
            </w:r>
          </w:p>
        </w:tc>
        <w:tc>
          <w:tcPr>
            <w:tcW w:w="1426" w:type="dxa"/>
            <w:noWrap/>
            <w:vAlign w:val="bottom"/>
            <w:hideMark/>
          </w:tcPr>
          <w:p w14:paraId="00178D6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229851E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43800072" w14:textId="77777777" w:rsidTr="00475CF6">
        <w:trPr>
          <w:trHeight w:val="64"/>
        </w:trPr>
        <w:tc>
          <w:tcPr>
            <w:tcW w:w="1533" w:type="dxa"/>
            <w:shd w:val="clear" w:color="auto" w:fill="F2F2F2" w:themeFill="background1" w:themeFillShade="F2"/>
            <w:noWrap/>
            <w:vAlign w:val="bottom"/>
            <w:hideMark/>
          </w:tcPr>
          <w:p w14:paraId="3992CED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BUV737</w:t>
            </w:r>
          </w:p>
        </w:tc>
        <w:tc>
          <w:tcPr>
            <w:tcW w:w="981" w:type="dxa"/>
            <w:shd w:val="clear" w:color="auto" w:fill="F2F2F2" w:themeFill="background1" w:themeFillShade="F2"/>
            <w:noWrap/>
            <w:vAlign w:val="bottom"/>
            <w:hideMark/>
          </w:tcPr>
          <w:p w14:paraId="50166C9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CD49a</w:t>
            </w:r>
          </w:p>
        </w:tc>
        <w:tc>
          <w:tcPr>
            <w:tcW w:w="1221" w:type="dxa"/>
            <w:shd w:val="clear" w:color="auto" w:fill="F2F2F2" w:themeFill="background1" w:themeFillShade="F2"/>
            <w:noWrap/>
            <w:vAlign w:val="bottom"/>
            <w:hideMark/>
          </w:tcPr>
          <w:p w14:paraId="074FDBAF"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Ha31/8</w:t>
            </w:r>
          </w:p>
        </w:tc>
        <w:tc>
          <w:tcPr>
            <w:tcW w:w="1124" w:type="dxa"/>
            <w:shd w:val="clear" w:color="auto" w:fill="F2F2F2" w:themeFill="background1" w:themeFillShade="F2"/>
            <w:noWrap/>
            <w:vAlign w:val="bottom"/>
            <w:hideMark/>
          </w:tcPr>
          <w:p w14:paraId="1DAB765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741776</w:t>
            </w:r>
          </w:p>
        </w:tc>
        <w:tc>
          <w:tcPr>
            <w:tcW w:w="1426" w:type="dxa"/>
            <w:shd w:val="clear" w:color="auto" w:fill="F2F2F2" w:themeFill="background1" w:themeFillShade="F2"/>
            <w:noWrap/>
            <w:vAlign w:val="bottom"/>
            <w:hideMark/>
          </w:tcPr>
          <w:p w14:paraId="55E85A3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shd w:val="clear" w:color="auto" w:fill="F2F2F2" w:themeFill="background1" w:themeFillShade="F2"/>
          </w:tcPr>
          <w:p w14:paraId="4DDA1C6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1E3316B4" w14:textId="77777777" w:rsidTr="00475CF6">
        <w:trPr>
          <w:trHeight w:val="64"/>
        </w:trPr>
        <w:tc>
          <w:tcPr>
            <w:tcW w:w="1533" w:type="dxa"/>
            <w:noWrap/>
            <w:vAlign w:val="bottom"/>
            <w:hideMark/>
          </w:tcPr>
          <w:p w14:paraId="209DE04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BV650</w:t>
            </w:r>
          </w:p>
        </w:tc>
        <w:tc>
          <w:tcPr>
            <w:tcW w:w="981" w:type="dxa"/>
            <w:noWrap/>
            <w:vAlign w:val="bottom"/>
            <w:hideMark/>
          </w:tcPr>
          <w:p w14:paraId="63B17C2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NKp46</w:t>
            </w:r>
          </w:p>
        </w:tc>
        <w:tc>
          <w:tcPr>
            <w:tcW w:w="1221" w:type="dxa"/>
            <w:noWrap/>
            <w:vAlign w:val="bottom"/>
            <w:hideMark/>
          </w:tcPr>
          <w:p w14:paraId="2AF4A9C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29A1.4</w:t>
            </w:r>
          </w:p>
        </w:tc>
        <w:tc>
          <w:tcPr>
            <w:tcW w:w="1124" w:type="dxa"/>
            <w:noWrap/>
            <w:vAlign w:val="bottom"/>
            <w:hideMark/>
          </w:tcPr>
          <w:p w14:paraId="0722075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137612</w:t>
            </w:r>
          </w:p>
        </w:tc>
        <w:tc>
          <w:tcPr>
            <w:tcW w:w="1426" w:type="dxa"/>
            <w:noWrap/>
            <w:vAlign w:val="bottom"/>
            <w:hideMark/>
          </w:tcPr>
          <w:p w14:paraId="3F7F87F7"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tcPr>
          <w:p w14:paraId="1A8FEAE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0AC90BFB" w14:textId="77777777" w:rsidTr="00475CF6">
        <w:trPr>
          <w:trHeight w:val="64"/>
        </w:trPr>
        <w:tc>
          <w:tcPr>
            <w:tcW w:w="1533" w:type="dxa"/>
            <w:shd w:val="clear" w:color="auto" w:fill="F2F2F2" w:themeFill="background1" w:themeFillShade="F2"/>
            <w:noWrap/>
            <w:vAlign w:val="bottom"/>
            <w:hideMark/>
          </w:tcPr>
          <w:p w14:paraId="28FAC41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BV570</w:t>
            </w:r>
          </w:p>
        </w:tc>
        <w:tc>
          <w:tcPr>
            <w:tcW w:w="981" w:type="dxa"/>
            <w:shd w:val="clear" w:color="auto" w:fill="F2F2F2" w:themeFill="background1" w:themeFillShade="F2"/>
            <w:noWrap/>
            <w:vAlign w:val="bottom"/>
            <w:hideMark/>
          </w:tcPr>
          <w:p w14:paraId="37428CB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Ly6C</w:t>
            </w:r>
          </w:p>
        </w:tc>
        <w:tc>
          <w:tcPr>
            <w:tcW w:w="1221" w:type="dxa"/>
            <w:shd w:val="clear" w:color="auto" w:fill="F2F2F2" w:themeFill="background1" w:themeFillShade="F2"/>
            <w:noWrap/>
            <w:vAlign w:val="bottom"/>
            <w:hideMark/>
          </w:tcPr>
          <w:p w14:paraId="0F1E005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HK1.4</w:t>
            </w:r>
          </w:p>
        </w:tc>
        <w:tc>
          <w:tcPr>
            <w:tcW w:w="1124" w:type="dxa"/>
            <w:shd w:val="clear" w:color="auto" w:fill="F2F2F2" w:themeFill="background1" w:themeFillShade="F2"/>
            <w:noWrap/>
            <w:vAlign w:val="bottom"/>
            <w:hideMark/>
          </w:tcPr>
          <w:p w14:paraId="0CFF964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128030</w:t>
            </w:r>
          </w:p>
        </w:tc>
        <w:tc>
          <w:tcPr>
            <w:tcW w:w="1426" w:type="dxa"/>
            <w:shd w:val="clear" w:color="auto" w:fill="F2F2F2" w:themeFill="background1" w:themeFillShade="F2"/>
            <w:noWrap/>
            <w:vAlign w:val="bottom"/>
            <w:hideMark/>
          </w:tcPr>
          <w:p w14:paraId="4434A34B"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3269400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6794AE44" w14:textId="77777777" w:rsidTr="00475CF6">
        <w:trPr>
          <w:trHeight w:val="64"/>
        </w:trPr>
        <w:tc>
          <w:tcPr>
            <w:tcW w:w="1533" w:type="dxa"/>
            <w:noWrap/>
            <w:vAlign w:val="bottom"/>
            <w:hideMark/>
          </w:tcPr>
          <w:p w14:paraId="5DDD56B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RB780</w:t>
            </w:r>
          </w:p>
        </w:tc>
        <w:tc>
          <w:tcPr>
            <w:tcW w:w="981" w:type="dxa"/>
            <w:noWrap/>
            <w:vAlign w:val="bottom"/>
            <w:hideMark/>
          </w:tcPr>
          <w:p w14:paraId="0F540BE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PD-1</w:t>
            </w:r>
          </w:p>
        </w:tc>
        <w:tc>
          <w:tcPr>
            <w:tcW w:w="1221" w:type="dxa"/>
            <w:noWrap/>
            <w:vAlign w:val="bottom"/>
            <w:hideMark/>
          </w:tcPr>
          <w:p w14:paraId="2659BF4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J43</w:t>
            </w:r>
          </w:p>
        </w:tc>
        <w:tc>
          <w:tcPr>
            <w:tcW w:w="1124" w:type="dxa"/>
            <w:noWrap/>
            <w:vAlign w:val="bottom"/>
            <w:hideMark/>
          </w:tcPr>
          <w:p w14:paraId="5C0C44F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755328</w:t>
            </w:r>
          </w:p>
        </w:tc>
        <w:tc>
          <w:tcPr>
            <w:tcW w:w="1426" w:type="dxa"/>
            <w:noWrap/>
            <w:vAlign w:val="bottom"/>
            <w:hideMark/>
          </w:tcPr>
          <w:p w14:paraId="5DBE6B5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6D2961A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16965E89" w14:textId="77777777" w:rsidTr="00475CF6">
        <w:trPr>
          <w:trHeight w:val="64"/>
        </w:trPr>
        <w:tc>
          <w:tcPr>
            <w:tcW w:w="1533" w:type="dxa"/>
            <w:shd w:val="clear" w:color="auto" w:fill="F2F2F2" w:themeFill="background1" w:themeFillShade="F2"/>
            <w:noWrap/>
            <w:vAlign w:val="bottom"/>
            <w:hideMark/>
          </w:tcPr>
          <w:p w14:paraId="4DEE5C1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SB436</w:t>
            </w:r>
          </w:p>
        </w:tc>
        <w:tc>
          <w:tcPr>
            <w:tcW w:w="981" w:type="dxa"/>
            <w:shd w:val="clear" w:color="auto" w:fill="F2F2F2" w:themeFill="background1" w:themeFillShade="F2"/>
            <w:noWrap/>
            <w:vAlign w:val="bottom"/>
            <w:hideMark/>
          </w:tcPr>
          <w:p w14:paraId="4C50B69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NK1.1</w:t>
            </w:r>
          </w:p>
        </w:tc>
        <w:tc>
          <w:tcPr>
            <w:tcW w:w="1221" w:type="dxa"/>
            <w:shd w:val="clear" w:color="auto" w:fill="F2F2F2" w:themeFill="background1" w:themeFillShade="F2"/>
            <w:noWrap/>
            <w:vAlign w:val="bottom"/>
            <w:hideMark/>
          </w:tcPr>
          <w:p w14:paraId="4F7910C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PK136</w:t>
            </w:r>
          </w:p>
        </w:tc>
        <w:tc>
          <w:tcPr>
            <w:tcW w:w="1124" w:type="dxa"/>
            <w:shd w:val="clear" w:color="auto" w:fill="F2F2F2" w:themeFill="background1" w:themeFillShade="F2"/>
            <w:noWrap/>
            <w:vAlign w:val="bottom"/>
            <w:hideMark/>
          </w:tcPr>
          <w:p w14:paraId="728560E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62-5941-82</w:t>
            </w:r>
          </w:p>
        </w:tc>
        <w:tc>
          <w:tcPr>
            <w:tcW w:w="1426" w:type="dxa"/>
            <w:shd w:val="clear" w:color="auto" w:fill="F2F2F2" w:themeFill="background1" w:themeFillShade="F2"/>
            <w:noWrap/>
            <w:vAlign w:val="bottom"/>
            <w:hideMark/>
          </w:tcPr>
          <w:p w14:paraId="01E484F9"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ThermoFisher</w:t>
            </w:r>
            <w:proofErr w:type="spellEnd"/>
          </w:p>
        </w:tc>
        <w:tc>
          <w:tcPr>
            <w:tcW w:w="1702" w:type="dxa"/>
            <w:shd w:val="clear" w:color="auto" w:fill="F2F2F2" w:themeFill="background1" w:themeFillShade="F2"/>
          </w:tcPr>
          <w:p w14:paraId="36CDF75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Waltham, MA, USA</w:t>
            </w:r>
          </w:p>
        </w:tc>
      </w:tr>
      <w:tr w:rsidR="003B4964" w:rsidRPr="00D65A94" w14:paraId="28D79AC5" w14:textId="77777777" w:rsidTr="00475CF6">
        <w:trPr>
          <w:trHeight w:val="64"/>
        </w:trPr>
        <w:tc>
          <w:tcPr>
            <w:tcW w:w="1533" w:type="dxa"/>
            <w:noWrap/>
            <w:vAlign w:val="bottom"/>
            <w:hideMark/>
          </w:tcPr>
          <w:p w14:paraId="21B5726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Pacific Blue</w:t>
            </w:r>
          </w:p>
        </w:tc>
        <w:tc>
          <w:tcPr>
            <w:tcW w:w="981" w:type="dxa"/>
            <w:noWrap/>
            <w:vAlign w:val="bottom"/>
            <w:hideMark/>
          </w:tcPr>
          <w:p w14:paraId="48F2C1F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CD69</w:t>
            </w:r>
          </w:p>
        </w:tc>
        <w:tc>
          <w:tcPr>
            <w:tcW w:w="1221" w:type="dxa"/>
            <w:noWrap/>
            <w:vAlign w:val="bottom"/>
            <w:hideMark/>
          </w:tcPr>
          <w:p w14:paraId="2407234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H1.2F3</w:t>
            </w:r>
          </w:p>
        </w:tc>
        <w:tc>
          <w:tcPr>
            <w:tcW w:w="1124" w:type="dxa"/>
            <w:noWrap/>
            <w:vAlign w:val="bottom"/>
            <w:hideMark/>
          </w:tcPr>
          <w:p w14:paraId="40E2184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104524</w:t>
            </w:r>
          </w:p>
        </w:tc>
        <w:tc>
          <w:tcPr>
            <w:tcW w:w="1426" w:type="dxa"/>
            <w:noWrap/>
            <w:vAlign w:val="bottom"/>
            <w:hideMark/>
          </w:tcPr>
          <w:p w14:paraId="3CC9B3A2"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tcPr>
          <w:p w14:paraId="20FD19E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7F81E7F0" w14:textId="77777777" w:rsidTr="00475CF6">
        <w:trPr>
          <w:trHeight w:val="64"/>
        </w:trPr>
        <w:tc>
          <w:tcPr>
            <w:tcW w:w="1533" w:type="dxa"/>
            <w:shd w:val="clear" w:color="auto" w:fill="F2F2F2" w:themeFill="background1" w:themeFillShade="F2"/>
            <w:noWrap/>
            <w:vAlign w:val="bottom"/>
            <w:hideMark/>
          </w:tcPr>
          <w:p w14:paraId="725947F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BV510</w:t>
            </w:r>
          </w:p>
        </w:tc>
        <w:tc>
          <w:tcPr>
            <w:tcW w:w="981" w:type="dxa"/>
            <w:shd w:val="clear" w:color="auto" w:fill="F2F2F2" w:themeFill="background1" w:themeFillShade="F2"/>
            <w:noWrap/>
            <w:vAlign w:val="bottom"/>
            <w:hideMark/>
          </w:tcPr>
          <w:p w14:paraId="662AA4BF"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CD11b</w:t>
            </w:r>
          </w:p>
        </w:tc>
        <w:tc>
          <w:tcPr>
            <w:tcW w:w="1221" w:type="dxa"/>
            <w:shd w:val="clear" w:color="auto" w:fill="F2F2F2" w:themeFill="background1" w:themeFillShade="F2"/>
            <w:noWrap/>
            <w:vAlign w:val="bottom"/>
            <w:hideMark/>
          </w:tcPr>
          <w:p w14:paraId="0CFF214F"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M1/70</w:t>
            </w:r>
          </w:p>
        </w:tc>
        <w:tc>
          <w:tcPr>
            <w:tcW w:w="1124" w:type="dxa"/>
            <w:shd w:val="clear" w:color="auto" w:fill="F2F2F2" w:themeFill="background1" w:themeFillShade="F2"/>
            <w:noWrap/>
            <w:vAlign w:val="bottom"/>
            <w:hideMark/>
          </w:tcPr>
          <w:p w14:paraId="32AD991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101263</w:t>
            </w:r>
          </w:p>
        </w:tc>
        <w:tc>
          <w:tcPr>
            <w:tcW w:w="1426" w:type="dxa"/>
            <w:shd w:val="clear" w:color="auto" w:fill="F2F2F2" w:themeFill="background1" w:themeFillShade="F2"/>
            <w:noWrap/>
            <w:vAlign w:val="bottom"/>
            <w:hideMark/>
          </w:tcPr>
          <w:p w14:paraId="48D69C1C"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6C2FC41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27428EE6" w14:textId="77777777" w:rsidTr="00475CF6">
        <w:trPr>
          <w:trHeight w:val="64"/>
        </w:trPr>
        <w:tc>
          <w:tcPr>
            <w:tcW w:w="1533" w:type="dxa"/>
            <w:noWrap/>
            <w:vAlign w:val="bottom"/>
            <w:hideMark/>
          </w:tcPr>
          <w:p w14:paraId="35ABD6B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Pacific Orange</w:t>
            </w:r>
          </w:p>
        </w:tc>
        <w:tc>
          <w:tcPr>
            <w:tcW w:w="981" w:type="dxa"/>
            <w:noWrap/>
            <w:vAlign w:val="bottom"/>
            <w:hideMark/>
          </w:tcPr>
          <w:p w14:paraId="1C587C4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CD8a</w:t>
            </w:r>
          </w:p>
        </w:tc>
        <w:tc>
          <w:tcPr>
            <w:tcW w:w="1221" w:type="dxa"/>
            <w:noWrap/>
            <w:vAlign w:val="bottom"/>
            <w:hideMark/>
          </w:tcPr>
          <w:p w14:paraId="09A37A52" w14:textId="77777777" w:rsidR="003B4964" w:rsidRPr="00D65A94" w:rsidRDefault="003B4964" w:rsidP="00475CF6">
            <w:pPr>
              <w:spacing w:after="0" w:line="240" w:lineRule="auto"/>
              <w:rPr>
                <w:rFonts w:ascii="Arial" w:hAnsi="Arial" w:cs="Arial"/>
                <w:color w:val="000000"/>
                <w:sz w:val="16"/>
                <w:szCs w:val="16"/>
              </w:rPr>
            </w:pPr>
          </w:p>
        </w:tc>
        <w:tc>
          <w:tcPr>
            <w:tcW w:w="1124" w:type="dxa"/>
            <w:noWrap/>
            <w:vAlign w:val="bottom"/>
            <w:hideMark/>
          </w:tcPr>
          <w:p w14:paraId="5F9851D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2311814</w:t>
            </w:r>
          </w:p>
        </w:tc>
        <w:tc>
          <w:tcPr>
            <w:tcW w:w="1426" w:type="dxa"/>
            <w:noWrap/>
            <w:vAlign w:val="bottom"/>
            <w:hideMark/>
          </w:tcPr>
          <w:p w14:paraId="718770FA"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ThermoFisher</w:t>
            </w:r>
            <w:proofErr w:type="spellEnd"/>
          </w:p>
        </w:tc>
        <w:tc>
          <w:tcPr>
            <w:tcW w:w="1702" w:type="dxa"/>
          </w:tcPr>
          <w:p w14:paraId="74060D8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Waltham, MA, USA</w:t>
            </w:r>
          </w:p>
        </w:tc>
      </w:tr>
      <w:tr w:rsidR="003B4964" w:rsidRPr="00D65A94" w14:paraId="4CAF9903" w14:textId="77777777" w:rsidTr="00475CF6">
        <w:trPr>
          <w:trHeight w:val="64"/>
        </w:trPr>
        <w:tc>
          <w:tcPr>
            <w:tcW w:w="1533" w:type="dxa"/>
            <w:shd w:val="clear" w:color="auto" w:fill="F2F2F2" w:themeFill="background1" w:themeFillShade="F2"/>
            <w:noWrap/>
            <w:vAlign w:val="bottom"/>
            <w:hideMark/>
          </w:tcPr>
          <w:p w14:paraId="3F70DBB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BV711</w:t>
            </w:r>
          </w:p>
        </w:tc>
        <w:tc>
          <w:tcPr>
            <w:tcW w:w="981" w:type="dxa"/>
            <w:shd w:val="clear" w:color="auto" w:fill="F2F2F2" w:themeFill="background1" w:themeFillShade="F2"/>
            <w:noWrap/>
            <w:vAlign w:val="bottom"/>
            <w:hideMark/>
          </w:tcPr>
          <w:p w14:paraId="67A9738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DNAM1</w:t>
            </w:r>
          </w:p>
        </w:tc>
        <w:tc>
          <w:tcPr>
            <w:tcW w:w="1221" w:type="dxa"/>
            <w:shd w:val="clear" w:color="auto" w:fill="F2F2F2" w:themeFill="background1" w:themeFillShade="F2"/>
            <w:noWrap/>
            <w:vAlign w:val="bottom"/>
            <w:hideMark/>
          </w:tcPr>
          <w:p w14:paraId="6AC2453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TX42.1</w:t>
            </w:r>
          </w:p>
        </w:tc>
        <w:tc>
          <w:tcPr>
            <w:tcW w:w="1124" w:type="dxa"/>
            <w:shd w:val="clear" w:color="auto" w:fill="F2F2F2" w:themeFill="background1" w:themeFillShade="F2"/>
            <w:noWrap/>
            <w:vAlign w:val="bottom"/>
            <w:hideMark/>
          </w:tcPr>
          <w:p w14:paraId="39E6C8F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133609</w:t>
            </w:r>
          </w:p>
        </w:tc>
        <w:tc>
          <w:tcPr>
            <w:tcW w:w="1426" w:type="dxa"/>
            <w:shd w:val="clear" w:color="auto" w:fill="F2F2F2" w:themeFill="background1" w:themeFillShade="F2"/>
            <w:noWrap/>
            <w:vAlign w:val="bottom"/>
            <w:hideMark/>
          </w:tcPr>
          <w:p w14:paraId="65B79D97"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5025941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31B3FD80" w14:textId="77777777" w:rsidTr="00475CF6">
        <w:trPr>
          <w:trHeight w:val="64"/>
        </w:trPr>
        <w:tc>
          <w:tcPr>
            <w:tcW w:w="1533" w:type="dxa"/>
            <w:noWrap/>
            <w:vAlign w:val="bottom"/>
            <w:hideMark/>
          </w:tcPr>
          <w:p w14:paraId="078DF3B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BV605</w:t>
            </w:r>
          </w:p>
        </w:tc>
        <w:tc>
          <w:tcPr>
            <w:tcW w:w="981" w:type="dxa"/>
            <w:noWrap/>
            <w:vAlign w:val="bottom"/>
            <w:hideMark/>
          </w:tcPr>
          <w:p w14:paraId="6BCA7A7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CD90.2</w:t>
            </w:r>
          </w:p>
        </w:tc>
        <w:tc>
          <w:tcPr>
            <w:tcW w:w="1221" w:type="dxa"/>
            <w:noWrap/>
            <w:vAlign w:val="bottom"/>
            <w:hideMark/>
          </w:tcPr>
          <w:p w14:paraId="51C9AED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30-H12</w:t>
            </w:r>
          </w:p>
        </w:tc>
        <w:tc>
          <w:tcPr>
            <w:tcW w:w="1124" w:type="dxa"/>
            <w:noWrap/>
            <w:vAlign w:val="bottom"/>
            <w:hideMark/>
          </w:tcPr>
          <w:p w14:paraId="4144D57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740334</w:t>
            </w:r>
          </w:p>
        </w:tc>
        <w:tc>
          <w:tcPr>
            <w:tcW w:w="1426" w:type="dxa"/>
            <w:noWrap/>
            <w:vAlign w:val="bottom"/>
            <w:hideMark/>
          </w:tcPr>
          <w:p w14:paraId="08BDA63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6E9DAAF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208D41B6" w14:textId="77777777" w:rsidTr="00475CF6">
        <w:trPr>
          <w:trHeight w:val="64"/>
        </w:trPr>
        <w:tc>
          <w:tcPr>
            <w:tcW w:w="1533" w:type="dxa"/>
            <w:shd w:val="clear" w:color="auto" w:fill="F2F2F2" w:themeFill="background1" w:themeFillShade="F2"/>
            <w:noWrap/>
            <w:vAlign w:val="bottom"/>
            <w:hideMark/>
          </w:tcPr>
          <w:p w14:paraId="6110ED7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BV785</w:t>
            </w:r>
          </w:p>
        </w:tc>
        <w:tc>
          <w:tcPr>
            <w:tcW w:w="981" w:type="dxa"/>
            <w:shd w:val="clear" w:color="auto" w:fill="F2F2F2" w:themeFill="background1" w:themeFillShade="F2"/>
            <w:noWrap/>
            <w:vAlign w:val="bottom"/>
            <w:hideMark/>
          </w:tcPr>
          <w:p w14:paraId="6171EF0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KLRG1</w:t>
            </w:r>
          </w:p>
        </w:tc>
        <w:tc>
          <w:tcPr>
            <w:tcW w:w="1221" w:type="dxa"/>
            <w:shd w:val="clear" w:color="auto" w:fill="F2F2F2" w:themeFill="background1" w:themeFillShade="F2"/>
            <w:noWrap/>
            <w:vAlign w:val="bottom"/>
            <w:hideMark/>
          </w:tcPr>
          <w:p w14:paraId="6AEAC2D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2F1/KLRG1</w:t>
            </w:r>
          </w:p>
        </w:tc>
        <w:tc>
          <w:tcPr>
            <w:tcW w:w="1124" w:type="dxa"/>
            <w:shd w:val="clear" w:color="auto" w:fill="F2F2F2" w:themeFill="background1" w:themeFillShade="F2"/>
            <w:noWrap/>
            <w:vAlign w:val="bottom"/>
            <w:hideMark/>
          </w:tcPr>
          <w:p w14:paraId="4B429FC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138429</w:t>
            </w:r>
          </w:p>
        </w:tc>
        <w:tc>
          <w:tcPr>
            <w:tcW w:w="1426" w:type="dxa"/>
            <w:shd w:val="clear" w:color="auto" w:fill="F2F2F2" w:themeFill="background1" w:themeFillShade="F2"/>
            <w:noWrap/>
            <w:vAlign w:val="bottom"/>
            <w:hideMark/>
          </w:tcPr>
          <w:p w14:paraId="55F79889"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16A3AF6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315F36B4" w14:textId="77777777" w:rsidTr="00475CF6">
        <w:trPr>
          <w:trHeight w:val="64"/>
        </w:trPr>
        <w:tc>
          <w:tcPr>
            <w:tcW w:w="1533" w:type="dxa"/>
            <w:noWrap/>
            <w:vAlign w:val="bottom"/>
            <w:hideMark/>
          </w:tcPr>
          <w:p w14:paraId="661EB28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FITC</w:t>
            </w:r>
          </w:p>
        </w:tc>
        <w:tc>
          <w:tcPr>
            <w:tcW w:w="981" w:type="dxa"/>
            <w:noWrap/>
            <w:vAlign w:val="bottom"/>
            <w:hideMark/>
          </w:tcPr>
          <w:p w14:paraId="42B446A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LY49C/I</w:t>
            </w:r>
          </w:p>
        </w:tc>
        <w:tc>
          <w:tcPr>
            <w:tcW w:w="1221" w:type="dxa"/>
            <w:noWrap/>
            <w:vAlign w:val="bottom"/>
            <w:hideMark/>
          </w:tcPr>
          <w:p w14:paraId="19074B7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5E6</w:t>
            </w:r>
          </w:p>
        </w:tc>
        <w:tc>
          <w:tcPr>
            <w:tcW w:w="1124" w:type="dxa"/>
            <w:noWrap/>
            <w:vAlign w:val="bottom"/>
            <w:hideMark/>
          </w:tcPr>
          <w:p w14:paraId="47E5C83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553276</w:t>
            </w:r>
          </w:p>
        </w:tc>
        <w:tc>
          <w:tcPr>
            <w:tcW w:w="1426" w:type="dxa"/>
            <w:noWrap/>
            <w:vAlign w:val="bottom"/>
            <w:hideMark/>
          </w:tcPr>
          <w:p w14:paraId="553E356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4E947BD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365F4C01" w14:textId="77777777" w:rsidTr="00475CF6">
        <w:trPr>
          <w:trHeight w:val="64"/>
        </w:trPr>
        <w:tc>
          <w:tcPr>
            <w:tcW w:w="1533" w:type="dxa"/>
            <w:shd w:val="clear" w:color="auto" w:fill="F2F2F2" w:themeFill="background1" w:themeFillShade="F2"/>
            <w:noWrap/>
            <w:vAlign w:val="bottom"/>
            <w:hideMark/>
          </w:tcPr>
          <w:p w14:paraId="2CC2643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Spark Blue 550</w:t>
            </w:r>
          </w:p>
        </w:tc>
        <w:tc>
          <w:tcPr>
            <w:tcW w:w="981" w:type="dxa"/>
            <w:shd w:val="clear" w:color="auto" w:fill="F2F2F2" w:themeFill="background1" w:themeFillShade="F2"/>
            <w:noWrap/>
            <w:vAlign w:val="bottom"/>
            <w:hideMark/>
          </w:tcPr>
          <w:p w14:paraId="388A8C9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CD3</w:t>
            </w:r>
          </w:p>
        </w:tc>
        <w:tc>
          <w:tcPr>
            <w:tcW w:w="1221" w:type="dxa"/>
            <w:shd w:val="clear" w:color="auto" w:fill="F2F2F2" w:themeFill="background1" w:themeFillShade="F2"/>
            <w:noWrap/>
            <w:vAlign w:val="bottom"/>
            <w:hideMark/>
          </w:tcPr>
          <w:p w14:paraId="36410A3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17A2</w:t>
            </w:r>
          </w:p>
        </w:tc>
        <w:tc>
          <w:tcPr>
            <w:tcW w:w="1124" w:type="dxa"/>
            <w:shd w:val="clear" w:color="auto" w:fill="F2F2F2" w:themeFill="background1" w:themeFillShade="F2"/>
            <w:noWrap/>
            <w:vAlign w:val="bottom"/>
            <w:hideMark/>
          </w:tcPr>
          <w:p w14:paraId="7832067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100259</w:t>
            </w:r>
          </w:p>
        </w:tc>
        <w:tc>
          <w:tcPr>
            <w:tcW w:w="1426" w:type="dxa"/>
            <w:shd w:val="clear" w:color="auto" w:fill="F2F2F2" w:themeFill="background1" w:themeFillShade="F2"/>
            <w:noWrap/>
            <w:vAlign w:val="bottom"/>
            <w:hideMark/>
          </w:tcPr>
          <w:p w14:paraId="322F1AA9"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541EA2F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47EBF21C" w14:textId="77777777" w:rsidTr="00475CF6">
        <w:trPr>
          <w:trHeight w:val="64"/>
        </w:trPr>
        <w:tc>
          <w:tcPr>
            <w:tcW w:w="1533" w:type="dxa"/>
            <w:noWrap/>
            <w:vAlign w:val="bottom"/>
            <w:hideMark/>
          </w:tcPr>
          <w:p w14:paraId="00F38D8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AlexaFluor594</w:t>
            </w:r>
          </w:p>
        </w:tc>
        <w:tc>
          <w:tcPr>
            <w:tcW w:w="981" w:type="dxa"/>
            <w:noWrap/>
            <w:vAlign w:val="bottom"/>
            <w:hideMark/>
          </w:tcPr>
          <w:p w14:paraId="1A88E1E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CD107a</w:t>
            </w:r>
          </w:p>
        </w:tc>
        <w:tc>
          <w:tcPr>
            <w:tcW w:w="1221" w:type="dxa"/>
            <w:noWrap/>
            <w:vAlign w:val="bottom"/>
            <w:hideMark/>
          </w:tcPr>
          <w:p w14:paraId="104F832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1D4B</w:t>
            </w:r>
          </w:p>
        </w:tc>
        <w:tc>
          <w:tcPr>
            <w:tcW w:w="1124" w:type="dxa"/>
            <w:noWrap/>
            <w:vAlign w:val="bottom"/>
            <w:hideMark/>
          </w:tcPr>
          <w:p w14:paraId="55668C6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121622</w:t>
            </w:r>
          </w:p>
        </w:tc>
        <w:tc>
          <w:tcPr>
            <w:tcW w:w="1426" w:type="dxa"/>
            <w:noWrap/>
            <w:vAlign w:val="bottom"/>
            <w:hideMark/>
          </w:tcPr>
          <w:p w14:paraId="5A2418FA"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tcPr>
          <w:p w14:paraId="35DF05B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4237CC98" w14:textId="77777777" w:rsidTr="00475CF6">
        <w:trPr>
          <w:trHeight w:val="80"/>
        </w:trPr>
        <w:tc>
          <w:tcPr>
            <w:tcW w:w="1533" w:type="dxa"/>
            <w:shd w:val="clear" w:color="auto" w:fill="F2F2F2" w:themeFill="background1" w:themeFillShade="F2"/>
            <w:noWrap/>
            <w:vAlign w:val="bottom"/>
            <w:hideMark/>
          </w:tcPr>
          <w:p w14:paraId="41B3FCD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PE/Cy7</w:t>
            </w:r>
          </w:p>
        </w:tc>
        <w:tc>
          <w:tcPr>
            <w:tcW w:w="981" w:type="dxa"/>
            <w:shd w:val="clear" w:color="auto" w:fill="F2F2F2" w:themeFill="background1" w:themeFillShade="F2"/>
            <w:noWrap/>
            <w:vAlign w:val="bottom"/>
            <w:hideMark/>
          </w:tcPr>
          <w:p w14:paraId="30F736FF"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γδ</w:t>
            </w:r>
            <w:proofErr w:type="spellEnd"/>
            <w:r w:rsidRPr="00D65A94">
              <w:rPr>
                <w:rFonts w:ascii="Arial" w:hAnsi="Arial" w:cs="Arial"/>
                <w:color w:val="000000"/>
                <w:sz w:val="16"/>
                <w:szCs w:val="16"/>
              </w:rPr>
              <w:t>/ TCR</w:t>
            </w:r>
          </w:p>
        </w:tc>
        <w:tc>
          <w:tcPr>
            <w:tcW w:w="1221" w:type="dxa"/>
            <w:shd w:val="clear" w:color="auto" w:fill="F2F2F2" w:themeFill="background1" w:themeFillShade="F2"/>
            <w:noWrap/>
            <w:vAlign w:val="bottom"/>
            <w:hideMark/>
          </w:tcPr>
          <w:p w14:paraId="17059048"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GL3</w:t>
            </w:r>
          </w:p>
        </w:tc>
        <w:tc>
          <w:tcPr>
            <w:tcW w:w="1124" w:type="dxa"/>
            <w:shd w:val="clear" w:color="auto" w:fill="F2F2F2" w:themeFill="background1" w:themeFillShade="F2"/>
            <w:noWrap/>
            <w:vAlign w:val="bottom"/>
            <w:hideMark/>
          </w:tcPr>
          <w:p w14:paraId="4B7CE41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118124</w:t>
            </w:r>
          </w:p>
        </w:tc>
        <w:tc>
          <w:tcPr>
            <w:tcW w:w="1426" w:type="dxa"/>
            <w:shd w:val="clear" w:color="auto" w:fill="F2F2F2" w:themeFill="background1" w:themeFillShade="F2"/>
            <w:noWrap/>
            <w:vAlign w:val="bottom"/>
            <w:hideMark/>
          </w:tcPr>
          <w:p w14:paraId="1147EABB"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0F04B24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2DA264DD" w14:textId="77777777" w:rsidTr="00475CF6">
        <w:trPr>
          <w:trHeight w:val="64"/>
        </w:trPr>
        <w:tc>
          <w:tcPr>
            <w:tcW w:w="1533" w:type="dxa"/>
            <w:noWrap/>
            <w:vAlign w:val="bottom"/>
            <w:hideMark/>
          </w:tcPr>
          <w:p w14:paraId="71B0C0A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PE-</w:t>
            </w:r>
            <w:proofErr w:type="spellStart"/>
            <w:r w:rsidRPr="00D65A94">
              <w:rPr>
                <w:rFonts w:ascii="Arial" w:hAnsi="Arial" w:cs="Arial"/>
                <w:color w:val="000000"/>
                <w:sz w:val="16"/>
                <w:szCs w:val="16"/>
              </w:rPr>
              <w:t>eFlour</w:t>
            </w:r>
            <w:proofErr w:type="spellEnd"/>
            <w:r w:rsidRPr="00D65A94">
              <w:rPr>
                <w:rFonts w:ascii="Arial" w:hAnsi="Arial" w:cs="Arial"/>
                <w:color w:val="000000"/>
                <w:sz w:val="16"/>
                <w:szCs w:val="16"/>
              </w:rPr>
              <w:t xml:space="preserve"> 610</w:t>
            </w:r>
          </w:p>
        </w:tc>
        <w:tc>
          <w:tcPr>
            <w:tcW w:w="981" w:type="dxa"/>
            <w:noWrap/>
            <w:vAlign w:val="bottom"/>
            <w:hideMark/>
          </w:tcPr>
          <w:p w14:paraId="24DBB3EA"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NKG2D</w:t>
            </w:r>
          </w:p>
        </w:tc>
        <w:tc>
          <w:tcPr>
            <w:tcW w:w="1221" w:type="dxa"/>
            <w:noWrap/>
            <w:vAlign w:val="bottom"/>
            <w:hideMark/>
          </w:tcPr>
          <w:p w14:paraId="1B91EB8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CX5</w:t>
            </w:r>
          </w:p>
        </w:tc>
        <w:tc>
          <w:tcPr>
            <w:tcW w:w="1124" w:type="dxa"/>
            <w:noWrap/>
            <w:vAlign w:val="bottom"/>
            <w:hideMark/>
          </w:tcPr>
          <w:p w14:paraId="48066E5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130207</w:t>
            </w:r>
          </w:p>
        </w:tc>
        <w:tc>
          <w:tcPr>
            <w:tcW w:w="1426" w:type="dxa"/>
            <w:noWrap/>
            <w:vAlign w:val="bottom"/>
            <w:hideMark/>
          </w:tcPr>
          <w:p w14:paraId="39C4E670"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tcPr>
          <w:p w14:paraId="51C92BC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5796A410" w14:textId="77777777" w:rsidTr="00475CF6">
        <w:trPr>
          <w:trHeight w:val="64"/>
        </w:trPr>
        <w:tc>
          <w:tcPr>
            <w:tcW w:w="1533" w:type="dxa"/>
            <w:shd w:val="clear" w:color="auto" w:fill="F2F2F2" w:themeFill="background1" w:themeFillShade="F2"/>
            <w:noWrap/>
            <w:vAlign w:val="bottom"/>
            <w:hideMark/>
          </w:tcPr>
          <w:p w14:paraId="4A0442C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BUV661</w:t>
            </w:r>
          </w:p>
        </w:tc>
        <w:tc>
          <w:tcPr>
            <w:tcW w:w="981" w:type="dxa"/>
            <w:shd w:val="clear" w:color="auto" w:fill="F2F2F2" w:themeFill="background1" w:themeFillShade="F2"/>
            <w:noWrap/>
            <w:vAlign w:val="bottom"/>
            <w:hideMark/>
          </w:tcPr>
          <w:p w14:paraId="2081E97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CCR5</w:t>
            </w:r>
          </w:p>
        </w:tc>
        <w:tc>
          <w:tcPr>
            <w:tcW w:w="1221" w:type="dxa"/>
            <w:shd w:val="clear" w:color="auto" w:fill="F2F2F2" w:themeFill="background1" w:themeFillShade="F2"/>
            <w:noWrap/>
            <w:vAlign w:val="bottom"/>
            <w:hideMark/>
          </w:tcPr>
          <w:p w14:paraId="32E63DAB"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53-7.3(RUO)</w:t>
            </w:r>
          </w:p>
        </w:tc>
        <w:tc>
          <w:tcPr>
            <w:tcW w:w="1124" w:type="dxa"/>
            <w:shd w:val="clear" w:color="auto" w:fill="F2F2F2" w:themeFill="background1" w:themeFillShade="F2"/>
            <w:noWrap/>
            <w:vAlign w:val="bottom"/>
            <w:hideMark/>
          </w:tcPr>
          <w:p w14:paraId="45D88EE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741459</w:t>
            </w:r>
          </w:p>
        </w:tc>
        <w:tc>
          <w:tcPr>
            <w:tcW w:w="1426" w:type="dxa"/>
            <w:shd w:val="clear" w:color="auto" w:fill="F2F2F2" w:themeFill="background1" w:themeFillShade="F2"/>
            <w:noWrap/>
            <w:vAlign w:val="bottom"/>
            <w:hideMark/>
          </w:tcPr>
          <w:p w14:paraId="1FEE2BB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shd w:val="clear" w:color="auto" w:fill="F2F2F2" w:themeFill="background1" w:themeFillShade="F2"/>
          </w:tcPr>
          <w:p w14:paraId="0F0F435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377C7617" w14:textId="77777777" w:rsidTr="00475CF6">
        <w:trPr>
          <w:trHeight w:val="64"/>
        </w:trPr>
        <w:tc>
          <w:tcPr>
            <w:tcW w:w="1533" w:type="dxa"/>
            <w:noWrap/>
            <w:vAlign w:val="bottom"/>
            <w:hideMark/>
          </w:tcPr>
          <w:p w14:paraId="4920DCA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spark YG570</w:t>
            </w:r>
          </w:p>
        </w:tc>
        <w:tc>
          <w:tcPr>
            <w:tcW w:w="981" w:type="dxa"/>
            <w:noWrap/>
            <w:vAlign w:val="bottom"/>
            <w:hideMark/>
          </w:tcPr>
          <w:p w14:paraId="0CBD6FD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F4/80</w:t>
            </w:r>
          </w:p>
        </w:tc>
        <w:tc>
          <w:tcPr>
            <w:tcW w:w="1221" w:type="dxa"/>
            <w:noWrap/>
            <w:vAlign w:val="bottom"/>
            <w:hideMark/>
          </w:tcPr>
          <w:p w14:paraId="5A77A8E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BM8</w:t>
            </w:r>
          </w:p>
        </w:tc>
        <w:tc>
          <w:tcPr>
            <w:tcW w:w="1124" w:type="dxa"/>
            <w:noWrap/>
            <w:vAlign w:val="bottom"/>
            <w:hideMark/>
          </w:tcPr>
          <w:p w14:paraId="3B966E3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565411</w:t>
            </w:r>
          </w:p>
        </w:tc>
        <w:tc>
          <w:tcPr>
            <w:tcW w:w="1426" w:type="dxa"/>
            <w:noWrap/>
            <w:vAlign w:val="bottom"/>
            <w:hideMark/>
          </w:tcPr>
          <w:p w14:paraId="150E3F5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5E9FE762"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13ED75FD" w14:textId="77777777" w:rsidTr="00475CF6">
        <w:trPr>
          <w:trHeight w:val="64"/>
        </w:trPr>
        <w:tc>
          <w:tcPr>
            <w:tcW w:w="1533" w:type="dxa"/>
            <w:shd w:val="clear" w:color="auto" w:fill="F2F2F2" w:themeFill="background1" w:themeFillShade="F2"/>
            <w:noWrap/>
            <w:vAlign w:val="bottom"/>
            <w:hideMark/>
          </w:tcPr>
          <w:p w14:paraId="3CCB21E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BB700</w:t>
            </w:r>
          </w:p>
        </w:tc>
        <w:tc>
          <w:tcPr>
            <w:tcW w:w="981" w:type="dxa"/>
            <w:shd w:val="clear" w:color="auto" w:fill="F2F2F2" w:themeFill="background1" w:themeFillShade="F2"/>
            <w:noWrap/>
            <w:vAlign w:val="bottom"/>
            <w:hideMark/>
          </w:tcPr>
          <w:p w14:paraId="57DF803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CD122</w:t>
            </w:r>
          </w:p>
        </w:tc>
        <w:tc>
          <w:tcPr>
            <w:tcW w:w="1221" w:type="dxa"/>
            <w:shd w:val="clear" w:color="auto" w:fill="F2F2F2" w:themeFill="background1" w:themeFillShade="F2"/>
            <w:noWrap/>
            <w:vAlign w:val="bottom"/>
            <w:hideMark/>
          </w:tcPr>
          <w:p w14:paraId="3445AE4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5H4</w:t>
            </w:r>
          </w:p>
        </w:tc>
        <w:tc>
          <w:tcPr>
            <w:tcW w:w="1124" w:type="dxa"/>
            <w:shd w:val="clear" w:color="auto" w:fill="F2F2F2" w:themeFill="background1" w:themeFillShade="F2"/>
            <w:noWrap/>
            <w:vAlign w:val="bottom"/>
            <w:hideMark/>
          </w:tcPr>
          <w:p w14:paraId="703B581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742153</w:t>
            </w:r>
          </w:p>
        </w:tc>
        <w:tc>
          <w:tcPr>
            <w:tcW w:w="1426" w:type="dxa"/>
            <w:shd w:val="clear" w:color="auto" w:fill="F2F2F2" w:themeFill="background1" w:themeFillShade="F2"/>
            <w:noWrap/>
            <w:vAlign w:val="bottom"/>
            <w:hideMark/>
          </w:tcPr>
          <w:p w14:paraId="2FAE7D9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shd w:val="clear" w:color="auto" w:fill="F2F2F2" w:themeFill="background1" w:themeFillShade="F2"/>
          </w:tcPr>
          <w:p w14:paraId="5413BAA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67BAC0A5" w14:textId="77777777" w:rsidTr="00475CF6">
        <w:trPr>
          <w:trHeight w:val="64"/>
        </w:trPr>
        <w:tc>
          <w:tcPr>
            <w:tcW w:w="1533" w:type="dxa"/>
            <w:noWrap/>
            <w:vAlign w:val="bottom"/>
            <w:hideMark/>
          </w:tcPr>
          <w:p w14:paraId="17D4170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AlexaFluor647</w:t>
            </w:r>
          </w:p>
        </w:tc>
        <w:tc>
          <w:tcPr>
            <w:tcW w:w="981" w:type="dxa"/>
            <w:noWrap/>
            <w:vAlign w:val="bottom"/>
            <w:hideMark/>
          </w:tcPr>
          <w:p w14:paraId="3E84DA5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CXCR6</w:t>
            </w:r>
          </w:p>
        </w:tc>
        <w:tc>
          <w:tcPr>
            <w:tcW w:w="1221" w:type="dxa"/>
            <w:noWrap/>
            <w:vAlign w:val="bottom"/>
            <w:hideMark/>
          </w:tcPr>
          <w:p w14:paraId="09B7F65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SA051D1</w:t>
            </w:r>
          </w:p>
        </w:tc>
        <w:tc>
          <w:tcPr>
            <w:tcW w:w="1124" w:type="dxa"/>
            <w:noWrap/>
            <w:vAlign w:val="bottom"/>
            <w:hideMark/>
          </w:tcPr>
          <w:p w14:paraId="717177A9"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151114</w:t>
            </w:r>
          </w:p>
        </w:tc>
        <w:tc>
          <w:tcPr>
            <w:tcW w:w="1426" w:type="dxa"/>
            <w:noWrap/>
            <w:vAlign w:val="bottom"/>
            <w:hideMark/>
          </w:tcPr>
          <w:p w14:paraId="2908805D"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tcPr>
          <w:p w14:paraId="46312DE7"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60091F2D" w14:textId="77777777" w:rsidTr="00475CF6">
        <w:trPr>
          <w:trHeight w:val="64"/>
        </w:trPr>
        <w:tc>
          <w:tcPr>
            <w:tcW w:w="1533" w:type="dxa"/>
            <w:shd w:val="clear" w:color="auto" w:fill="F2F2F2" w:themeFill="background1" w:themeFillShade="F2"/>
            <w:noWrap/>
            <w:vAlign w:val="bottom"/>
            <w:hideMark/>
          </w:tcPr>
          <w:p w14:paraId="027D6FF5"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APC</w:t>
            </w:r>
          </w:p>
        </w:tc>
        <w:tc>
          <w:tcPr>
            <w:tcW w:w="981" w:type="dxa"/>
            <w:shd w:val="clear" w:color="auto" w:fill="F2F2F2" w:themeFill="background1" w:themeFillShade="F2"/>
            <w:noWrap/>
            <w:vAlign w:val="bottom"/>
            <w:hideMark/>
          </w:tcPr>
          <w:p w14:paraId="213CC0B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Ly49H+</w:t>
            </w:r>
          </w:p>
        </w:tc>
        <w:tc>
          <w:tcPr>
            <w:tcW w:w="1221" w:type="dxa"/>
            <w:shd w:val="clear" w:color="auto" w:fill="F2F2F2" w:themeFill="background1" w:themeFillShade="F2"/>
            <w:noWrap/>
            <w:vAlign w:val="bottom"/>
            <w:hideMark/>
          </w:tcPr>
          <w:p w14:paraId="32B983C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3D10</w:t>
            </w:r>
          </w:p>
        </w:tc>
        <w:tc>
          <w:tcPr>
            <w:tcW w:w="1124" w:type="dxa"/>
            <w:shd w:val="clear" w:color="auto" w:fill="F2F2F2" w:themeFill="background1" w:themeFillShade="F2"/>
            <w:noWrap/>
            <w:vAlign w:val="bottom"/>
            <w:hideMark/>
          </w:tcPr>
          <w:p w14:paraId="120201C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144712</w:t>
            </w:r>
          </w:p>
        </w:tc>
        <w:tc>
          <w:tcPr>
            <w:tcW w:w="1426" w:type="dxa"/>
            <w:shd w:val="clear" w:color="auto" w:fill="F2F2F2" w:themeFill="background1" w:themeFillShade="F2"/>
            <w:noWrap/>
            <w:vAlign w:val="bottom"/>
            <w:hideMark/>
          </w:tcPr>
          <w:p w14:paraId="7209F804"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037CA66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75654654" w14:textId="77777777" w:rsidTr="00475CF6">
        <w:trPr>
          <w:trHeight w:val="64"/>
        </w:trPr>
        <w:tc>
          <w:tcPr>
            <w:tcW w:w="1533" w:type="dxa"/>
            <w:noWrap/>
            <w:vAlign w:val="bottom"/>
            <w:hideMark/>
          </w:tcPr>
          <w:p w14:paraId="58FDE60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AlexaFluor700</w:t>
            </w:r>
          </w:p>
        </w:tc>
        <w:tc>
          <w:tcPr>
            <w:tcW w:w="981" w:type="dxa"/>
            <w:noWrap/>
            <w:vAlign w:val="bottom"/>
            <w:hideMark/>
          </w:tcPr>
          <w:p w14:paraId="1F6F5F5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CD45</w:t>
            </w:r>
          </w:p>
        </w:tc>
        <w:tc>
          <w:tcPr>
            <w:tcW w:w="1221" w:type="dxa"/>
            <w:noWrap/>
            <w:vAlign w:val="bottom"/>
            <w:hideMark/>
          </w:tcPr>
          <w:p w14:paraId="0EAA0FB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30-F11</w:t>
            </w:r>
          </w:p>
        </w:tc>
        <w:tc>
          <w:tcPr>
            <w:tcW w:w="1124" w:type="dxa"/>
            <w:noWrap/>
            <w:vAlign w:val="bottom"/>
            <w:hideMark/>
          </w:tcPr>
          <w:p w14:paraId="2D2970F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560510</w:t>
            </w:r>
          </w:p>
        </w:tc>
        <w:tc>
          <w:tcPr>
            <w:tcW w:w="1426" w:type="dxa"/>
            <w:noWrap/>
            <w:vAlign w:val="bottom"/>
            <w:hideMark/>
          </w:tcPr>
          <w:p w14:paraId="29DE8D64"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BD Biosciences</w:t>
            </w:r>
          </w:p>
        </w:tc>
        <w:tc>
          <w:tcPr>
            <w:tcW w:w="1702" w:type="dxa"/>
          </w:tcPr>
          <w:p w14:paraId="59E305E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Jose, CA, USA</w:t>
            </w:r>
          </w:p>
        </w:tc>
      </w:tr>
      <w:tr w:rsidR="003B4964" w:rsidRPr="00D65A94" w14:paraId="00FD8A86" w14:textId="77777777" w:rsidTr="00475CF6">
        <w:trPr>
          <w:trHeight w:val="64"/>
        </w:trPr>
        <w:tc>
          <w:tcPr>
            <w:tcW w:w="1533" w:type="dxa"/>
            <w:shd w:val="clear" w:color="auto" w:fill="F2F2F2" w:themeFill="background1" w:themeFillShade="F2"/>
            <w:noWrap/>
            <w:vAlign w:val="bottom"/>
            <w:hideMark/>
          </w:tcPr>
          <w:p w14:paraId="4947EA31"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 xml:space="preserve">Spark </w:t>
            </w:r>
            <w:proofErr w:type="spellStart"/>
            <w:r w:rsidRPr="00D65A94">
              <w:rPr>
                <w:rFonts w:ascii="Arial" w:hAnsi="Arial" w:cs="Arial"/>
                <w:color w:val="000000"/>
                <w:sz w:val="16"/>
                <w:szCs w:val="16"/>
              </w:rPr>
              <w:t>NIRtm</w:t>
            </w:r>
            <w:proofErr w:type="spellEnd"/>
            <w:r w:rsidRPr="00D65A94">
              <w:rPr>
                <w:rFonts w:ascii="Arial" w:hAnsi="Arial" w:cs="Arial"/>
                <w:color w:val="000000"/>
                <w:sz w:val="16"/>
                <w:szCs w:val="16"/>
              </w:rPr>
              <w:t xml:space="preserve"> 685</w:t>
            </w:r>
          </w:p>
        </w:tc>
        <w:tc>
          <w:tcPr>
            <w:tcW w:w="981" w:type="dxa"/>
            <w:shd w:val="clear" w:color="auto" w:fill="F2F2F2" w:themeFill="background1" w:themeFillShade="F2"/>
            <w:noWrap/>
            <w:vAlign w:val="bottom"/>
            <w:hideMark/>
          </w:tcPr>
          <w:p w14:paraId="66F0465F"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CD19</w:t>
            </w:r>
          </w:p>
        </w:tc>
        <w:tc>
          <w:tcPr>
            <w:tcW w:w="1221" w:type="dxa"/>
            <w:shd w:val="clear" w:color="auto" w:fill="F2F2F2" w:themeFill="background1" w:themeFillShade="F2"/>
            <w:noWrap/>
            <w:vAlign w:val="bottom"/>
            <w:hideMark/>
          </w:tcPr>
          <w:p w14:paraId="2AC88BEC"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6D5</w:t>
            </w:r>
          </w:p>
        </w:tc>
        <w:tc>
          <w:tcPr>
            <w:tcW w:w="1124" w:type="dxa"/>
            <w:shd w:val="clear" w:color="auto" w:fill="F2F2F2" w:themeFill="background1" w:themeFillShade="F2"/>
            <w:noWrap/>
            <w:vAlign w:val="bottom"/>
            <w:hideMark/>
          </w:tcPr>
          <w:p w14:paraId="6AAC954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115568</w:t>
            </w:r>
          </w:p>
        </w:tc>
        <w:tc>
          <w:tcPr>
            <w:tcW w:w="1426" w:type="dxa"/>
            <w:shd w:val="clear" w:color="auto" w:fill="F2F2F2" w:themeFill="background1" w:themeFillShade="F2"/>
            <w:noWrap/>
            <w:vAlign w:val="bottom"/>
            <w:hideMark/>
          </w:tcPr>
          <w:p w14:paraId="79E8B07E"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BioLegend</w:t>
            </w:r>
            <w:proofErr w:type="spellEnd"/>
          </w:p>
        </w:tc>
        <w:tc>
          <w:tcPr>
            <w:tcW w:w="1702" w:type="dxa"/>
            <w:shd w:val="clear" w:color="auto" w:fill="F2F2F2" w:themeFill="background1" w:themeFillShade="F2"/>
          </w:tcPr>
          <w:p w14:paraId="6EC7C5D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sz w:val="16"/>
                <w:szCs w:val="16"/>
              </w:rPr>
              <w:t>San Diego, CA, USA</w:t>
            </w:r>
          </w:p>
        </w:tc>
      </w:tr>
      <w:tr w:rsidR="003B4964" w:rsidRPr="00D65A94" w14:paraId="0F3D0FBA" w14:textId="77777777" w:rsidTr="00475CF6">
        <w:trPr>
          <w:trHeight w:val="64"/>
        </w:trPr>
        <w:tc>
          <w:tcPr>
            <w:tcW w:w="1533" w:type="dxa"/>
            <w:tcBorders>
              <w:bottom w:val="single" w:sz="4" w:space="0" w:color="auto"/>
            </w:tcBorders>
            <w:noWrap/>
            <w:vAlign w:val="bottom"/>
            <w:hideMark/>
          </w:tcPr>
          <w:p w14:paraId="19B7D9D3"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APC/eF780</w:t>
            </w:r>
          </w:p>
        </w:tc>
        <w:tc>
          <w:tcPr>
            <w:tcW w:w="981" w:type="dxa"/>
            <w:tcBorders>
              <w:bottom w:val="single" w:sz="4" w:space="0" w:color="auto"/>
            </w:tcBorders>
            <w:noWrap/>
            <w:vAlign w:val="bottom"/>
            <w:hideMark/>
          </w:tcPr>
          <w:p w14:paraId="3D2C2E66"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CD62L</w:t>
            </w:r>
          </w:p>
        </w:tc>
        <w:tc>
          <w:tcPr>
            <w:tcW w:w="1221" w:type="dxa"/>
            <w:tcBorders>
              <w:bottom w:val="single" w:sz="4" w:space="0" w:color="auto"/>
            </w:tcBorders>
            <w:noWrap/>
            <w:vAlign w:val="bottom"/>
            <w:hideMark/>
          </w:tcPr>
          <w:p w14:paraId="62FCCD9D"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MEL-14</w:t>
            </w:r>
          </w:p>
        </w:tc>
        <w:tc>
          <w:tcPr>
            <w:tcW w:w="1124" w:type="dxa"/>
            <w:tcBorders>
              <w:bottom w:val="single" w:sz="4" w:space="0" w:color="auto"/>
            </w:tcBorders>
            <w:noWrap/>
            <w:vAlign w:val="bottom"/>
            <w:hideMark/>
          </w:tcPr>
          <w:p w14:paraId="1768FE5E"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2282693</w:t>
            </w:r>
          </w:p>
        </w:tc>
        <w:tc>
          <w:tcPr>
            <w:tcW w:w="1426" w:type="dxa"/>
            <w:tcBorders>
              <w:bottom w:val="single" w:sz="4" w:space="0" w:color="auto"/>
            </w:tcBorders>
            <w:noWrap/>
            <w:vAlign w:val="bottom"/>
            <w:hideMark/>
          </w:tcPr>
          <w:p w14:paraId="31F31911" w14:textId="77777777" w:rsidR="003B4964" w:rsidRPr="00D65A94" w:rsidRDefault="003B4964" w:rsidP="00475CF6">
            <w:pPr>
              <w:spacing w:after="0" w:line="240" w:lineRule="auto"/>
              <w:rPr>
                <w:rFonts w:ascii="Arial" w:hAnsi="Arial" w:cs="Arial"/>
                <w:color w:val="000000"/>
                <w:sz w:val="16"/>
                <w:szCs w:val="16"/>
              </w:rPr>
            </w:pPr>
            <w:proofErr w:type="spellStart"/>
            <w:r w:rsidRPr="00D65A94">
              <w:rPr>
                <w:rFonts w:ascii="Arial" w:hAnsi="Arial" w:cs="Arial"/>
                <w:color w:val="000000"/>
                <w:sz w:val="16"/>
                <w:szCs w:val="16"/>
              </w:rPr>
              <w:t>ThermoFisher</w:t>
            </w:r>
            <w:proofErr w:type="spellEnd"/>
          </w:p>
        </w:tc>
        <w:tc>
          <w:tcPr>
            <w:tcW w:w="1702" w:type="dxa"/>
            <w:tcBorders>
              <w:bottom w:val="single" w:sz="4" w:space="0" w:color="auto"/>
            </w:tcBorders>
          </w:tcPr>
          <w:p w14:paraId="56156E80" w14:textId="77777777" w:rsidR="003B4964" w:rsidRPr="00D65A94" w:rsidRDefault="003B4964" w:rsidP="00475CF6">
            <w:pPr>
              <w:spacing w:after="0" w:line="240" w:lineRule="auto"/>
              <w:rPr>
                <w:rFonts w:ascii="Arial" w:hAnsi="Arial" w:cs="Arial"/>
                <w:color w:val="000000"/>
                <w:sz w:val="16"/>
                <w:szCs w:val="16"/>
              </w:rPr>
            </w:pPr>
            <w:r w:rsidRPr="00D65A94">
              <w:rPr>
                <w:rFonts w:ascii="Arial" w:hAnsi="Arial" w:cs="Arial"/>
                <w:color w:val="000000"/>
                <w:sz w:val="16"/>
                <w:szCs w:val="16"/>
              </w:rPr>
              <w:t>Waltham, MA, USA</w:t>
            </w:r>
          </w:p>
        </w:tc>
      </w:tr>
      <w:tr w:rsidR="003B4964" w:rsidRPr="00D65A94" w14:paraId="3A3770D1" w14:textId="77777777" w:rsidTr="00475CF6">
        <w:trPr>
          <w:trHeight w:val="64"/>
        </w:trPr>
        <w:tc>
          <w:tcPr>
            <w:tcW w:w="7987" w:type="dxa"/>
            <w:gridSpan w:val="6"/>
            <w:tcBorders>
              <w:top w:val="single" w:sz="4" w:space="0" w:color="auto"/>
            </w:tcBorders>
            <w:noWrap/>
            <w:vAlign w:val="bottom"/>
          </w:tcPr>
          <w:p w14:paraId="34910346" w14:textId="77777777" w:rsidR="003B4964" w:rsidRPr="00D65A94" w:rsidRDefault="003B4964" w:rsidP="00475CF6">
            <w:pPr>
              <w:spacing w:after="0" w:line="240" w:lineRule="auto"/>
              <w:jc w:val="both"/>
              <w:rPr>
                <w:rFonts w:ascii="Arial" w:hAnsi="Arial" w:cs="Arial"/>
                <w:color w:val="000000"/>
                <w:sz w:val="16"/>
                <w:szCs w:val="16"/>
              </w:rPr>
            </w:pPr>
            <w:r w:rsidRPr="00D65A94">
              <w:rPr>
                <w:rFonts w:ascii="Arial" w:hAnsi="Arial" w:cs="Arial"/>
                <w:color w:val="000000"/>
                <w:sz w:val="16"/>
                <w:szCs w:val="16"/>
              </w:rPr>
              <w:t xml:space="preserve">Abbreviations: </w:t>
            </w:r>
            <w:r w:rsidRPr="00D65A94">
              <w:rPr>
                <w:rFonts w:ascii="Arial" w:hAnsi="Arial" w:cs="Arial"/>
                <w:sz w:val="16"/>
                <w:szCs w:val="16"/>
              </w:rPr>
              <w:t>Alexa Fluor, Alexa Fluor; APC, allophycocyanin; BB, Brilliant Blue; BV, Brilliant Violet; BUV, Brilliant Ultraviolet; FITC, fluorescein isothiocyanate; Pacific Blue, Pacific Blue; Pacific Orange, Pacific Orange; PE, phycoerythrin; RB, R-phycoerythrin tandem dye; SB, Super Bright; Spark Blue, Spark Blue; Spark NIR, Spark near-infrared; Spark YG, Spark yellow-green; Viability UV, ultraviolet viability dye.</w:t>
            </w:r>
          </w:p>
        </w:tc>
      </w:tr>
    </w:tbl>
    <w:p w14:paraId="7BEFDA56" w14:textId="77777777" w:rsidR="003B4964" w:rsidRDefault="003B4964" w:rsidP="003B4964">
      <w:pPr>
        <w:rPr>
          <w:rFonts w:ascii="Arial" w:hAnsi="Arial" w:cs="Arial"/>
          <w:b/>
          <w:bCs/>
          <w:sz w:val="22"/>
          <w:szCs w:val="22"/>
        </w:rPr>
      </w:pPr>
    </w:p>
    <w:p w14:paraId="3B982255" w14:textId="77777777" w:rsidR="003B4964" w:rsidRDefault="003B4964" w:rsidP="003B4964">
      <w:pPr>
        <w:rPr>
          <w:rFonts w:ascii="Arial" w:hAnsi="Arial" w:cs="Arial"/>
          <w:b/>
          <w:bCs/>
          <w:sz w:val="22"/>
          <w:szCs w:val="22"/>
        </w:rPr>
      </w:pPr>
      <w:r>
        <w:rPr>
          <w:rFonts w:ascii="Arial" w:hAnsi="Arial" w:cs="Arial"/>
          <w:b/>
          <w:bCs/>
          <w:sz w:val="22"/>
          <w:szCs w:val="22"/>
        </w:rPr>
        <w:t>Supplemental Table 2. Spectral flow cytometry panel antibodies</w:t>
      </w:r>
    </w:p>
    <w:p w14:paraId="5669F1EA" w14:textId="77777777" w:rsidR="003B4964" w:rsidRDefault="003B4964" w:rsidP="003B4964">
      <w:pPr>
        <w:pageBreakBefore/>
        <w:rPr>
          <w:rFonts w:ascii="Arial" w:hAnsi="Arial" w:cs="Arial"/>
          <w:b/>
          <w:bCs/>
          <w:sz w:val="22"/>
          <w:szCs w:val="22"/>
        </w:rPr>
      </w:pPr>
    </w:p>
    <w:p w14:paraId="39729272" w14:textId="77777777" w:rsidR="003B4964" w:rsidRDefault="003B4964" w:rsidP="003B4964">
      <w:pPr>
        <w:rPr>
          <w:rFonts w:ascii="Arial" w:hAnsi="Arial" w:cs="Arial"/>
          <w:b/>
          <w:bCs/>
          <w:sz w:val="22"/>
          <w:szCs w:val="22"/>
        </w:rPr>
      </w:pPr>
      <w:r>
        <w:rPr>
          <w:rFonts w:ascii="Arial" w:hAnsi="Arial" w:cs="Arial"/>
          <w:b/>
          <w:bCs/>
          <w:noProof/>
          <w:sz w:val="22"/>
          <w:szCs w:val="22"/>
        </w:rPr>
        <w:drawing>
          <wp:inline distT="0" distB="0" distL="0" distR="0" wp14:anchorId="230591AD" wp14:editId="27B24F93">
            <wp:extent cx="2730500" cy="1917700"/>
            <wp:effectExtent l="0" t="0" r="0" b="0"/>
            <wp:docPr id="341772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72438" name="Picture 34177243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30500" cy="1917700"/>
                    </a:xfrm>
                    <a:prstGeom prst="rect">
                      <a:avLst/>
                    </a:prstGeom>
                  </pic:spPr>
                </pic:pic>
              </a:graphicData>
            </a:graphic>
          </wp:inline>
        </w:drawing>
      </w:r>
    </w:p>
    <w:p w14:paraId="7B690397" w14:textId="77777777" w:rsidR="003B4964" w:rsidRDefault="003B4964" w:rsidP="003B4964">
      <w:pPr>
        <w:rPr>
          <w:rFonts w:ascii="Arial" w:hAnsi="Arial" w:cs="Arial"/>
          <w:b/>
          <w:bCs/>
          <w:sz w:val="22"/>
          <w:szCs w:val="22"/>
        </w:rPr>
      </w:pPr>
      <w:r>
        <w:rPr>
          <w:rFonts w:ascii="Arial" w:hAnsi="Arial" w:cs="Arial"/>
          <w:b/>
          <w:bCs/>
          <w:sz w:val="22"/>
          <w:szCs w:val="22"/>
        </w:rPr>
        <w:t>Supplemental Figure 1. CONSORT diagram for human CMV cohort</w:t>
      </w:r>
    </w:p>
    <w:p w14:paraId="06BBB271" w14:textId="77777777" w:rsidR="003B4964" w:rsidRDefault="003B4964" w:rsidP="003B4964">
      <w:pPr>
        <w:rPr>
          <w:rFonts w:ascii="Arial" w:hAnsi="Arial" w:cs="Arial"/>
          <w:b/>
          <w:bCs/>
          <w:sz w:val="22"/>
          <w:szCs w:val="22"/>
        </w:rPr>
      </w:pPr>
    </w:p>
    <w:p w14:paraId="69B952D1" w14:textId="77777777" w:rsidR="003B4964" w:rsidRDefault="003B4964" w:rsidP="003B4964">
      <w:pPr>
        <w:pageBreakBefore/>
        <w:jc w:val="both"/>
        <w:rPr>
          <w:rFonts w:ascii="Arial" w:hAnsi="Arial" w:cs="Arial"/>
          <w:b/>
          <w:bCs/>
          <w:sz w:val="22"/>
          <w:szCs w:val="22"/>
        </w:rPr>
      </w:pPr>
      <w:r>
        <w:rPr>
          <w:rFonts w:ascii="Arial" w:hAnsi="Arial" w:cs="Arial"/>
          <w:b/>
          <w:bCs/>
          <w:noProof/>
          <w:sz w:val="22"/>
          <w:szCs w:val="22"/>
        </w:rPr>
        <w:lastRenderedPageBreak/>
        <w:drawing>
          <wp:anchor distT="0" distB="0" distL="114300" distR="114300" simplePos="0" relativeHeight="251660288" behindDoc="0" locked="0" layoutInCell="1" allowOverlap="1" wp14:anchorId="7EA376F1" wp14:editId="6016F2C3">
            <wp:simplePos x="0" y="0"/>
            <wp:positionH relativeFrom="column">
              <wp:posOffset>-118872</wp:posOffset>
            </wp:positionH>
            <wp:positionV relativeFrom="paragraph">
              <wp:posOffset>0</wp:posOffset>
            </wp:positionV>
            <wp:extent cx="5905500" cy="5981700"/>
            <wp:effectExtent l="0" t="0" r="0" b="0"/>
            <wp:wrapTopAndBottom/>
            <wp:docPr id="377011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1405" name="Picture 37701140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05500" cy="5981700"/>
                    </a:xfrm>
                    <a:prstGeom prst="rect">
                      <a:avLst/>
                    </a:prstGeom>
                  </pic:spPr>
                </pic:pic>
              </a:graphicData>
            </a:graphic>
            <wp14:sizeRelH relativeFrom="page">
              <wp14:pctWidth>0</wp14:pctWidth>
            </wp14:sizeRelH>
            <wp14:sizeRelV relativeFrom="page">
              <wp14:pctHeight>0</wp14:pctHeight>
            </wp14:sizeRelV>
          </wp:anchor>
        </w:drawing>
      </w:r>
    </w:p>
    <w:p w14:paraId="05AB1DDB" w14:textId="77777777" w:rsidR="003B4964" w:rsidRDefault="003B4964" w:rsidP="003B4964">
      <w:pPr>
        <w:jc w:val="both"/>
        <w:rPr>
          <w:rFonts w:ascii="Arial" w:hAnsi="Arial" w:cs="Arial"/>
          <w:b/>
          <w:bCs/>
          <w:sz w:val="22"/>
          <w:szCs w:val="22"/>
        </w:rPr>
      </w:pPr>
      <w:r>
        <w:rPr>
          <w:rFonts w:ascii="Arial" w:hAnsi="Arial" w:cs="Arial"/>
          <w:b/>
          <w:bCs/>
          <w:sz w:val="22"/>
          <w:szCs w:val="22"/>
        </w:rPr>
        <w:t xml:space="preserve">Supplemental Figure 2. CMV reactivation after lipopolysaccharide induced acute lung injury.  </w:t>
      </w:r>
      <w:r w:rsidRPr="007274DE">
        <w:rPr>
          <w:rFonts w:ascii="Arial" w:hAnsi="Arial" w:cs="Arial"/>
          <w:b/>
          <w:bCs/>
          <w:sz w:val="22"/>
          <w:szCs w:val="22"/>
        </w:rPr>
        <w:t xml:space="preserve">(A) </w:t>
      </w:r>
      <w:r w:rsidRPr="007274DE">
        <w:rPr>
          <w:rFonts w:ascii="Arial" w:hAnsi="Arial" w:cs="Arial"/>
          <w:sz w:val="22"/>
          <w:szCs w:val="22"/>
        </w:rPr>
        <w:t xml:space="preserve">Schematic of the LPS model of </w:t>
      </w:r>
      <w:proofErr w:type="spellStart"/>
      <w:r w:rsidRPr="007274DE">
        <w:rPr>
          <w:rFonts w:ascii="Arial" w:hAnsi="Arial" w:cs="Arial"/>
          <w:sz w:val="22"/>
          <w:szCs w:val="22"/>
        </w:rPr>
        <w:t>mCMV</w:t>
      </w:r>
      <w:proofErr w:type="spellEnd"/>
      <w:r w:rsidRPr="007274DE">
        <w:rPr>
          <w:rFonts w:ascii="Arial" w:hAnsi="Arial" w:cs="Arial"/>
          <w:sz w:val="22"/>
          <w:szCs w:val="22"/>
        </w:rPr>
        <w:t xml:space="preserve"> reactivation. </w:t>
      </w:r>
      <w:proofErr w:type="gramStart"/>
      <w:r w:rsidRPr="007274DE">
        <w:rPr>
          <w:rFonts w:ascii="Arial" w:hAnsi="Arial" w:cs="Arial"/>
          <w:sz w:val="22"/>
          <w:szCs w:val="22"/>
        </w:rPr>
        <w:t>Latently</w:t>
      </w:r>
      <w:proofErr w:type="gramEnd"/>
      <w:r w:rsidRPr="007274DE">
        <w:rPr>
          <w:rFonts w:ascii="Arial" w:hAnsi="Arial" w:cs="Arial"/>
          <w:sz w:val="22"/>
          <w:szCs w:val="22"/>
        </w:rPr>
        <w:t xml:space="preserve"> </w:t>
      </w:r>
      <w:proofErr w:type="spellStart"/>
      <w:r w:rsidRPr="007274DE">
        <w:rPr>
          <w:rFonts w:ascii="Arial" w:hAnsi="Arial" w:cs="Arial"/>
          <w:sz w:val="22"/>
          <w:szCs w:val="22"/>
        </w:rPr>
        <w:t>mCMV</w:t>
      </w:r>
      <w:proofErr w:type="spellEnd"/>
      <w:r w:rsidRPr="007274DE">
        <w:rPr>
          <w:rFonts w:ascii="Arial" w:hAnsi="Arial" w:cs="Arial"/>
          <w:sz w:val="22"/>
          <w:szCs w:val="22"/>
        </w:rPr>
        <w:t xml:space="preserve">-infected mice received intratracheal LPS or saline control. </w:t>
      </w:r>
      <w:r w:rsidRPr="007274DE">
        <w:rPr>
          <w:rFonts w:ascii="Arial" w:hAnsi="Arial" w:cs="Arial"/>
          <w:b/>
          <w:bCs/>
          <w:sz w:val="22"/>
          <w:szCs w:val="22"/>
        </w:rPr>
        <w:t>(B)</w:t>
      </w:r>
      <w:r w:rsidRPr="007274DE">
        <w:rPr>
          <w:rFonts w:ascii="Arial" w:hAnsi="Arial" w:cs="Arial"/>
          <w:sz w:val="22"/>
          <w:szCs w:val="22"/>
        </w:rPr>
        <w:t xml:space="preserve"> Longitudinal blood CMV IE-1 gene copies (copies/mL) following intratracheal LPS, showing individual trajectories and </w:t>
      </w:r>
      <w:proofErr w:type="gramStart"/>
      <w:r w:rsidRPr="007274DE">
        <w:rPr>
          <w:rFonts w:ascii="Arial" w:hAnsi="Arial" w:cs="Arial"/>
          <w:sz w:val="22"/>
          <w:szCs w:val="22"/>
        </w:rPr>
        <w:t>median</w:t>
      </w:r>
      <w:proofErr w:type="gramEnd"/>
      <w:r w:rsidRPr="007274DE">
        <w:rPr>
          <w:rFonts w:ascii="Arial" w:hAnsi="Arial" w:cs="Arial"/>
          <w:sz w:val="22"/>
          <w:szCs w:val="22"/>
        </w:rPr>
        <w:t xml:space="preserve">. </w:t>
      </w:r>
      <w:r w:rsidRPr="007274DE">
        <w:rPr>
          <w:rFonts w:ascii="Arial" w:hAnsi="Arial" w:cs="Arial"/>
          <w:b/>
          <w:bCs/>
          <w:sz w:val="22"/>
          <w:szCs w:val="22"/>
        </w:rPr>
        <w:t>(C)</w:t>
      </w:r>
      <w:r w:rsidRPr="007274DE">
        <w:rPr>
          <w:rFonts w:ascii="Arial" w:hAnsi="Arial" w:cs="Arial"/>
          <w:sz w:val="22"/>
          <w:szCs w:val="22"/>
        </w:rPr>
        <w:t xml:space="preserve"> </w:t>
      </w:r>
      <w:r>
        <w:rPr>
          <w:rFonts w:ascii="Arial" w:hAnsi="Arial" w:cs="Arial"/>
          <w:sz w:val="22"/>
          <w:szCs w:val="22"/>
        </w:rPr>
        <w:t>Lung tissue</w:t>
      </w:r>
      <w:r w:rsidRPr="007274DE">
        <w:rPr>
          <w:rFonts w:ascii="Arial" w:hAnsi="Arial" w:cs="Arial"/>
          <w:sz w:val="22"/>
          <w:szCs w:val="22"/>
        </w:rPr>
        <w:t xml:space="preserve"> CMV IE-1 gene copies in latently infected mice receiving intratracheal LPS versus </w:t>
      </w:r>
      <w:r>
        <w:rPr>
          <w:rFonts w:ascii="Arial" w:hAnsi="Arial" w:cs="Arial"/>
          <w:sz w:val="22"/>
          <w:szCs w:val="22"/>
        </w:rPr>
        <w:t xml:space="preserve">intratracheal </w:t>
      </w:r>
      <w:r w:rsidRPr="007274DE">
        <w:rPr>
          <w:rFonts w:ascii="Arial" w:hAnsi="Arial" w:cs="Arial"/>
          <w:sz w:val="22"/>
          <w:szCs w:val="22"/>
        </w:rPr>
        <w:t xml:space="preserve">saline. </w:t>
      </w:r>
      <w:r>
        <w:rPr>
          <w:rFonts w:ascii="Arial" w:hAnsi="Arial" w:cs="Arial"/>
          <w:sz w:val="22"/>
          <w:szCs w:val="22"/>
        </w:rPr>
        <w:t xml:space="preserve">Serial </w:t>
      </w:r>
      <w:proofErr w:type="spellStart"/>
      <w:r>
        <w:rPr>
          <w:rFonts w:ascii="Arial" w:hAnsi="Arial" w:cs="Arial"/>
          <w:sz w:val="22"/>
          <w:szCs w:val="22"/>
        </w:rPr>
        <w:t>mCMV</w:t>
      </w:r>
      <w:proofErr w:type="spellEnd"/>
      <w:r>
        <w:rPr>
          <w:rFonts w:ascii="Arial" w:hAnsi="Arial" w:cs="Arial"/>
          <w:sz w:val="22"/>
          <w:szCs w:val="22"/>
        </w:rPr>
        <w:t xml:space="preserve"> copies were monitored in blood for n = 2 mice. Differences in lung tissue </w:t>
      </w:r>
      <w:proofErr w:type="spellStart"/>
      <w:r>
        <w:rPr>
          <w:rFonts w:ascii="Arial" w:hAnsi="Arial" w:cs="Arial"/>
          <w:sz w:val="22"/>
          <w:szCs w:val="22"/>
        </w:rPr>
        <w:t>mCMV</w:t>
      </w:r>
      <w:proofErr w:type="spellEnd"/>
      <w:r>
        <w:rPr>
          <w:rFonts w:ascii="Arial" w:hAnsi="Arial" w:cs="Arial"/>
          <w:sz w:val="22"/>
          <w:szCs w:val="22"/>
        </w:rPr>
        <w:t xml:space="preserve"> copies were assessed in n=4 per group. Differences in panel C were assessed with</w:t>
      </w:r>
      <w:r w:rsidRPr="007274DE">
        <w:rPr>
          <w:rFonts w:ascii="Arial" w:hAnsi="Arial" w:cs="Arial"/>
          <w:sz w:val="22"/>
          <w:szCs w:val="22"/>
        </w:rPr>
        <w:t xml:space="preserve"> Mann-Whitney U test</w:t>
      </w:r>
      <w:r>
        <w:rPr>
          <w:rFonts w:ascii="Arial" w:hAnsi="Arial" w:cs="Arial"/>
          <w:sz w:val="22"/>
          <w:szCs w:val="22"/>
        </w:rPr>
        <w:t>ing</w:t>
      </w:r>
      <w:r w:rsidRPr="007274DE">
        <w:rPr>
          <w:rFonts w:ascii="Arial" w:hAnsi="Arial" w:cs="Arial"/>
          <w:b/>
          <w:bCs/>
          <w:sz w:val="22"/>
          <w:szCs w:val="22"/>
        </w:rPr>
        <w:t>.</w:t>
      </w:r>
    </w:p>
    <w:p w14:paraId="10A50CB0" w14:textId="77777777" w:rsidR="003B4964" w:rsidRPr="00630EEF" w:rsidRDefault="003B4964" w:rsidP="003B4964">
      <w:pPr>
        <w:pStyle w:val="font-claude-response-body"/>
        <w:jc w:val="both"/>
        <w:rPr>
          <w:rFonts w:ascii="Arial" w:hAnsi="Arial" w:cs="Arial"/>
          <w:sz w:val="22"/>
          <w:szCs w:val="22"/>
        </w:rPr>
      </w:pPr>
      <w:r w:rsidRPr="00630EEF">
        <w:rPr>
          <w:rFonts w:ascii="Arial" w:hAnsi="Arial" w:cs="Arial"/>
          <w:b/>
          <w:bCs/>
          <w:sz w:val="22"/>
          <w:szCs w:val="22"/>
        </w:rPr>
        <w:lastRenderedPageBreak/>
        <w:t>(D)</w:t>
      </w:r>
      <w:r w:rsidRPr="00630EEF">
        <w:rPr>
          <w:rFonts w:ascii="Arial" w:hAnsi="Arial" w:cs="Arial"/>
          <w:sz w:val="22"/>
          <w:szCs w:val="22"/>
        </w:rPr>
        <w:t xml:space="preserve"> Arterial partial pressure of oxygen (PaO2) measured </w:t>
      </w:r>
      <w:r>
        <w:rPr>
          <w:rFonts w:ascii="Arial" w:hAnsi="Arial" w:cs="Arial"/>
          <w:sz w:val="22"/>
          <w:szCs w:val="22"/>
        </w:rPr>
        <w:t xml:space="preserve">24 hours </w:t>
      </w:r>
      <w:r w:rsidRPr="00630EEF">
        <w:rPr>
          <w:rFonts w:ascii="Arial" w:hAnsi="Arial" w:cs="Arial"/>
          <w:sz w:val="22"/>
          <w:szCs w:val="22"/>
        </w:rPr>
        <w:t xml:space="preserve">after intratracheal LPS or saline in mock infected and latently </w:t>
      </w:r>
      <w:proofErr w:type="spellStart"/>
      <w:r w:rsidRPr="00630EEF">
        <w:rPr>
          <w:rFonts w:ascii="Arial" w:hAnsi="Arial" w:cs="Arial"/>
          <w:sz w:val="22"/>
          <w:szCs w:val="22"/>
        </w:rPr>
        <w:t>mCMV</w:t>
      </w:r>
      <w:proofErr w:type="spellEnd"/>
      <w:r w:rsidRPr="00630EEF">
        <w:rPr>
          <w:rFonts w:ascii="Arial" w:hAnsi="Arial" w:cs="Arial"/>
          <w:sz w:val="22"/>
          <w:szCs w:val="22"/>
        </w:rPr>
        <w:t xml:space="preserve"> infected mice. </w:t>
      </w:r>
      <w:r w:rsidRPr="00E07001">
        <w:rPr>
          <w:rFonts w:ascii="Arial" w:hAnsi="Arial" w:cs="Arial"/>
          <w:b/>
          <w:bCs/>
          <w:sz w:val="22"/>
          <w:szCs w:val="22"/>
        </w:rPr>
        <w:t>(E)</w:t>
      </w:r>
      <w:r w:rsidRPr="00630EEF">
        <w:rPr>
          <w:rFonts w:ascii="Arial" w:hAnsi="Arial" w:cs="Arial"/>
          <w:sz w:val="22"/>
          <w:szCs w:val="22"/>
        </w:rPr>
        <w:t xml:space="preserve"> H&amp;E staining of representative lungs from each condition</w:t>
      </w:r>
      <w:r>
        <w:rPr>
          <w:rFonts w:ascii="Arial" w:hAnsi="Arial" w:cs="Arial"/>
          <w:sz w:val="22"/>
          <w:szCs w:val="22"/>
        </w:rPr>
        <w:t>, s</w:t>
      </w:r>
      <w:r w:rsidRPr="00630EEF">
        <w:rPr>
          <w:rFonts w:ascii="Arial" w:hAnsi="Arial" w:cs="Arial"/>
          <w:sz w:val="22"/>
          <w:szCs w:val="22"/>
        </w:rPr>
        <w:t xml:space="preserve">cale bars represent </w:t>
      </w:r>
      <w:r>
        <w:rPr>
          <w:rFonts w:ascii="Arial" w:hAnsi="Arial" w:cs="Arial"/>
          <w:sz w:val="22"/>
          <w:szCs w:val="22"/>
        </w:rPr>
        <w:t>100</w:t>
      </w:r>
      <w:r w:rsidRPr="00630EEF">
        <w:rPr>
          <w:rFonts w:ascii="Arial" w:hAnsi="Arial" w:cs="Arial"/>
          <w:sz w:val="22"/>
          <w:szCs w:val="22"/>
        </w:rPr>
        <w:t xml:space="preserve"> µm.  </w:t>
      </w:r>
      <w:r w:rsidRPr="00E07001">
        <w:rPr>
          <w:rFonts w:ascii="Arial" w:hAnsi="Arial" w:cs="Arial"/>
          <w:b/>
          <w:bCs/>
          <w:sz w:val="22"/>
          <w:szCs w:val="22"/>
        </w:rPr>
        <w:t>(F)</w:t>
      </w:r>
      <w:r w:rsidRPr="00630EEF">
        <w:rPr>
          <w:rFonts w:ascii="Arial" w:hAnsi="Arial" w:cs="Arial"/>
          <w:sz w:val="22"/>
          <w:szCs w:val="22"/>
        </w:rPr>
        <w:t xml:space="preserve"> Absolute</w:t>
      </w:r>
      <w:r>
        <w:rPr>
          <w:rFonts w:ascii="Arial" w:hAnsi="Arial" w:cs="Arial"/>
          <w:sz w:val="22"/>
          <w:szCs w:val="22"/>
        </w:rPr>
        <w:t xml:space="preserve"> counts of</w:t>
      </w:r>
      <w:r w:rsidRPr="00630EEF">
        <w:rPr>
          <w:rFonts w:ascii="Arial" w:hAnsi="Arial" w:cs="Arial"/>
          <w:sz w:val="22"/>
          <w:szCs w:val="22"/>
        </w:rPr>
        <w:t xml:space="preserve"> adaptive NK cells and </w:t>
      </w:r>
      <w:r w:rsidRPr="00E07001">
        <w:rPr>
          <w:rFonts w:ascii="Arial" w:hAnsi="Arial" w:cs="Arial"/>
          <w:b/>
          <w:bCs/>
          <w:sz w:val="22"/>
          <w:szCs w:val="22"/>
        </w:rPr>
        <w:t>(G)</w:t>
      </w:r>
      <w:r w:rsidRPr="00630EEF">
        <w:rPr>
          <w:rFonts w:ascii="Arial" w:hAnsi="Arial" w:cs="Arial"/>
          <w:sz w:val="22"/>
          <w:szCs w:val="22"/>
        </w:rPr>
        <w:t xml:space="preserve"> adaptive NK cells as a percent of total NK cells, 1 day and 30 days after intratracheal LPS or saline in mock infected and latently infected mice. Serial </w:t>
      </w:r>
      <w:proofErr w:type="spellStart"/>
      <w:r w:rsidRPr="00630EEF">
        <w:rPr>
          <w:rFonts w:ascii="Arial" w:hAnsi="Arial" w:cs="Arial"/>
          <w:sz w:val="22"/>
          <w:szCs w:val="22"/>
        </w:rPr>
        <w:t>mCMV</w:t>
      </w:r>
      <w:proofErr w:type="spellEnd"/>
      <w:r w:rsidRPr="00630EEF">
        <w:rPr>
          <w:rFonts w:ascii="Arial" w:hAnsi="Arial" w:cs="Arial"/>
          <w:sz w:val="22"/>
          <w:szCs w:val="22"/>
        </w:rPr>
        <w:t xml:space="preserve"> copies were monitored in blood for n = 2 mice. Differences in lung tissue </w:t>
      </w:r>
      <w:proofErr w:type="spellStart"/>
      <w:r w:rsidRPr="00630EEF">
        <w:rPr>
          <w:rFonts w:ascii="Arial" w:hAnsi="Arial" w:cs="Arial"/>
          <w:sz w:val="22"/>
          <w:szCs w:val="22"/>
        </w:rPr>
        <w:t>mCMV</w:t>
      </w:r>
      <w:proofErr w:type="spellEnd"/>
      <w:r w:rsidRPr="00630EEF">
        <w:rPr>
          <w:rFonts w:ascii="Arial" w:hAnsi="Arial" w:cs="Arial"/>
          <w:sz w:val="22"/>
          <w:szCs w:val="22"/>
        </w:rPr>
        <w:t xml:space="preserve"> copies</w:t>
      </w:r>
      <w:r>
        <w:rPr>
          <w:rFonts w:ascii="Arial" w:hAnsi="Arial" w:cs="Arial"/>
          <w:sz w:val="22"/>
          <w:szCs w:val="22"/>
        </w:rPr>
        <w:t>, injury and immune cells were</w:t>
      </w:r>
      <w:r w:rsidRPr="00630EEF">
        <w:rPr>
          <w:rFonts w:ascii="Arial" w:hAnsi="Arial" w:cs="Arial"/>
          <w:sz w:val="22"/>
          <w:szCs w:val="22"/>
        </w:rPr>
        <w:t xml:space="preserve"> assessed in </w:t>
      </w:r>
      <w:r>
        <w:rPr>
          <w:rFonts w:ascii="Arial" w:hAnsi="Arial" w:cs="Arial"/>
          <w:sz w:val="22"/>
          <w:szCs w:val="22"/>
        </w:rPr>
        <w:t xml:space="preserve">at least </w:t>
      </w:r>
      <w:r w:rsidRPr="00630EEF">
        <w:rPr>
          <w:rFonts w:ascii="Arial" w:hAnsi="Arial" w:cs="Arial"/>
          <w:sz w:val="22"/>
          <w:szCs w:val="22"/>
        </w:rPr>
        <w:t xml:space="preserve">n = 4 per group. </w:t>
      </w:r>
      <w:r>
        <w:rPr>
          <w:rFonts w:ascii="Arial" w:hAnsi="Arial" w:cs="Arial"/>
          <w:sz w:val="22"/>
          <w:szCs w:val="22"/>
        </w:rPr>
        <w:t xml:space="preserve"> </w:t>
      </w:r>
      <w:r w:rsidRPr="00630EEF">
        <w:rPr>
          <w:rFonts w:ascii="Arial" w:hAnsi="Arial" w:cs="Arial"/>
          <w:sz w:val="22"/>
          <w:szCs w:val="22"/>
        </w:rPr>
        <w:t xml:space="preserve">Box and whisker plots are bound by 25th and 75th percentile with boxes bisected by the </w:t>
      </w:r>
      <w:proofErr w:type="gramStart"/>
      <w:r w:rsidRPr="00630EEF">
        <w:rPr>
          <w:rFonts w:ascii="Arial" w:hAnsi="Arial" w:cs="Arial"/>
          <w:sz w:val="22"/>
          <w:szCs w:val="22"/>
        </w:rPr>
        <w:t>median</w:t>
      </w:r>
      <w:proofErr w:type="gramEnd"/>
      <w:r w:rsidRPr="00630EEF">
        <w:rPr>
          <w:rFonts w:ascii="Arial" w:hAnsi="Arial" w:cs="Arial"/>
          <w:sz w:val="22"/>
          <w:szCs w:val="22"/>
        </w:rPr>
        <w:t xml:space="preserve">. Differences in panel C were assessed with Mann-Whitney U testing. Comparisons in panels D, F, and G were made with </w:t>
      </w:r>
      <w:r>
        <w:rPr>
          <w:rFonts w:ascii="Arial" w:hAnsi="Arial" w:cs="Arial"/>
          <w:sz w:val="22"/>
          <w:szCs w:val="22"/>
        </w:rPr>
        <w:t xml:space="preserve">Wilcoxon tests with Benjamini-Hochberg adjustment.  </w:t>
      </w:r>
    </w:p>
    <w:p w14:paraId="26E48345" w14:textId="77777777" w:rsidR="003B4964" w:rsidRPr="007274DE" w:rsidRDefault="003B4964" w:rsidP="003B4964">
      <w:pPr>
        <w:jc w:val="both"/>
        <w:rPr>
          <w:rFonts w:ascii="Arial" w:hAnsi="Arial" w:cs="Arial"/>
          <w:b/>
          <w:bCs/>
          <w:sz w:val="22"/>
          <w:szCs w:val="22"/>
        </w:rPr>
      </w:pPr>
    </w:p>
    <w:p w14:paraId="278CC4E9" w14:textId="77777777" w:rsidR="003B4964" w:rsidRDefault="003B4964" w:rsidP="003B4964">
      <w:pPr>
        <w:rPr>
          <w:rFonts w:ascii="Arial" w:hAnsi="Arial" w:cs="Arial"/>
          <w:b/>
          <w:bCs/>
          <w:sz w:val="22"/>
          <w:szCs w:val="22"/>
        </w:rPr>
      </w:pPr>
    </w:p>
    <w:p w14:paraId="5E6AE620" w14:textId="77777777" w:rsidR="003B4964" w:rsidRDefault="003B4964" w:rsidP="003B4964">
      <w:pPr>
        <w:rPr>
          <w:rFonts w:ascii="Arial" w:hAnsi="Arial" w:cs="Arial"/>
          <w:b/>
          <w:bCs/>
          <w:sz w:val="22"/>
          <w:szCs w:val="22"/>
        </w:rPr>
      </w:pPr>
    </w:p>
    <w:p w14:paraId="460B3E67" w14:textId="77777777" w:rsidR="003B4964" w:rsidRDefault="003B4964" w:rsidP="003B4964">
      <w:pPr>
        <w:rPr>
          <w:rFonts w:ascii="Arial" w:hAnsi="Arial" w:cs="Arial"/>
          <w:b/>
          <w:bCs/>
          <w:sz w:val="22"/>
          <w:szCs w:val="22"/>
        </w:rPr>
      </w:pPr>
    </w:p>
    <w:p w14:paraId="3865DB06" w14:textId="77777777" w:rsidR="003B4964" w:rsidRDefault="003B4964" w:rsidP="003B4964">
      <w:pPr>
        <w:rPr>
          <w:rFonts w:ascii="Arial" w:hAnsi="Arial" w:cs="Arial"/>
          <w:b/>
          <w:bCs/>
          <w:sz w:val="22"/>
          <w:szCs w:val="22"/>
        </w:rPr>
      </w:pPr>
      <w:r>
        <w:rPr>
          <w:rFonts w:ascii="Arial" w:hAnsi="Arial" w:cs="Arial"/>
          <w:b/>
          <w:bCs/>
          <w:noProof/>
          <w:sz w:val="22"/>
          <w:szCs w:val="22"/>
        </w:rPr>
        <w:lastRenderedPageBreak/>
        <w:drawing>
          <wp:inline distT="0" distB="0" distL="0" distR="0" wp14:anchorId="6B6BFC60" wp14:editId="28BDF167">
            <wp:extent cx="5930900" cy="5892800"/>
            <wp:effectExtent l="0" t="0" r="0" b="0"/>
            <wp:docPr id="17260516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051644" name="Picture 172605164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30900" cy="5892800"/>
                    </a:xfrm>
                    <a:prstGeom prst="rect">
                      <a:avLst/>
                    </a:prstGeom>
                  </pic:spPr>
                </pic:pic>
              </a:graphicData>
            </a:graphic>
          </wp:inline>
        </w:drawing>
      </w:r>
    </w:p>
    <w:p w14:paraId="36903458" w14:textId="77777777" w:rsidR="003B4964" w:rsidRDefault="003B4964" w:rsidP="003B4964">
      <w:pPr>
        <w:jc w:val="both"/>
        <w:rPr>
          <w:rFonts w:ascii="Arial" w:hAnsi="Arial" w:cs="Arial"/>
          <w:b/>
          <w:bCs/>
          <w:sz w:val="22"/>
          <w:szCs w:val="22"/>
        </w:rPr>
      </w:pPr>
      <w:r>
        <w:rPr>
          <w:rFonts w:ascii="Arial" w:hAnsi="Arial" w:cs="Arial"/>
          <w:b/>
          <w:bCs/>
          <w:sz w:val="22"/>
          <w:szCs w:val="22"/>
        </w:rPr>
        <w:t xml:space="preserve">Supplemental Figure 3. Spectral flow cytometry gating strategy for NK and T cells. (A) </w:t>
      </w:r>
      <w:r w:rsidRPr="009B1CBD">
        <w:rPr>
          <w:rFonts w:ascii="Arial" w:hAnsi="Arial" w:cs="Arial"/>
          <w:sz w:val="22"/>
          <w:szCs w:val="22"/>
        </w:rPr>
        <w:t>General gating to identify myeloid cells, B cells, T cells, NK cells, CD8 T cells, CD4 T cells and GD T cells.</w:t>
      </w:r>
      <w:r>
        <w:rPr>
          <w:rFonts w:ascii="Arial" w:hAnsi="Arial" w:cs="Arial"/>
          <w:b/>
          <w:bCs/>
          <w:sz w:val="22"/>
          <w:szCs w:val="22"/>
        </w:rPr>
        <w:t xml:space="preserve"> (B) </w:t>
      </w:r>
      <w:r w:rsidRPr="009B1CBD">
        <w:rPr>
          <w:rFonts w:ascii="Arial" w:hAnsi="Arial" w:cs="Arial"/>
          <w:sz w:val="22"/>
          <w:szCs w:val="22"/>
        </w:rPr>
        <w:t>NK cell strategy to define adaptive NK cells as Ly49H+ KLRG1+Ly6c+ and common maturation, tissue residency, and activation markers.</w:t>
      </w:r>
      <w:r>
        <w:rPr>
          <w:rFonts w:ascii="Arial" w:hAnsi="Arial" w:cs="Arial"/>
          <w:b/>
          <w:bCs/>
          <w:sz w:val="22"/>
          <w:szCs w:val="22"/>
        </w:rPr>
        <w:t xml:space="preserve"> (C) </w:t>
      </w:r>
      <w:r w:rsidRPr="009B1CBD">
        <w:rPr>
          <w:rFonts w:ascii="Arial" w:hAnsi="Arial" w:cs="Arial"/>
          <w:sz w:val="22"/>
          <w:szCs w:val="22"/>
        </w:rPr>
        <w:t xml:space="preserve">Gating strategy for identifying memory inflated CD8 T cells, </w:t>
      </w:r>
      <w:proofErr w:type="spellStart"/>
      <w:r w:rsidRPr="009B1CBD">
        <w:rPr>
          <w:rFonts w:ascii="Arial" w:hAnsi="Arial" w:cs="Arial"/>
          <w:sz w:val="22"/>
          <w:szCs w:val="22"/>
        </w:rPr>
        <w:t>γδ</w:t>
      </w:r>
      <w:proofErr w:type="spellEnd"/>
      <w:r w:rsidRPr="009B1CBD">
        <w:rPr>
          <w:rFonts w:ascii="Arial" w:hAnsi="Arial" w:cs="Arial"/>
          <w:sz w:val="22"/>
          <w:szCs w:val="22"/>
        </w:rPr>
        <w:t xml:space="preserve"> T cells, and NKG2D+ T cells in both lineages</w:t>
      </w:r>
      <w:r>
        <w:rPr>
          <w:rFonts w:ascii="Arial" w:hAnsi="Arial" w:cs="Arial"/>
          <w:b/>
          <w:bCs/>
          <w:sz w:val="22"/>
          <w:szCs w:val="22"/>
        </w:rPr>
        <w:t xml:space="preserve">. </w:t>
      </w:r>
    </w:p>
    <w:p w14:paraId="5534F287" w14:textId="77777777" w:rsidR="003B4964" w:rsidRDefault="003B4964" w:rsidP="003B4964">
      <w:pPr>
        <w:pageBreakBefore/>
        <w:rPr>
          <w:rFonts w:ascii="Arial" w:hAnsi="Arial" w:cs="Arial"/>
          <w:b/>
          <w:bCs/>
          <w:sz w:val="22"/>
          <w:szCs w:val="22"/>
        </w:rPr>
      </w:pPr>
    </w:p>
    <w:p w14:paraId="6B4907B9" w14:textId="77777777" w:rsidR="003B4964" w:rsidRDefault="003B4964" w:rsidP="003B4964">
      <w:pPr>
        <w:rPr>
          <w:rFonts w:ascii="Arial" w:hAnsi="Arial" w:cs="Arial"/>
          <w:b/>
          <w:bCs/>
          <w:sz w:val="22"/>
          <w:szCs w:val="22"/>
        </w:rPr>
      </w:pPr>
      <w:r>
        <w:rPr>
          <w:rFonts w:ascii="Arial" w:hAnsi="Arial" w:cs="Arial"/>
          <w:b/>
          <w:bCs/>
          <w:noProof/>
          <w:sz w:val="22"/>
          <w:szCs w:val="22"/>
        </w:rPr>
        <w:drawing>
          <wp:inline distT="0" distB="0" distL="0" distR="0" wp14:anchorId="19E2C015" wp14:editId="2AEF99EE">
            <wp:extent cx="5943600" cy="6413500"/>
            <wp:effectExtent l="0" t="0" r="0" b="0"/>
            <wp:docPr id="1077164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164506" name="Picture 107716450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6413500"/>
                    </a:xfrm>
                    <a:prstGeom prst="rect">
                      <a:avLst/>
                    </a:prstGeom>
                  </pic:spPr>
                </pic:pic>
              </a:graphicData>
            </a:graphic>
          </wp:inline>
        </w:drawing>
      </w:r>
    </w:p>
    <w:p w14:paraId="6BBA2683" w14:textId="77777777" w:rsidR="003B4964" w:rsidRPr="00A86610" w:rsidRDefault="003B4964" w:rsidP="003B4964">
      <w:pPr>
        <w:jc w:val="both"/>
        <w:rPr>
          <w:rFonts w:ascii="Arial" w:hAnsi="Arial" w:cs="Arial"/>
          <w:b/>
          <w:bCs/>
          <w:sz w:val="22"/>
          <w:szCs w:val="22"/>
        </w:rPr>
      </w:pPr>
      <w:r>
        <w:rPr>
          <w:rFonts w:ascii="Arial" w:hAnsi="Arial" w:cs="Arial"/>
          <w:b/>
          <w:bCs/>
          <w:sz w:val="22"/>
          <w:szCs w:val="22"/>
        </w:rPr>
        <w:t xml:space="preserve">Supplemental Figure 4. Immune cell frequencies and counts following sham or IRI in mock or latently </w:t>
      </w:r>
      <w:proofErr w:type="spellStart"/>
      <w:r>
        <w:rPr>
          <w:rFonts w:ascii="Arial" w:hAnsi="Arial" w:cs="Arial"/>
          <w:b/>
          <w:bCs/>
          <w:sz w:val="22"/>
          <w:szCs w:val="22"/>
        </w:rPr>
        <w:t>mCMV</w:t>
      </w:r>
      <w:proofErr w:type="spellEnd"/>
      <w:r>
        <w:rPr>
          <w:rFonts w:ascii="Arial" w:hAnsi="Arial" w:cs="Arial"/>
          <w:b/>
          <w:bCs/>
          <w:sz w:val="22"/>
          <w:szCs w:val="22"/>
        </w:rPr>
        <w:t xml:space="preserve"> infected mice. </w:t>
      </w:r>
      <w:r w:rsidRPr="008F10A9">
        <w:rPr>
          <w:rFonts w:ascii="Arial" w:hAnsi="Arial" w:cs="Arial"/>
          <w:sz w:val="22"/>
          <w:szCs w:val="22"/>
        </w:rPr>
        <w:t>In the latent mouse CMV versus mock infection model, we performed IRI or procedures and collected lungs at 6 hours and 60 days for quantification of</w:t>
      </w:r>
      <w:r>
        <w:rPr>
          <w:rFonts w:ascii="Arial" w:hAnsi="Arial" w:cs="Arial"/>
          <w:sz w:val="22"/>
          <w:szCs w:val="22"/>
        </w:rPr>
        <w:t>:</w:t>
      </w:r>
      <w:r w:rsidRPr="008F10A9">
        <w:rPr>
          <w:rFonts w:ascii="Arial" w:hAnsi="Arial" w:cs="Arial"/>
          <w:sz w:val="22"/>
          <w:szCs w:val="22"/>
        </w:rPr>
        <w:t xml:space="preserve"> </w:t>
      </w:r>
      <w:r w:rsidRPr="008F10A9">
        <w:rPr>
          <w:rFonts w:ascii="Arial" w:hAnsi="Arial" w:cs="Arial"/>
          <w:b/>
          <w:bCs/>
          <w:sz w:val="22"/>
          <w:szCs w:val="22"/>
        </w:rPr>
        <w:t>(A)</w:t>
      </w:r>
      <w:r w:rsidRPr="008F10A9">
        <w:rPr>
          <w:rFonts w:ascii="Arial" w:hAnsi="Arial" w:cs="Arial"/>
          <w:sz w:val="22"/>
          <w:szCs w:val="22"/>
        </w:rPr>
        <w:t xml:space="preserve"> percentage of B cells relative to live lymphocyte, </w:t>
      </w:r>
      <w:r w:rsidRPr="008F10A9">
        <w:rPr>
          <w:rFonts w:ascii="Arial" w:hAnsi="Arial" w:cs="Arial"/>
          <w:b/>
          <w:bCs/>
          <w:sz w:val="22"/>
          <w:szCs w:val="22"/>
        </w:rPr>
        <w:t>(B)</w:t>
      </w:r>
      <w:r>
        <w:rPr>
          <w:rFonts w:ascii="Arial" w:hAnsi="Arial" w:cs="Arial"/>
          <w:b/>
          <w:bCs/>
          <w:sz w:val="22"/>
          <w:szCs w:val="22"/>
        </w:rPr>
        <w:t xml:space="preserve"> </w:t>
      </w:r>
      <w:r w:rsidRPr="008F10A9">
        <w:rPr>
          <w:rFonts w:ascii="Arial" w:hAnsi="Arial" w:cs="Arial"/>
          <w:sz w:val="22"/>
          <w:szCs w:val="22"/>
        </w:rPr>
        <w:t xml:space="preserve">total B cells, </w:t>
      </w:r>
      <w:r w:rsidRPr="008F10A9">
        <w:rPr>
          <w:rFonts w:ascii="Arial" w:hAnsi="Arial" w:cs="Arial"/>
          <w:b/>
          <w:bCs/>
          <w:sz w:val="22"/>
          <w:szCs w:val="22"/>
        </w:rPr>
        <w:t>(C</w:t>
      </w:r>
      <w:r>
        <w:rPr>
          <w:rFonts w:ascii="Arial" w:hAnsi="Arial" w:cs="Arial"/>
          <w:b/>
          <w:bCs/>
          <w:sz w:val="22"/>
          <w:szCs w:val="22"/>
        </w:rPr>
        <w:t xml:space="preserve">) </w:t>
      </w:r>
      <w:r w:rsidRPr="008F10A9">
        <w:rPr>
          <w:rFonts w:ascii="Arial" w:hAnsi="Arial" w:cs="Arial"/>
          <w:sz w:val="22"/>
          <w:szCs w:val="22"/>
        </w:rPr>
        <w:t xml:space="preserve">percentage of </w:t>
      </w:r>
      <w:r>
        <w:rPr>
          <w:rFonts w:ascii="Arial" w:hAnsi="Arial" w:cs="Arial"/>
          <w:sz w:val="22"/>
          <w:szCs w:val="22"/>
        </w:rPr>
        <w:t>macrophages</w:t>
      </w:r>
      <w:r w:rsidRPr="008F10A9">
        <w:rPr>
          <w:rFonts w:ascii="Arial" w:hAnsi="Arial" w:cs="Arial"/>
          <w:sz w:val="22"/>
          <w:szCs w:val="22"/>
        </w:rPr>
        <w:t xml:space="preserve"> relative to live </w:t>
      </w:r>
      <w:r>
        <w:rPr>
          <w:rFonts w:ascii="Arial" w:hAnsi="Arial" w:cs="Arial"/>
          <w:sz w:val="22"/>
          <w:szCs w:val="22"/>
        </w:rPr>
        <w:t>leukocytes</w:t>
      </w:r>
      <w:r w:rsidRPr="008F10A9">
        <w:rPr>
          <w:rFonts w:ascii="Arial" w:hAnsi="Arial" w:cs="Arial"/>
          <w:sz w:val="22"/>
          <w:szCs w:val="22"/>
        </w:rPr>
        <w:t xml:space="preserve">, </w:t>
      </w:r>
      <w:r w:rsidRPr="008F10A9">
        <w:rPr>
          <w:rFonts w:ascii="Arial" w:hAnsi="Arial" w:cs="Arial"/>
          <w:b/>
          <w:bCs/>
          <w:sz w:val="22"/>
          <w:szCs w:val="22"/>
        </w:rPr>
        <w:t>(D)</w:t>
      </w:r>
      <w:r w:rsidRPr="008F10A9">
        <w:rPr>
          <w:rFonts w:ascii="Arial" w:hAnsi="Arial" w:cs="Arial"/>
          <w:sz w:val="22"/>
          <w:szCs w:val="22"/>
        </w:rPr>
        <w:t xml:space="preserve"> total </w:t>
      </w:r>
      <w:r>
        <w:rPr>
          <w:rFonts w:ascii="Arial" w:hAnsi="Arial" w:cs="Arial"/>
          <w:sz w:val="22"/>
          <w:szCs w:val="22"/>
        </w:rPr>
        <w:t xml:space="preserve">macrophages, </w:t>
      </w:r>
      <w:r w:rsidRPr="008F10A9">
        <w:rPr>
          <w:rFonts w:ascii="Arial" w:hAnsi="Arial" w:cs="Arial"/>
          <w:b/>
          <w:bCs/>
          <w:sz w:val="22"/>
          <w:szCs w:val="22"/>
        </w:rPr>
        <w:t>(E)</w:t>
      </w:r>
      <w:r w:rsidRPr="00DF723F">
        <w:rPr>
          <w:rFonts w:ascii="Arial" w:hAnsi="Arial" w:cs="Arial"/>
          <w:sz w:val="22"/>
          <w:szCs w:val="22"/>
        </w:rPr>
        <w:t xml:space="preserve"> </w:t>
      </w:r>
      <w:r w:rsidRPr="008F10A9">
        <w:rPr>
          <w:rFonts w:ascii="Arial" w:hAnsi="Arial" w:cs="Arial"/>
          <w:sz w:val="22"/>
          <w:szCs w:val="22"/>
        </w:rPr>
        <w:t xml:space="preserve">percentage of </w:t>
      </w:r>
      <w:r>
        <w:rPr>
          <w:rFonts w:ascii="Arial" w:hAnsi="Arial" w:cs="Arial"/>
          <w:sz w:val="22"/>
          <w:szCs w:val="22"/>
        </w:rPr>
        <w:t>T</w:t>
      </w:r>
      <w:r w:rsidRPr="008F10A9">
        <w:rPr>
          <w:rFonts w:ascii="Arial" w:hAnsi="Arial" w:cs="Arial"/>
          <w:sz w:val="22"/>
          <w:szCs w:val="22"/>
        </w:rPr>
        <w:t xml:space="preserve"> cells relative to live lymphocytes</w:t>
      </w:r>
      <w:r>
        <w:rPr>
          <w:rFonts w:ascii="Arial" w:hAnsi="Arial" w:cs="Arial"/>
          <w:sz w:val="22"/>
          <w:szCs w:val="22"/>
        </w:rPr>
        <w:t xml:space="preserve">, </w:t>
      </w:r>
      <w:r w:rsidRPr="008F10A9">
        <w:rPr>
          <w:rFonts w:ascii="Arial" w:hAnsi="Arial" w:cs="Arial"/>
          <w:b/>
          <w:bCs/>
          <w:sz w:val="22"/>
          <w:szCs w:val="22"/>
        </w:rPr>
        <w:t>(F)</w:t>
      </w:r>
      <w:r w:rsidRPr="008F10A9">
        <w:rPr>
          <w:rFonts w:ascii="Arial" w:hAnsi="Arial" w:cs="Arial"/>
          <w:sz w:val="22"/>
          <w:szCs w:val="22"/>
        </w:rPr>
        <w:t xml:space="preserve"> total </w:t>
      </w:r>
      <w:r>
        <w:rPr>
          <w:rFonts w:ascii="Arial" w:hAnsi="Arial" w:cs="Arial"/>
          <w:sz w:val="22"/>
          <w:szCs w:val="22"/>
        </w:rPr>
        <w:t>T</w:t>
      </w:r>
      <w:r w:rsidRPr="008F10A9">
        <w:rPr>
          <w:rFonts w:ascii="Arial" w:hAnsi="Arial" w:cs="Arial"/>
          <w:sz w:val="22"/>
          <w:szCs w:val="22"/>
        </w:rPr>
        <w:t xml:space="preserve"> cells,</w:t>
      </w:r>
      <w:r>
        <w:rPr>
          <w:rFonts w:ascii="Arial" w:hAnsi="Arial" w:cs="Arial"/>
          <w:sz w:val="22"/>
          <w:szCs w:val="22"/>
        </w:rPr>
        <w:t xml:space="preserve"> </w:t>
      </w:r>
      <w:r w:rsidRPr="008F10A9">
        <w:rPr>
          <w:rFonts w:ascii="Arial" w:hAnsi="Arial" w:cs="Arial"/>
          <w:b/>
          <w:bCs/>
          <w:sz w:val="22"/>
          <w:szCs w:val="22"/>
        </w:rPr>
        <w:t>(G)</w:t>
      </w:r>
      <w:r w:rsidRPr="00DF723F">
        <w:rPr>
          <w:rFonts w:ascii="Arial" w:hAnsi="Arial" w:cs="Arial"/>
          <w:sz w:val="22"/>
          <w:szCs w:val="22"/>
        </w:rPr>
        <w:t xml:space="preserve"> </w:t>
      </w:r>
      <w:r>
        <w:rPr>
          <w:rFonts w:ascii="Arial" w:hAnsi="Arial" w:cs="Arial"/>
          <w:sz w:val="22"/>
          <w:szCs w:val="22"/>
        </w:rPr>
        <w:t>the</w:t>
      </w:r>
      <w:r w:rsidRPr="008F10A9">
        <w:rPr>
          <w:rFonts w:ascii="Arial" w:hAnsi="Arial" w:cs="Arial"/>
          <w:sz w:val="22"/>
          <w:szCs w:val="22"/>
        </w:rPr>
        <w:t xml:space="preserve"> percentage of </w:t>
      </w:r>
      <w:r>
        <w:rPr>
          <w:rFonts w:ascii="Arial" w:hAnsi="Arial" w:cs="Arial"/>
          <w:sz w:val="22"/>
          <w:szCs w:val="22"/>
        </w:rPr>
        <w:t>CD4 T</w:t>
      </w:r>
      <w:r w:rsidRPr="008F10A9">
        <w:rPr>
          <w:rFonts w:ascii="Arial" w:hAnsi="Arial" w:cs="Arial"/>
          <w:sz w:val="22"/>
          <w:szCs w:val="22"/>
        </w:rPr>
        <w:t xml:space="preserve"> cells relative to live lymphocytes, </w:t>
      </w:r>
      <w:r>
        <w:rPr>
          <w:rFonts w:ascii="Arial" w:hAnsi="Arial" w:cs="Arial"/>
          <w:sz w:val="22"/>
          <w:szCs w:val="22"/>
        </w:rPr>
        <w:t xml:space="preserve">and </w:t>
      </w:r>
      <w:r w:rsidRPr="008F10A9">
        <w:rPr>
          <w:rFonts w:ascii="Arial" w:hAnsi="Arial" w:cs="Arial"/>
          <w:b/>
          <w:bCs/>
          <w:sz w:val="22"/>
          <w:szCs w:val="22"/>
        </w:rPr>
        <w:t>(H)</w:t>
      </w:r>
      <w:r>
        <w:rPr>
          <w:rFonts w:ascii="Arial" w:hAnsi="Arial" w:cs="Arial"/>
          <w:sz w:val="22"/>
          <w:szCs w:val="22"/>
        </w:rPr>
        <w:t xml:space="preserve"> </w:t>
      </w:r>
      <w:r w:rsidRPr="008F10A9">
        <w:rPr>
          <w:rFonts w:ascii="Arial" w:hAnsi="Arial" w:cs="Arial"/>
          <w:sz w:val="22"/>
          <w:szCs w:val="22"/>
        </w:rPr>
        <w:t xml:space="preserve">total </w:t>
      </w:r>
      <w:r>
        <w:rPr>
          <w:rFonts w:ascii="Arial" w:hAnsi="Arial" w:cs="Arial"/>
          <w:sz w:val="22"/>
          <w:szCs w:val="22"/>
        </w:rPr>
        <w:t>CD4 T</w:t>
      </w:r>
      <w:r w:rsidRPr="008F10A9">
        <w:rPr>
          <w:rFonts w:ascii="Arial" w:hAnsi="Arial" w:cs="Arial"/>
          <w:sz w:val="22"/>
          <w:szCs w:val="22"/>
        </w:rPr>
        <w:t xml:space="preserve"> cells</w:t>
      </w:r>
      <w:r>
        <w:rPr>
          <w:rFonts w:ascii="Arial" w:hAnsi="Arial" w:cs="Arial"/>
          <w:sz w:val="22"/>
          <w:szCs w:val="22"/>
        </w:rPr>
        <w:t>.</w:t>
      </w:r>
      <w:r w:rsidRPr="00C3311D">
        <w:rPr>
          <w:rFonts w:ascii="Arial" w:hAnsi="Arial" w:cs="Arial"/>
          <w:sz w:val="22"/>
          <w:szCs w:val="22"/>
        </w:rPr>
        <w:t xml:space="preserve">  Each dot represents an individual sample, box plots show median with </w:t>
      </w:r>
      <w:r w:rsidRPr="00C3311D">
        <w:rPr>
          <w:rFonts w:ascii="Arial" w:hAnsi="Arial" w:cs="Arial"/>
          <w:sz w:val="22"/>
          <w:szCs w:val="22"/>
        </w:rPr>
        <w:lastRenderedPageBreak/>
        <w:t>interquartile range, and whiskers indicate minimum–maximum values.   Statistical significance was determined with Mann Whitney U-testing adjusted with the Benjamini-Hochberg approach, with findings indicated by brackets with asterisks (*p &lt; 0.05, **p &lt; 0.01).</w:t>
      </w:r>
    </w:p>
    <w:p w14:paraId="5F64556A" w14:textId="77777777" w:rsidR="003B4964" w:rsidRPr="007A2DC7" w:rsidRDefault="003B4964" w:rsidP="003B4964">
      <w:pPr>
        <w:pageBreakBefore/>
        <w:rPr>
          <w:rFonts w:ascii="Arial" w:hAnsi="Arial" w:cs="Arial"/>
          <w:b/>
          <w:bCs/>
          <w:sz w:val="22"/>
          <w:szCs w:val="22"/>
        </w:rPr>
      </w:pPr>
    </w:p>
    <w:p w14:paraId="272DBE04" w14:textId="77777777" w:rsidR="003B4964" w:rsidRDefault="003B4964" w:rsidP="003B4964">
      <w:pPr>
        <w:rPr>
          <w:rFonts w:ascii="Arial" w:hAnsi="Arial" w:cs="Arial"/>
          <w:b/>
          <w:bCs/>
          <w:sz w:val="22"/>
          <w:szCs w:val="22"/>
        </w:rPr>
      </w:pPr>
      <w:r>
        <w:rPr>
          <w:rFonts w:ascii="Arial" w:hAnsi="Arial" w:cs="Arial"/>
          <w:b/>
          <w:bCs/>
          <w:noProof/>
          <w:sz w:val="22"/>
          <w:szCs w:val="22"/>
        </w:rPr>
        <w:drawing>
          <wp:inline distT="0" distB="0" distL="0" distR="0" wp14:anchorId="44F1110F" wp14:editId="6F283EDE">
            <wp:extent cx="5918200" cy="5969000"/>
            <wp:effectExtent l="0" t="0" r="0" b="0"/>
            <wp:docPr id="20032761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276109" name="Picture 200327610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0" cy="5969000"/>
                    </a:xfrm>
                    <a:prstGeom prst="rect">
                      <a:avLst/>
                    </a:prstGeom>
                  </pic:spPr>
                </pic:pic>
              </a:graphicData>
            </a:graphic>
          </wp:inline>
        </w:drawing>
      </w:r>
    </w:p>
    <w:p w14:paraId="20DF789F" w14:textId="77777777" w:rsidR="003B4964" w:rsidRDefault="003B4964" w:rsidP="003B4964">
      <w:pPr>
        <w:jc w:val="both"/>
        <w:rPr>
          <w:rFonts w:ascii="Arial" w:hAnsi="Arial" w:cs="Arial"/>
          <w:sz w:val="22"/>
          <w:szCs w:val="22"/>
        </w:rPr>
      </w:pPr>
      <w:r>
        <w:rPr>
          <w:rFonts w:ascii="Arial" w:hAnsi="Arial" w:cs="Arial"/>
          <w:b/>
          <w:bCs/>
          <w:sz w:val="22"/>
          <w:szCs w:val="22"/>
        </w:rPr>
        <w:t xml:space="preserve">Supplemental </w:t>
      </w:r>
      <w:r w:rsidRPr="0097189A">
        <w:rPr>
          <w:rFonts w:ascii="Arial" w:hAnsi="Arial" w:cs="Arial"/>
          <w:b/>
          <w:bCs/>
          <w:sz w:val="22"/>
          <w:szCs w:val="22"/>
        </w:rPr>
        <w:t xml:space="preserve">Figure </w:t>
      </w:r>
      <w:r>
        <w:rPr>
          <w:rFonts w:ascii="Arial" w:hAnsi="Arial" w:cs="Arial"/>
          <w:b/>
          <w:bCs/>
          <w:sz w:val="22"/>
          <w:szCs w:val="22"/>
        </w:rPr>
        <w:t>5</w:t>
      </w:r>
      <w:r w:rsidRPr="0097189A">
        <w:rPr>
          <w:rFonts w:ascii="Arial" w:hAnsi="Arial" w:cs="Arial"/>
          <w:b/>
          <w:bCs/>
          <w:sz w:val="22"/>
          <w:szCs w:val="22"/>
        </w:rPr>
        <w:t xml:space="preserve">. CD8 and </w:t>
      </w:r>
      <w:proofErr w:type="spellStart"/>
      <w:r w:rsidRPr="0097189A">
        <w:rPr>
          <w:rFonts w:ascii="Arial" w:hAnsi="Arial" w:cs="Arial"/>
          <w:b/>
          <w:bCs/>
          <w:sz w:val="22"/>
          <w:szCs w:val="22"/>
        </w:rPr>
        <w:t>γδ</w:t>
      </w:r>
      <w:proofErr w:type="spellEnd"/>
      <w:r w:rsidRPr="0097189A">
        <w:rPr>
          <w:rFonts w:ascii="Arial" w:hAnsi="Arial" w:cs="Arial"/>
          <w:b/>
          <w:bCs/>
          <w:sz w:val="22"/>
          <w:szCs w:val="22"/>
        </w:rPr>
        <w:t xml:space="preserve"> T cells are increased after IRI and CMV </w:t>
      </w:r>
      <w:proofErr w:type="gramStart"/>
      <w:r w:rsidRPr="0097189A">
        <w:rPr>
          <w:rFonts w:ascii="Arial" w:hAnsi="Arial" w:cs="Arial"/>
          <w:b/>
          <w:bCs/>
          <w:sz w:val="22"/>
          <w:szCs w:val="22"/>
        </w:rPr>
        <w:t>reactivation</w:t>
      </w:r>
      <w:proofErr w:type="gramEnd"/>
      <w:r w:rsidRPr="0097189A">
        <w:rPr>
          <w:rFonts w:ascii="Arial" w:hAnsi="Arial" w:cs="Arial"/>
          <w:b/>
          <w:bCs/>
          <w:sz w:val="22"/>
          <w:szCs w:val="22"/>
        </w:rPr>
        <w:t xml:space="preserve"> but memory inflation is CMV and not injury dependent. </w:t>
      </w:r>
      <w:r w:rsidRPr="0097189A">
        <w:rPr>
          <w:rStyle w:val="Strong"/>
          <w:rFonts w:ascii="Arial" w:eastAsiaTheme="majorEastAsia" w:hAnsi="Arial" w:cs="Arial"/>
          <w:sz w:val="22"/>
          <w:szCs w:val="22"/>
        </w:rPr>
        <w:t>(A)</w:t>
      </w:r>
      <w:r w:rsidRPr="0097189A">
        <w:rPr>
          <w:rFonts w:ascii="Arial" w:hAnsi="Arial" w:cs="Arial"/>
          <w:sz w:val="22"/>
          <w:szCs w:val="22"/>
        </w:rPr>
        <w:t xml:space="preserve"> </w:t>
      </w:r>
      <w:r w:rsidRPr="00627F59">
        <w:rPr>
          <w:rFonts w:ascii="Arial" w:hAnsi="Arial" w:cs="Arial"/>
          <w:sz w:val="22"/>
          <w:szCs w:val="22"/>
        </w:rPr>
        <w:t xml:space="preserve">Schematic of the </w:t>
      </w:r>
      <w:r>
        <w:rPr>
          <w:rFonts w:ascii="Arial" w:hAnsi="Arial" w:cs="Arial"/>
          <w:sz w:val="22"/>
          <w:szCs w:val="22"/>
        </w:rPr>
        <w:t>mouse</w:t>
      </w:r>
      <w:r w:rsidRPr="00627F59">
        <w:rPr>
          <w:rFonts w:ascii="Arial" w:hAnsi="Arial" w:cs="Arial"/>
          <w:sz w:val="22"/>
          <w:szCs w:val="22"/>
        </w:rPr>
        <w:t xml:space="preserve"> IRI model of </w:t>
      </w:r>
      <w:proofErr w:type="spellStart"/>
      <w:r w:rsidRPr="00627F59">
        <w:rPr>
          <w:rFonts w:ascii="Arial" w:hAnsi="Arial" w:cs="Arial"/>
          <w:sz w:val="22"/>
          <w:szCs w:val="22"/>
        </w:rPr>
        <w:t>mCMV</w:t>
      </w:r>
      <w:proofErr w:type="spellEnd"/>
      <w:r w:rsidRPr="00627F59">
        <w:rPr>
          <w:rFonts w:ascii="Arial" w:hAnsi="Arial" w:cs="Arial"/>
          <w:sz w:val="22"/>
          <w:szCs w:val="22"/>
        </w:rPr>
        <w:t xml:space="preserve"> reactivation</w:t>
      </w:r>
      <w:r>
        <w:rPr>
          <w:rFonts w:ascii="Arial" w:hAnsi="Arial" w:cs="Arial"/>
          <w:sz w:val="22"/>
          <w:szCs w:val="22"/>
        </w:rPr>
        <w:t xml:space="preserve">. </w:t>
      </w:r>
      <w:r w:rsidRPr="00627F59">
        <w:rPr>
          <w:rFonts w:ascii="Arial" w:hAnsi="Arial" w:cs="Arial"/>
          <w:sz w:val="22"/>
          <w:szCs w:val="22"/>
        </w:rPr>
        <w:t xml:space="preserve">Latently infected or mock-infected C57BL/6 mice underwent </w:t>
      </w:r>
      <w:r>
        <w:rPr>
          <w:rFonts w:ascii="Arial" w:hAnsi="Arial" w:cs="Arial"/>
          <w:sz w:val="22"/>
          <w:szCs w:val="22"/>
        </w:rPr>
        <w:t>lung</w:t>
      </w:r>
      <w:r w:rsidRPr="00627F59">
        <w:rPr>
          <w:rFonts w:ascii="Arial" w:hAnsi="Arial" w:cs="Arial"/>
          <w:sz w:val="22"/>
          <w:szCs w:val="22"/>
        </w:rPr>
        <w:t xml:space="preserve"> </w:t>
      </w:r>
      <w:proofErr w:type="gramStart"/>
      <w:r w:rsidRPr="00627F59">
        <w:rPr>
          <w:rFonts w:ascii="Arial" w:hAnsi="Arial" w:cs="Arial"/>
          <w:sz w:val="22"/>
          <w:szCs w:val="22"/>
        </w:rPr>
        <w:t>IRI</w:t>
      </w:r>
      <w:proofErr w:type="gramEnd"/>
      <w:r w:rsidRPr="00627F59">
        <w:rPr>
          <w:rFonts w:ascii="Arial" w:hAnsi="Arial" w:cs="Arial"/>
          <w:sz w:val="22"/>
          <w:szCs w:val="22"/>
        </w:rPr>
        <w:t xml:space="preserve"> or sham surgery and </w:t>
      </w:r>
      <w:r>
        <w:rPr>
          <w:rFonts w:ascii="Arial" w:hAnsi="Arial" w:cs="Arial"/>
          <w:sz w:val="22"/>
          <w:szCs w:val="22"/>
        </w:rPr>
        <w:t>endpoints were collected</w:t>
      </w:r>
      <w:r w:rsidRPr="00627F59">
        <w:rPr>
          <w:rFonts w:ascii="Arial" w:hAnsi="Arial" w:cs="Arial"/>
          <w:sz w:val="22"/>
          <w:szCs w:val="22"/>
        </w:rPr>
        <w:t xml:space="preserve"> 6 hours or 60 days </w:t>
      </w:r>
      <w:r>
        <w:rPr>
          <w:rFonts w:ascii="Arial" w:hAnsi="Arial" w:cs="Arial"/>
          <w:sz w:val="22"/>
          <w:szCs w:val="22"/>
        </w:rPr>
        <w:t>after procedures</w:t>
      </w:r>
      <w:r w:rsidRPr="00627F59">
        <w:rPr>
          <w:rFonts w:ascii="Arial" w:hAnsi="Arial" w:cs="Arial"/>
          <w:sz w:val="22"/>
          <w:szCs w:val="22"/>
        </w:rPr>
        <w:t>.</w:t>
      </w:r>
      <w:r>
        <w:rPr>
          <w:rFonts w:ascii="Arial" w:hAnsi="Arial" w:cs="Arial"/>
          <w:sz w:val="22"/>
          <w:szCs w:val="22"/>
        </w:rPr>
        <w:t xml:space="preserve"> Across </w:t>
      </w:r>
      <w:proofErr w:type="spellStart"/>
      <w:r>
        <w:rPr>
          <w:rFonts w:ascii="Arial" w:hAnsi="Arial" w:cs="Arial"/>
          <w:sz w:val="22"/>
          <w:szCs w:val="22"/>
        </w:rPr>
        <w:t>mCMV</w:t>
      </w:r>
      <w:proofErr w:type="spellEnd"/>
      <w:r>
        <w:rPr>
          <w:rFonts w:ascii="Arial" w:hAnsi="Arial" w:cs="Arial"/>
          <w:sz w:val="22"/>
          <w:szCs w:val="22"/>
        </w:rPr>
        <w:t xml:space="preserve"> and IRI groups, lung T cells were quantified.  </w:t>
      </w:r>
      <w:r w:rsidRPr="001431C8">
        <w:rPr>
          <w:rStyle w:val="Strong"/>
          <w:rFonts w:ascii="Arial" w:eastAsiaTheme="majorEastAsia" w:hAnsi="Arial" w:cs="Arial"/>
          <w:b w:val="0"/>
          <w:bCs w:val="0"/>
          <w:sz w:val="22"/>
          <w:szCs w:val="22"/>
        </w:rPr>
        <w:t>CD8</w:t>
      </w:r>
      <w:r>
        <w:rPr>
          <w:rStyle w:val="Strong"/>
          <w:rFonts w:ascii="Arial" w:eastAsiaTheme="majorEastAsia" w:hAnsi="Arial" w:cs="Arial"/>
          <w:b w:val="0"/>
          <w:bCs w:val="0"/>
          <w:sz w:val="22"/>
          <w:szCs w:val="22"/>
        </w:rPr>
        <w:t xml:space="preserve"> T cells are shown as </w:t>
      </w:r>
      <w:r w:rsidRPr="00896983">
        <w:rPr>
          <w:rStyle w:val="Strong"/>
          <w:rFonts w:ascii="Arial" w:eastAsiaTheme="majorEastAsia" w:hAnsi="Arial" w:cs="Arial"/>
          <w:sz w:val="22"/>
          <w:szCs w:val="22"/>
        </w:rPr>
        <w:t>(B)</w:t>
      </w:r>
      <w:r>
        <w:rPr>
          <w:rStyle w:val="Strong"/>
          <w:rFonts w:ascii="Arial" w:eastAsiaTheme="majorEastAsia" w:hAnsi="Arial" w:cs="Arial"/>
          <w:b w:val="0"/>
          <w:bCs w:val="0"/>
          <w:sz w:val="22"/>
          <w:szCs w:val="22"/>
        </w:rPr>
        <w:t xml:space="preserve"> a percentage of total viable lymphocytes, </w:t>
      </w:r>
      <w:r w:rsidRPr="00896983">
        <w:rPr>
          <w:rStyle w:val="Strong"/>
          <w:rFonts w:ascii="Arial" w:eastAsiaTheme="majorEastAsia" w:hAnsi="Arial" w:cs="Arial"/>
          <w:sz w:val="22"/>
          <w:szCs w:val="22"/>
        </w:rPr>
        <w:t xml:space="preserve">(C) </w:t>
      </w:r>
      <w:r>
        <w:rPr>
          <w:rStyle w:val="Strong"/>
          <w:rFonts w:ascii="Arial" w:eastAsiaTheme="majorEastAsia" w:hAnsi="Arial" w:cs="Arial"/>
          <w:b w:val="0"/>
          <w:bCs w:val="0"/>
          <w:sz w:val="22"/>
          <w:szCs w:val="22"/>
        </w:rPr>
        <w:t xml:space="preserve">in absolute counts relative to total cells, and as </w:t>
      </w:r>
      <w:r w:rsidRPr="00896983">
        <w:rPr>
          <w:rStyle w:val="Strong"/>
          <w:rFonts w:ascii="Arial" w:eastAsiaTheme="majorEastAsia" w:hAnsi="Arial" w:cs="Arial"/>
          <w:sz w:val="22"/>
          <w:szCs w:val="22"/>
        </w:rPr>
        <w:t>(D)</w:t>
      </w:r>
      <w:r>
        <w:rPr>
          <w:rStyle w:val="Strong"/>
          <w:rFonts w:ascii="Arial" w:eastAsiaTheme="majorEastAsia" w:hAnsi="Arial" w:cs="Arial"/>
          <w:b w:val="0"/>
          <w:bCs w:val="0"/>
          <w:sz w:val="22"/>
          <w:szCs w:val="22"/>
        </w:rPr>
        <w:t xml:space="preserve"> </w:t>
      </w:r>
      <w:r>
        <w:rPr>
          <w:rFonts w:ascii="Arial" w:hAnsi="Arial" w:cs="Arial"/>
          <w:sz w:val="22"/>
          <w:szCs w:val="22"/>
        </w:rPr>
        <w:t>i</w:t>
      </w:r>
      <w:r w:rsidRPr="0097189A">
        <w:rPr>
          <w:rFonts w:ascii="Arial" w:hAnsi="Arial" w:cs="Arial"/>
          <w:sz w:val="22"/>
          <w:szCs w:val="22"/>
        </w:rPr>
        <w:t>ndividual animal stacked bar plots depicting the relative frequencies of memory subsets</w:t>
      </w:r>
      <w:r>
        <w:rPr>
          <w:rStyle w:val="Strong"/>
          <w:rFonts w:ascii="Arial" w:eastAsiaTheme="majorEastAsia" w:hAnsi="Arial" w:cs="Arial"/>
          <w:b w:val="0"/>
          <w:bCs w:val="0"/>
          <w:sz w:val="22"/>
          <w:szCs w:val="22"/>
        </w:rPr>
        <w:t>.</w:t>
      </w:r>
      <w:r w:rsidRPr="001431C8">
        <w:rPr>
          <w:rStyle w:val="Strong"/>
          <w:rFonts w:ascii="Arial" w:eastAsiaTheme="majorEastAsia" w:hAnsi="Arial" w:cs="Arial"/>
          <w:b w:val="0"/>
          <w:bCs w:val="0"/>
          <w:sz w:val="22"/>
          <w:szCs w:val="22"/>
        </w:rPr>
        <w:t xml:space="preserve"> </w:t>
      </w:r>
      <w:r>
        <w:rPr>
          <w:rStyle w:val="Strong"/>
          <w:rFonts w:ascii="Arial" w:eastAsiaTheme="majorEastAsia" w:hAnsi="Arial" w:cs="Arial"/>
          <w:b w:val="0"/>
          <w:bCs w:val="0"/>
          <w:sz w:val="22"/>
          <w:szCs w:val="22"/>
        </w:rPr>
        <w:t xml:space="preserve"> </w:t>
      </w:r>
      <w:proofErr w:type="spellStart"/>
      <w:r w:rsidRPr="00896983">
        <w:rPr>
          <w:rFonts w:ascii="Arial" w:hAnsi="Arial" w:cs="Arial"/>
          <w:sz w:val="22"/>
          <w:szCs w:val="22"/>
        </w:rPr>
        <w:t>γδ</w:t>
      </w:r>
      <w:proofErr w:type="spellEnd"/>
      <w:r w:rsidRPr="00896983">
        <w:rPr>
          <w:rFonts w:ascii="Arial" w:hAnsi="Arial" w:cs="Arial"/>
          <w:sz w:val="22"/>
          <w:szCs w:val="22"/>
        </w:rPr>
        <w:t xml:space="preserve"> T cells were also quantified</w:t>
      </w:r>
      <w:r>
        <w:rPr>
          <w:rFonts w:ascii="Arial" w:hAnsi="Arial" w:cs="Arial"/>
          <w:b/>
          <w:bCs/>
          <w:sz w:val="22"/>
          <w:szCs w:val="22"/>
        </w:rPr>
        <w:t xml:space="preserve"> </w:t>
      </w:r>
      <w:r>
        <w:rPr>
          <w:rStyle w:val="Strong"/>
          <w:rFonts w:ascii="Arial" w:eastAsiaTheme="majorEastAsia" w:hAnsi="Arial" w:cs="Arial"/>
          <w:b w:val="0"/>
          <w:bCs w:val="0"/>
          <w:sz w:val="22"/>
          <w:szCs w:val="22"/>
        </w:rPr>
        <w:t xml:space="preserve">as </w:t>
      </w:r>
      <w:r w:rsidRPr="00896983">
        <w:rPr>
          <w:rStyle w:val="Strong"/>
          <w:rFonts w:ascii="Arial" w:eastAsiaTheme="majorEastAsia" w:hAnsi="Arial" w:cs="Arial"/>
          <w:sz w:val="22"/>
          <w:szCs w:val="22"/>
        </w:rPr>
        <w:t>(E)</w:t>
      </w:r>
      <w:r>
        <w:rPr>
          <w:rStyle w:val="Strong"/>
          <w:rFonts w:ascii="Arial" w:eastAsiaTheme="majorEastAsia" w:hAnsi="Arial" w:cs="Arial"/>
          <w:b w:val="0"/>
          <w:bCs w:val="0"/>
          <w:sz w:val="22"/>
          <w:szCs w:val="22"/>
        </w:rPr>
        <w:t xml:space="preserve"> </w:t>
      </w:r>
      <w:proofErr w:type="gramStart"/>
      <w:r>
        <w:rPr>
          <w:rStyle w:val="Strong"/>
          <w:rFonts w:ascii="Arial" w:eastAsiaTheme="majorEastAsia" w:hAnsi="Arial" w:cs="Arial"/>
          <w:b w:val="0"/>
          <w:bCs w:val="0"/>
          <w:sz w:val="22"/>
          <w:szCs w:val="22"/>
        </w:rPr>
        <w:t>a percentage</w:t>
      </w:r>
      <w:proofErr w:type="gramEnd"/>
      <w:r>
        <w:rPr>
          <w:rStyle w:val="Strong"/>
          <w:rFonts w:ascii="Arial" w:eastAsiaTheme="majorEastAsia" w:hAnsi="Arial" w:cs="Arial"/>
          <w:b w:val="0"/>
          <w:bCs w:val="0"/>
          <w:sz w:val="22"/>
          <w:szCs w:val="22"/>
        </w:rPr>
        <w:t xml:space="preserve"> of total viable lymphocytes, </w:t>
      </w:r>
      <w:r w:rsidRPr="00896983">
        <w:rPr>
          <w:rStyle w:val="Strong"/>
          <w:rFonts w:ascii="Arial" w:eastAsiaTheme="majorEastAsia" w:hAnsi="Arial" w:cs="Arial"/>
          <w:sz w:val="22"/>
          <w:szCs w:val="22"/>
        </w:rPr>
        <w:t>(F)</w:t>
      </w:r>
      <w:r>
        <w:rPr>
          <w:rStyle w:val="Strong"/>
          <w:rFonts w:ascii="Arial" w:eastAsiaTheme="majorEastAsia" w:hAnsi="Arial" w:cs="Arial"/>
          <w:b w:val="0"/>
          <w:bCs w:val="0"/>
          <w:sz w:val="22"/>
          <w:szCs w:val="22"/>
        </w:rPr>
        <w:t xml:space="preserve"> in absolute counts relative to total cells, and as </w:t>
      </w:r>
      <w:r w:rsidRPr="00896983">
        <w:rPr>
          <w:rStyle w:val="Strong"/>
          <w:rFonts w:ascii="Arial" w:eastAsiaTheme="majorEastAsia" w:hAnsi="Arial" w:cs="Arial"/>
          <w:sz w:val="22"/>
          <w:szCs w:val="22"/>
        </w:rPr>
        <w:t>(G)</w:t>
      </w:r>
      <w:r>
        <w:rPr>
          <w:rStyle w:val="Strong"/>
          <w:rFonts w:ascii="Arial" w:eastAsiaTheme="majorEastAsia" w:hAnsi="Arial" w:cs="Arial"/>
          <w:b w:val="0"/>
          <w:bCs w:val="0"/>
          <w:sz w:val="22"/>
          <w:szCs w:val="22"/>
        </w:rPr>
        <w:t xml:space="preserve"> </w:t>
      </w:r>
      <w:r>
        <w:rPr>
          <w:rFonts w:ascii="Arial" w:hAnsi="Arial" w:cs="Arial"/>
          <w:sz w:val="22"/>
          <w:szCs w:val="22"/>
        </w:rPr>
        <w:t>i</w:t>
      </w:r>
      <w:r w:rsidRPr="0097189A">
        <w:rPr>
          <w:rFonts w:ascii="Arial" w:hAnsi="Arial" w:cs="Arial"/>
          <w:sz w:val="22"/>
          <w:szCs w:val="22"/>
        </w:rPr>
        <w:t>ndividual animal stacked bar plots depicting the relative frequencies of memory subsets</w:t>
      </w:r>
      <w:r>
        <w:rPr>
          <w:rStyle w:val="Strong"/>
          <w:rFonts w:ascii="Arial" w:eastAsiaTheme="majorEastAsia" w:hAnsi="Arial" w:cs="Arial"/>
          <w:b w:val="0"/>
          <w:bCs w:val="0"/>
          <w:sz w:val="22"/>
          <w:szCs w:val="22"/>
        </w:rPr>
        <w:t xml:space="preserve">. </w:t>
      </w:r>
      <w:r w:rsidRPr="00627F59">
        <w:rPr>
          <w:rFonts w:ascii="Arial" w:hAnsi="Arial" w:cs="Arial"/>
          <w:sz w:val="22"/>
          <w:szCs w:val="22"/>
        </w:rPr>
        <w:t>Data</w:t>
      </w:r>
      <w:r>
        <w:rPr>
          <w:rFonts w:ascii="Arial" w:hAnsi="Arial" w:cs="Arial"/>
          <w:sz w:val="22"/>
          <w:szCs w:val="22"/>
        </w:rPr>
        <w:t xml:space="preserve"> are</w:t>
      </w:r>
      <w:r w:rsidRPr="00627F59">
        <w:rPr>
          <w:rFonts w:ascii="Arial" w:hAnsi="Arial" w:cs="Arial"/>
          <w:sz w:val="22"/>
          <w:szCs w:val="22"/>
        </w:rPr>
        <w:t xml:space="preserve"> shown as median with IQR</w:t>
      </w:r>
      <w:r>
        <w:rPr>
          <w:rFonts w:ascii="Arial" w:hAnsi="Arial" w:cs="Arial"/>
          <w:sz w:val="22"/>
          <w:szCs w:val="22"/>
        </w:rPr>
        <w:t xml:space="preserve"> with </w:t>
      </w:r>
      <w:r w:rsidRPr="00627F59">
        <w:rPr>
          <w:rFonts w:ascii="Arial" w:hAnsi="Arial" w:cs="Arial"/>
          <w:sz w:val="22"/>
          <w:szCs w:val="22"/>
        </w:rPr>
        <w:t xml:space="preserve">n=5–6 mice per condition. </w:t>
      </w:r>
      <w:r>
        <w:rPr>
          <w:rFonts w:ascii="Arial" w:hAnsi="Arial" w:cs="Arial"/>
          <w:sz w:val="22"/>
          <w:szCs w:val="22"/>
        </w:rPr>
        <w:t xml:space="preserve"> C</w:t>
      </w:r>
      <w:r w:rsidRPr="00627F59">
        <w:rPr>
          <w:rFonts w:ascii="Arial" w:hAnsi="Arial" w:cs="Arial"/>
          <w:sz w:val="22"/>
          <w:szCs w:val="22"/>
        </w:rPr>
        <w:t xml:space="preserve">omparisons </w:t>
      </w:r>
      <w:r>
        <w:rPr>
          <w:rFonts w:ascii="Arial" w:hAnsi="Arial" w:cs="Arial"/>
          <w:sz w:val="22"/>
          <w:szCs w:val="22"/>
        </w:rPr>
        <w:t xml:space="preserve">between IRI and </w:t>
      </w:r>
      <w:r>
        <w:rPr>
          <w:rFonts w:ascii="Arial" w:hAnsi="Arial" w:cs="Arial"/>
          <w:sz w:val="22"/>
          <w:szCs w:val="22"/>
        </w:rPr>
        <w:lastRenderedPageBreak/>
        <w:t xml:space="preserve">sham across </w:t>
      </w:r>
      <w:proofErr w:type="spellStart"/>
      <w:r>
        <w:rPr>
          <w:rFonts w:ascii="Arial" w:hAnsi="Arial" w:cs="Arial"/>
          <w:sz w:val="22"/>
          <w:szCs w:val="22"/>
        </w:rPr>
        <w:t>mCMV</w:t>
      </w:r>
      <w:proofErr w:type="spellEnd"/>
      <w:r>
        <w:rPr>
          <w:rFonts w:ascii="Arial" w:hAnsi="Arial" w:cs="Arial"/>
          <w:sz w:val="22"/>
          <w:szCs w:val="22"/>
        </w:rPr>
        <w:t xml:space="preserve"> groupings </w:t>
      </w:r>
      <w:r w:rsidRPr="00627F59">
        <w:rPr>
          <w:rFonts w:ascii="Arial" w:hAnsi="Arial" w:cs="Arial"/>
          <w:sz w:val="22"/>
          <w:szCs w:val="22"/>
        </w:rPr>
        <w:t>were performed using the Wilcoxon rank-sum test</w:t>
      </w:r>
      <w:r>
        <w:rPr>
          <w:rFonts w:ascii="Arial" w:hAnsi="Arial" w:cs="Arial"/>
          <w:sz w:val="22"/>
          <w:szCs w:val="22"/>
        </w:rPr>
        <w:t xml:space="preserve"> adjusted for false discovery with the Benjamini-Hochberg approach.</w:t>
      </w:r>
      <w:r w:rsidRPr="00627F59">
        <w:rPr>
          <w:rFonts w:ascii="Arial" w:hAnsi="Arial" w:cs="Arial"/>
          <w:sz w:val="22"/>
          <w:szCs w:val="22"/>
        </w:rPr>
        <w:t xml:space="preserve"> </w:t>
      </w:r>
      <w:r>
        <w:rPr>
          <w:rFonts w:ascii="Arial" w:hAnsi="Arial" w:cs="Arial"/>
          <w:sz w:val="22"/>
          <w:szCs w:val="22"/>
        </w:rPr>
        <w:t>Comparisons of distributions across memory populations were made with</w:t>
      </w:r>
      <w:r w:rsidRPr="00627F59">
        <w:rPr>
          <w:rFonts w:ascii="Arial" w:hAnsi="Arial" w:cs="Arial"/>
          <w:sz w:val="22"/>
          <w:szCs w:val="22"/>
        </w:rPr>
        <w:t xml:space="preserve"> </w:t>
      </w:r>
      <w:r>
        <w:rPr>
          <w:rFonts w:ascii="Roboto" w:hAnsi="Roboto"/>
          <w:color w:val="474747"/>
          <w:sz w:val="21"/>
          <w:szCs w:val="21"/>
          <w:shd w:val="clear" w:color="auto" w:fill="FFFFFF"/>
        </w:rPr>
        <w:t>χ</w:t>
      </w:r>
      <w:proofErr w:type="gramStart"/>
      <w:r w:rsidRPr="005E3D27">
        <w:rPr>
          <w:rFonts w:ascii="Arial" w:hAnsi="Arial" w:cs="Arial"/>
          <w:sz w:val="22"/>
          <w:szCs w:val="22"/>
          <w:vertAlign w:val="superscript"/>
        </w:rPr>
        <w:t>2</w:t>
      </w:r>
      <w:r>
        <w:rPr>
          <w:rFonts w:ascii="Arial" w:hAnsi="Arial" w:cs="Arial"/>
          <w:sz w:val="22"/>
          <w:szCs w:val="22"/>
          <w:vertAlign w:val="superscript"/>
        </w:rPr>
        <w:t xml:space="preserve">  </w:t>
      </w:r>
      <w:r w:rsidRPr="00627F59">
        <w:rPr>
          <w:rFonts w:ascii="Arial" w:hAnsi="Arial" w:cs="Arial"/>
          <w:sz w:val="22"/>
          <w:szCs w:val="22"/>
        </w:rPr>
        <w:t>tests</w:t>
      </w:r>
      <w:proofErr w:type="gramEnd"/>
      <w:r w:rsidRPr="00627F59">
        <w:rPr>
          <w:rFonts w:ascii="Arial" w:hAnsi="Arial" w:cs="Arial"/>
          <w:sz w:val="22"/>
          <w:szCs w:val="22"/>
        </w:rPr>
        <w:t xml:space="preserve"> with Monte Carlo simulation</w:t>
      </w:r>
      <w:r>
        <w:rPr>
          <w:rFonts w:ascii="Arial" w:hAnsi="Arial" w:cs="Arial"/>
          <w:sz w:val="22"/>
          <w:szCs w:val="22"/>
        </w:rPr>
        <w:t xml:space="preserve">. </w:t>
      </w:r>
    </w:p>
    <w:p w14:paraId="38232515" w14:textId="77777777" w:rsidR="003B4964" w:rsidRDefault="003B4964" w:rsidP="003B4964">
      <w:pPr>
        <w:jc w:val="both"/>
        <w:rPr>
          <w:rFonts w:ascii="Arial" w:hAnsi="Arial" w:cs="Arial"/>
          <w:sz w:val="22"/>
          <w:szCs w:val="22"/>
        </w:rPr>
      </w:pPr>
    </w:p>
    <w:p w14:paraId="37526EBF" w14:textId="77777777" w:rsidR="003B4964" w:rsidRDefault="003B4964" w:rsidP="003B4964">
      <w:pPr>
        <w:pageBreakBefore/>
        <w:jc w:val="both"/>
        <w:rPr>
          <w:rFonts w:ascii="Arial" w:hAnsi="Arial" w:cs="Arial"/>
          <w:sz w:val="22"/>
          <w:szCs w:val="22"/>
        </w:rPr>
      </w:pPr>
      <w:r>
        <w:rPr>
          <w:rFonts w:ascii="Arial" w:hAnsi="Arial" w:cs="Arial"/>
          <w:noProof/>
          <w:sz w:val="22"/>
          <w:szCs w:val="22"/>
        </w:rPr>
        <w:lastRenderedPageBreak/>
        <w:drawing>
          <wp:inline distT="0" distB="0" distL="0" distR="0" wp14:anchorId="7600C35B" wp14:editId="16536BE1">
            <wp:extent cx="5689600" cy="2705100"/>
            <wp:effectExtent l="0" t="0" r="0" b="0"/>
            <wp:docPr id="50965909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659094" name="Picture 50965909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89600" cy="2705100"/>
                    </a:xfrm>
                    <a:prstGeom prst="rect">
                      <a:avLst/>
                    </a:prstGeom>
                  </pic:spPr>
                </pic:pic>
              </a:graphicData>
            </a:graphic>
          </wp:inline>
        </w:drawing>
      </w:r>
    </w:p>
    <w:p w14:paraId="706F603D" w14:textId="77777777" w:rsidR="003B4964" w:rsidRPr="003F570A" w:rsidRDefault="003B4964" w:rsidP="003B4964">
      <w:pPr>
        <w:jc w:val="both"/>
        <w:rPr>
          <w:rFonts w:ascii="Arial" w:hAnsi="Arial" w:cs="Arial"/>
          <w:b/>
          <w:bCs/>
          <w:sz w:val="22"/>
          <w:szCs w:val="22"/>
        </w:rPr>
      </w:pPr>
      <w:r w:rsidRPr="00046AED">
        <w:rPr>
          <w:rFonts w:ascii="Arial" w:hAnsi="Arial" w:cs="Arial"/>
          <w:b/>
          <w:bCs/>
          <w:sz w:val="22"/>
          <w:szCs w:val="22"/>
        </w:rPr>
        <w:t xml:space="preserve">Supplemental Figure 6. </w:t>
      </w:r>
      <w:r>
        <w:rPr>
          <w:rFonts w:ascii="Arial" w:hAnsi="Arial" w:cs="Arial"/>
          <w:b/>
          <w:bCs/>
          <w:sz w:val="22"/>
          <w:szCs w:val="22"/>
        </w:rPr>
        <w:t>D</w:t>
      </w:r>
      <w:r w:rsidRPr="00046AED">
        <w:rPr>
          <w:rFonts w:ascii="Arial" w:hAnsi="Arial" w:cs="Arial"/>
          <w:b/>
          <w:bCs/>
          <w:sz w:val="22"/>
          <w:szCs w:val="22"/>
        </w:rPr>
        <w:t>ifferential gene expression of adaptive NK cells compared to other NK cells in human BAL</w:t>
      </w:r>
      <w:r>
        <w:rPr>
          <w:rFonts w:ascii="Arial" w:hAnsi="Arial" w:cs="Arial"/>
          <w:b/>
          <w:bCs/>
          <w:sz w:val="22"/>
          <w:szCs w:val="22"/>
        </w:rPr>
        <w:t xml:space="preserve">. </w:t>
      </w:r>
      <w:r w:rsidRPr="003F570A">
        <w:rPr>
          <w:rFonts w:ascii="Arial" w:hAnsi="Arial" w:cs="Arial"/>
          <w:b/>
          <w:bCs/>
          <w:sz w:val="22"/>
          <w:szCs w:val="22"/>
        </w:rPr>
        <w:t xml:space="preserve">(A) </w:t>
      </w:r>
      <w:r w:rsidRPr="003F570A">
        <w:rPr>
          <w:rFonts w:ascii="Arial" w:hAnsi="Arial" w:cs="Arial"/>
          <w:sz w:val="22"/>
          <w:szCs w:val="22"/>
        </w:rPr>
        <w:t>Volcano plot of differential gene expression between adaptive and other NK cells. Red points pass FDR-adjusted threshold of significance</w:t>
      </w:r>
      <w:r w:rsidRPr="003F570A">
        <w:rPr>
          <w:rFonts w:ascii="Arial" w:hAnsi="Arial" w:cs="Arial"/>
          <w:b/>
          <w:bCs/>
          <w:sz w:val="22"/>
          <w:szCs w:val="22"/>
        </w:rPr>
        <w:t>.  (B)</w:t>
      </w:r>
      <w:r w:rsidRPr="003F570A">
        <w:rPr>
          <w:rFonts w:ascii="Arial" w:hAnsi="Arial" w:cs="Arial"/>
          <w:sz w:val="22"/>
          <w:szCs w:val="22"/>
        </w:rPr>
        <w:t xml:space="preserve"> Fraction of cells expressing tissue-residency (RGS1, CXCR6, CD49a/ITGA1, CD103/ITGAE, CD69, </w:t>
      </w:r>
      <w:proofErr w:type="spellStart"/>
      <w:r w:rsidRPr="003F570A">
        <w:rPr>
          <w:rFonts w:ascii="Arial" w:hAnsi="Arial" w:cs="Arial"/>
          <w:sz w:val="22"/>
          <w:szCs w:val="22"/>
        </w:rPr>
        <w:t>Hobit</w:t>
      </w:r>
      <w:proofErr w:type="spellEnd"/>
      <w:r w:rsidRPr="003F570A">
        <w:rPr>
          <w:rFonts w:ascii="Arial" w:hAnsi="Arial" w:cs="Arial"/>
          <w:sz w:val="22"/>
          <w:szCs w:val="22"/>
        </w:rPr>
        <w:t>/ZNF683) and egress (KLF2, CD62L/SELL, S1PR1) genes across adaptive, pre-adaptive, and other NK subsets, colored by percent detected</w:t>
      </w:r>
      <w:r>
        <w:rPr>
          <w:rFonts w:ascii="Arial" w:hAnsi="Arial" w:cs="Arial"/>
          <w:b/>
          <w:bCs/>
          <w:sz w:val="22"/>
          <w:szCs w:val="22"/>
        </w:rPr>
        <w:t xml:space="preserve"> </w:t>
      </w:r>
    </w:p>
    <w:p w14:paraId="7BCBEF9B" w14:textId="77777777" w:rsidR="003B4964" w:rsidRPr="003F570A" w:rsidRDefault="003B4964" w:rsidP="003B4964">
      <w:pPr>
        <w:jc w:val="both"/>
        <w:rPr>
          <w:rFonts w:ascii="Arial" w:hAnsi="Arial" w:cs="Arial"/>
          <w:b/>
          <w:bCs/>
          <w:sz w:val="22"/>
          <w:szCs w:val="22"/>
        </w:rPr>
      </w:pPr>
      <w:r>
        <w:rPr>
          <w:rFonts w:ascii="Arial" w:hAnsi="Arial" w:cs="Arial"/>
          <w:b/>
          <w:bCs/>
          <w:sz w:val="22"/>
          <w:szCs w:val="22"/>
        </w:rPr>
        <w:t xml:space="preserve"> </w:t>
      </w:r>
    </w:p>
    <w:p w14:paraId="59B3F96E" w14:textId="77777777" w:rsidR="003B4964" w:rsidRPr="003F570A" w:rsidRDefault="003B4964" w:rsidP="003B4964">
      <w:pPr>
        <w:jc w:val="both"/>
        <w:rPr>
          <w:rFonts w:ascii="Arial" w:hAnsi="Arial" w:cs="Arial"/>
          <w:b/>
          <w:bCs/>
          <w:sz w:val="22"/>
          <w:szCs w:val="22"/>
        </w:rPr>
      </w:pPr>
    </w:p>
    <w:p w14:paraId="6874CEFE" w14:textId="77777777" w:rsidR="003B4964" w:rsidRPr="00046AED" w:rsidRDefault="003B4964" w:rsidP="003B4964">
      <w:pPr>
        <w:jc w:val="both"/>
        <w:rPr>
          <w:rFonts w:ascii="Arial" w:hAnsi="Arial" w:cs="Arial"/>
          <w:b/>
          <w:bCs/>
          <w:sz w:val="22"/>
          <w:szCs w:val="22"/>
        </w:rPr>
      </w:pPr>
    </w:p>
    <w:p w14:paraId="6435E4E6" w14:textId="77777777" w:rsidR="003B4964" w:rsidRDefault="003B4964" w:rsidP="003B4964"/>
    <w:p w14:paraId="029B4AB6" w14:textId="77777777" w:rsidR="003B4964" w:rsidRDefault="003B4964" w:rsidP="003B4964"/>
    <w:p w14:paraId="1A8DE4F6" w14:textId="77777777" w:rsidR="003B4964" w:rsidRDefault="003B4964" w:rsidP="003B4964"/>
    <w:p w14:paraId="509577BA" w14:textId="77777777" w:rsidR="003B4964" w:rsidRDefault="003B4964" w:rsidP="003B4964">
      <w:pPr>
        <w:pageBreakBefore/>
      </w:pPr>
    </w:p>
    <w:p w14:paraId="111EFA8F" w14:textId="77777777" w:rsidR="003B4964" w:rsidRPr="004A3781" w:rsidRDefault="003B4964" w:rsidP="003B4964">
      <w:pPr>
        <w:rPr>
          <w:rFonts w:ascii="Arial" w:hAnsi="Arial" w:cs="Arial"/>
          <w:b/>
          <w:bCs/>
          <w:sz w:val="22"/>
          <w:szCs w:val="22"/>
        </w:rPr>
      </w:pPr>
      <w:r>
        <w:rPr>
          <w:rFonts w:ascii="Arial" w:hAnsi="Arial" w:cs="Arial"/>
          <w:b/>
          <w:bCs/>
          <w:noProof/>
          <w:sz w:val="22"/>
          <w:szCs w:val="22"/>
        </w:rPr>
        <w:drawing>
          <wp:inline distT="0" distB="0" distL="0" distR="0" wp14:anchorId="195E46EB" wp14:editId="50D37758">
            <wp:extent cx="5499100" cy="5219700"/>
            <wp:effectExtent l="0" t="0" r="0" b="0"/>
            <wp:docPr id="99477788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77880" name="Picture 9947778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99100" cy="5219700"/>
                    </a:xfrm>
                    <a:prstGeom prst="rect">
                      <a:avLst/>
                    </a:prstGeom>
                  </pic:spPr>
                </pic:pic>
              </a:graphicData>
            </a:graphic>
          </wp:inline>
        </w:drawing>
      </w:r>
    </w:p>
    <w:p w14:paraId="6C7EE736" w14:textId="77777777" w:rsidR="003B4964" w:rsidRPr="004A3781" w:rsidRDefault="003B4964" w:rsidP="003B4964">
      <w:pPr>
        <w:jc w:val="both"/>
        <w:rPr>
          <w:rFonts w:ascii="Arial" w:hAnsi="Arial" w:cs="Arial"/>
          <w:b/>
          <w:bCs/>
          <w:sz w:val="22"/>
          <w:szCs w:val="22"/>
        </w:rPr>
      </w:pPr>
      <w:r w:rsidRPr="004A3781">
        <w:rPr>
          <w:rFonts w:ascii="Arial" w:hAnsi="Arial" w:cs="Arial"/>
          <w:b/>
          <w:bCs/>
          <w:sz w:val="22"/>
          <w:szCs w:val="22"/>
        </w:rPr>
        <w:t xml:space="preserve">Supplemental Figure 7. Outgoing NK cell communication pathways with airway epithelial cells. </w:t>
      </w:r>
      <w:proofErr w:type="spellStart"/>
      <w:r w:rsidRPr="001C568B">
        <w:rPr>
          <w:rFonts w:ascii="Arial" w:hAnsi="Arial" w:cs="Arial"/>
          <w:sz w:val="22"/>
          <w:szCs w:val="22"/>
        </w:rPr>
        <w:t>CellChat</w:t>
      </w:r>
      <w:proofErr w:type="spellEnd"/>
      <w:r w:rsidRPr="001C568B">
        <w:rPr>
          <w:rFonts w:ascii="Arial" w:hAnsi="Arial" w:cs="Arial"/>
          <w:sz w:val="22"/>
          <w:szCs w:val="22"/>
        </w:rPr>
        <w:t xml:space="preserve">-inferred ligand–receptor signaling from NK cells (sender) to airway epithelial cell populations (receivers), derived from </w:t>
      </w:r>
      <w:proofErr w:type="spellStart"/>
      <w:r w:rsidRPr="001C568B">
        <w:rPr>
          <w:rFonts w:ascii="Arial" w:hAnsi="Arial" w:cs="Arial"/>
          <w:sz w:val="22"/>
          <w:szCs w:val="22"/>
        </w:rPr>
        <w:t>scRNA</w:t>
      </w:r>
      <w:proofErr w:type="spellEnd"/>
      <w:r w:rsidRPr="001C568B">
        <w:rPr>
          <w:rFonts w:ascii="Arial" w:hAnsi="Arial" w:cs="Arial"/>
          <w:sz w:val="22"/>
          <w:szCs w:val="22"/>
        </w:rPr>
        <w:t xml:space="preserve">-seq. Each dot represents a ligand–receptor pair; dot color indicates the communication </w:t>
      </w:r>
      <w:proofErr w:type="gramStart"/>
      <w:r w:rsidRPr="001C568B">
        <w:rPr>
          <w:rFonts w:ascii="Arial" w:hAnsi="Arial" w:cs="Arial"/>
          <w:sz w:val="22"/>
          <w:szCs w:val="22"/>
        </w:rPr>
        <w:t>probability</w:t>
      </w:r>
      <w:proofErr w:type="gramEnd"/>
      <w:r w:rsidRPr="001C568B">
        <w:rPr>
          <w:rFonts w:ascii="Arial" w:hAnsi="Arial" w:cs="Arial"/>
          <w:sz w:val="22"/>
          <w:szCs w:val="22"/>
        </w:rPr>
        <w:t xml:space="preserve"> and dot size indicates significance (permutation-test p-value).</w:t>
      </w:r>
    </w:p>
    <w:p w14:paraId="5B78E359" w14:textId="77777777" w:rsidR="003B4964" w:rsidRDefault="003B4964" w:rsidP="003B4964">
      <w:pPr>
        <w:rPr>
          <w:rFonts w:ascii="Arial" w:hAnsi="Arial" w:cs="Arial"/>
          <w:b/>
          <w:bCs/>
          <w:sz w:val="22"/>
          <w:szCs w:val="22"/>
        </w:rPr>
      </w:pPr>
    </w:p>
    <w:p w14:paraId="47B6BA5A" w14:textId="77777777" w:rsidR="003B4964" w:rsidRDefault="003B4964" w:rsidP="003B4964">
      <w:pPr>
        <w:pageBreakBefore/>
        <w:rPr>
          <w:rFonts w:ascii="Arial" w:hAnsi="Arial" w:cs="Arial"/>
          <w:b/>
          <w:bCs/>
          <w:sz w:val="22"/>
          <w:szCs w:val="22"/>
        </w:rPr>
      </w:pPr>
    </w:p>
    <w:p w14:paraId="4817F38C" w14:textId="77777777" w:rsidR="003B4964" w:rsidRPr="004A3781" w:rsidRDefault="003B4964" w:rsidP="003B4964">
      <w:pPr>
        <w:jc w:val="both"/>
        <w:rPr>
          <w:rFonts w:ascii="Arial" w:hAnsi="Arial" w:cs="Arial"/>
          <w:b/>
          <w:bCs/>
          <w:sz w:val="22"/>
          <w:szCs w:val="22"/>
        </w:rPr>
      </w:pPr>
      <w:r>
        <w:rPr>
          <w:rFonts w:ascii="Arial" w:hAnsi="Arial" w:cs="Arial"/>
          <w:b/>
          <w:bCs/>
          <w:noProof/>
          <w:sz w:val="22"/>
          <w:szCs w:val="22"/>
        </w:rPr>
        <w:drawing>
          <wp:inline distT="0" distB="0" distL="0" distR="0" wp14:anchorId="5B9639DE" wp14:editId="2D36DDC1">
            <wp:extent cx="5486400" cy="5219700"/>
            <wp:effectExtent l="0" t="0" r="0" b="0"/>
            <wp:docPr id="6990396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39629" name="Picture 6990396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5219700"/>
                    </a:xfrm>
                    <a:prstGeom prst="rect">
                      <a:avLst/>
                    </a:prstGeom>
                  </pic:spPr>
                </pic:pic>
              </a:graphicData>
            </a:graphic>
          </wp:inline>
        </w:drawing>
      </w:r>
    </w:p>
    <w:p w14:paraId="59E72E6E" w14:textId="77777777" w:rsidR="003B4964" w:rsidRDefault="003B4964" w:rsidP="003B4964">
      <w:pPr>
        <w:jc w:val="both"/>
        <w:rPr>
          <w:rFonts w:ascii="Arial" w:hAnsi="Arial" w:cs="Arial"/>
          <w:b/>
          <w:bCs/>
          <w:sz w:val="22"/>
          <w:szCs w:val="22"/>
        </w:rPr>
      </w:pPr>
      <w:r w:rsidRPr="004A3781">
        <w:rPr>
          <w:rFonts w:ascii="Arial" w:hAnsi="Arial" w:cs="Arial"/>
          <w:b/>
          <w:bCs/>
          <w:sz w:val="22"/>
          <w:szCs w:val="22"/>
        </w:rPr>
        <w:t>Supplemental Figure 8. Incoming NK cell communication pathways with airway epithelial cells</w:t>
      </w:r>
      <w:r>
        <w:rPr>
          <w:rFonts w:ascii="Arial" w:hAnsi="Arial" w:cs="Arial"/>
          <w:b/>
          <w:bCs/>
          <w:sz w:val="22"/>
          <w:szCs w:val="22"/>
        </w:rPr>
        <w:t xml:space="preserve">. </w:t>
      </w:r>
      <w:proofErr w:type="spellStart"/>
      <w:r w:rsidRPr="001C568B">
        <w:rPr>
          <w:rFonts w:ascii="Arial" w:hAnsi="Arial" w:cs="Arial"/>
          <w:sz w:val="22"/>
          <w:szCs w:val="22"/>
        </w:rPr>
        <w:t>CellChat</w:t>
      </w:r>
      <w:proofErr w:type="spellEnd"/>
      <w:r w:rsidRPr="001C568B">
        <w:rPr>
          <w:rFonts w:ascii="Arial" w:hAnsi="Arial" w:cs="Arial"/>
          <w:sz w:val="22"/>
          <w:szCs w:val="22"/>
        </w:rPr>
        <w:t xml:space="preserve">-inferred ligand–receptor signaling from </w:t>
      </w:r>
      <w:r>
        <w:rPr>
          <w:rFonts w:ascii="Arial" w:hAnsi="Arial" w:cs="Arial"/>
          <w:sz w:val="22"/>
          <w:szCs w:val="22"/>
        </w:rPr>
        <w:t>airway epithelial cells (sender</w:t>
      </w:r>
      <w:r w:rsidRPr="001C568B">
        <w:rPr>
          <w:rFonts w:ascii="Arial" w:hAnsi="Arial" w:cs="Arial"/>
          <w:sz w:val="22"/>
          <w:szCs w:val="22"/>
        </w:rPr>
        <w:t xml:space="preserve">) to </w:t>
      </w:r>
      <w:r>
        <w:rPr>
          <w:rFonts w:ascii="Arial" w:hAnsi="Arial" w:cs="Arial"/>
          <w:sz w:val="22"/>
          <w:szCs w:val="22"/>
        </w:rPr>
        <w:t>NK</w:t>
      </w:r>
      <w:r w:rsidRPr="001C568B">
        <w:rPr>
          <w:rFonts w:ascii="Arial" w:hAnsi="Arial" w:cs="Arial"/>
          <w:sz w:val="22"/>
          <w:szCs w:val="22"/>
        </w:rPr>
        <w:t xml:space="preserve"> cell populations (receivers), derived from </w:t>
      </w:r>
      <w:proofErr w:type="spellStart"/>
      <w:r w:rsidRPr="001C568B">
        <w:rPr>
          <w:rFonts w:ascii="Arial" w:hAnsi="Arial" w:cs="Arial"/>
          <w:sz w:val="22"/>
          <w:szCs w:val="22"/>
        </w:rPr>
        <w:t>scRNA</w:t>
      </w:r>
      <w:proofErr w:type="spellEnd"/>
      <w:r w:rsidRPr="001C568B">
        <w:rPr>
          <w:rFonts w:ascii="Arial" w:hAnsi="Arial" w:cs="Arial"/>
          <w:sz w:val="22"/>
          <w:szCs w:val="22"/>
        </w:rPr>
        <w:t xml:space="preserve">-seq. Each dot represents a ligand–receptor pair; dot color indicates the communication </w:t>
      </w:r>
      <w:proofErr w:type="gramStart"/>
      <w:r w:rsidRPr="001C568B">
        <w:rPr>
          <w:rFonts w:ascii="Arial" w:hAnsi="Arial" w:cs="Arial"/>
          <w:sz w:val="22"/>
          <w:szCs w:val="22"/>
        </w:rPr>
        <w:t>probability</w:t>
      </w:r>
      <w:proofErr w:type="gramEnd"/>
      <w:r w:rsidRPr="001C568B">
        <w:rPr>
          <w:rFonts w:ascii="Arial" w:hAnsi="Arial" w:cs="Arial"/>
          <w:sz w:val="22"/>
          <w:szCs w:val="22"/>
        </w:rPr>
        <w:t xml:space="preserve"> and dot size indicates significance (permutation-test p-value).</w:t>
      </w:r>
    </w:p>
    <w:p w14:paraId="14ED135F" w14:textId="77777777" w:rsidR="003B4964" w:rsidRDefault="003B4964" w:rsidP="003B4964">
      <w:pPr>
        <w:rPr>
          <w:rFonts w:ascii="Arial" w:hAnsi="Arial" w:cs="Arial"/>
          <w:b/>
          <w:bCs/>
          <w:sz w:val="22"/>
          <w:szCs w:val="22"/>
        </w:rPr>
      </w:pPr>
      <w:r>
        <w:rPr>
          <w:rFonts w:ascii="Arial" w:hAnsi="Arial" w:cs="Arial"/>
          <w:b/>
          <w:bCs/>
          <w:noProof/>
          <w:sz w:val="22"/>
          <w:szCs w:val="22"/>
        </w:rPr>
        <w:lastRenderedPageBreak/>
        <w:drawing>
          <wp:inline distT="0" distB="0" distL="0" distR="0" wp14:anchorId="2CE6025E" wp14:editId="0EF58E0B">
            <wp:extent cx="3593465" cy="8229600"/>
            <wp:effectExtent l="0" t="0" r="635" b="0"/>
            <wp:docPr id="1566863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8639" name="Picture 1566863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3465" cy="8229600"/>
                    </a:xfrm>
                    <a:prstGeom prst="rect">
                      <a:avLst/>
                    </a:prstGeom>
                  </pic:spPr>
                </pic:pic>
              </a:graphicData>
            </a:graphic>
          </wp:inline>
        </w:drawing>
      </w:r>
    </w:p>
    <w:p w14:paraId="660CDC15" w14:textId="77777777" w:rsidR="003B4964" w:rsidRDefault="003B4964" w:rsidP="003B4964">
      <w:pPr>
        <w:jc w:val="both"/>
        <w:rPr>
          <w:rFonts w:ascii="Arial" w:hAnsi="Arial" w:cs="Arial"/>
          <w:noProof/>
          <w:sz w:val="22"/>
          <w:szCs w:val="22"/>
        </w:rPr>
      </w:pPr>
      <w:r w:rsidRPr="00CA4A1A">
        <w:rPr>
          <w:rFonts w:ascii="Arial" w:hAnsi="Arial" w:cs="Arial"/>
          <w:b/>
          <w:bCs/>
          <w:sz w:val="22"/>
          <w:szCs w:val="22"/>
        </w:rPr>
        <w:lastRenderedPageBreak/>
        <w:t>Supplemental Figure 9. Dot plot of the top marker genes used to annotate the 12 spatial cell-type populations in the mouse lung data.</w:t>
      </w:r>
      <w:r w:rsidRPr="00CA4A1A">
        <w:rPr>
          <w:rFonts w:ascii="Arial" w:hAnsi="Arial" w:cs="Arial"/>
          <w:sz w:val="22"/>
          <w:szCs w:val="22"/>
        </w:rPr>
        <w:t xml:space="preserve"> Dot size indicating the percentage of bins expressing each gene and color indicating scaled average expression.</w:t>
      </w:r>
      <w:r w:rsidRPr="00504FCD">
        <w:rPr>
          <w:rFonts w:ascii="Arial" w:hAnsi="Arial" w:cs="Arial"/>
          <w:noProof/>
          <w:sz w:val="22"/>
          <w:szCs w:val="22"/>
        </w:rPr>
        <w:t xml:space="preserve"> </w:t>
      </w:r>
    </w:p>
    <w:p w14:paraId="1663F0CA" w14:textId="77777777" w:rsidR="003B4964" w:rsidRDefault="003B4964" w:rsidP="003B4964">
      <w:pPr>
        <w:pageBreakBefore/>
        <w:jc w:val="both"/>
        <w:rPr>
          <w:rFonts w:ascii="Arial" w:hAnsi="Arial" w:cs="Arial"/>
          <w:noProof/>
          <w:sz w:val="22"/>
          <w:szCs w:val="22"/>
        </w:rPr>
      </w:pPr>
    </w:p>
    <w:p w14:paraId="13194316" w14:textId="77777777" w:rsidR="003B4964" w:rsidRDefault="003B4964" w:rsidP="003B4964">
      <w:pPr>
        <w:jc w:val="both"/>
        <w:rPr>
          <w:rFonts w:ascii="Arial" w:hAnsi="Arial" w:cs="Arial"/>
          <w:noProof/>
          <w:sz w:val="22"/>
          <w:szCs w:val="22"/>
        </w:rPr>
      </w:pPr>
      <w:r>
        <w:rPr>
          <w:rFonts w:ascii="Arial" w:hAnsi="Arial" w:cs="Arial"/>
          <w:noProof/>
          <w:sz w:val="22"/>
          <w:szCs w:val="22"/>
        </w:rPr>
        <w:drawing>
          <wp:inline distT="0" distB="0" distL="0" distR="0" wp14:anchorId="7D56F0D1" wp14:editId="0B61844E">
            <wp:extent cx="5943600" cy="2990215"/>
            <wp:effectExtent l="0" t="0" r="0" b="0"/>
            <wp:docPr id="24593465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34658" name="Picture 24593465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2990215"/>
                    </a:xfrm>
                    <a:prstGeom prst="rect">
                      <a:avLst/>
                    </a:prstGeom>
                  </pic:spPr>
                </pic:pic>
              </a:graphicData>
            </a:graphic>
          </wp:inline>
        </w:drawing>
      </w:r>
    </w:p>
    <w:p w14:paraId="4B2F6454" w14:textId="77777777" w:rsidR="003B4964" w:rsidRDefault="003B4964" w:rsidP="003B4964">
      <w:pPr>
        <w:jc w:val="both"/>
        <w:rPr>
          <w:rFonts w:ascii="Arial" w:hAnsi="Arial" w:cs="Arial"/>
          <w:noProof/>
          <w:sz w:val="22"/>
          <w:szCs w:val="22"/>
        </w:rPr>
      </w:pPr>
      <w:r w:rsidRPr="00504FCD">
        <w:rPr>
          <w:rFonts w:ascii="Arial" w:hAnsi="Arial" w:cs="Arial"/>
          <w:b/>
          <w:bCs/>
          <w:noProof/>
          <w:sz w:val="22"/>
          <w:szCs w:val="22"/>
        </w:rPr>
        <w:t>Supplemental Figure 10. NK cell proximity analyses to other cells and ligands.</w:t>
      </w:r>
      <w:r>
        <w:rPr>
          <w:rFonts w:ascii="Arial" w:hAnsi="Arial" w:cs="Arial"/>
          <w:noProof/>
          <w:sz w:val="22"/>
          <w:szCs w:val="22"/>
        </w:rPr>
        <w:t xml:space="preserve"> (</w:t>
      </w:r>
      <w:r w:rsidRPr="00504FCD">
        <w:rPr>
          <w:rFonts w:ascii="Arial" w:hAnsi="Arial" w:cs="Arial"/>
          <w:b/>
          <w:bCs/>
          <w:noProof/>
          <w:sz w:val="22"/>
          <w:szCs w:val="22"/>
        </w:rPr>
        <w:t>A</w:t>
      </w:r>
      <w:r w:rsidRPr="00504FCD">
        <w:rPr>
          <w:rFonts w:ascii="Arial" w:hAnsi="Arial" w:cs="Arial"/>
          <w:noProof/>
          <w:sz w:val="22"/>
          <w:szCs w:val="22"/>
        </w:rPr>
        <w:t>) Heatmap of NK</w:t>
      </w:r>
      <w:r>
        <w:rPr>
          <w:rFonts w:ascii="Arial" w:hAnsi="Arial" w:cs="Arial"/>
          <w:noProof/>
          <w:sz w:val="22"/>
          <w:szCs w:val="22"/>
        </w:rPr>
        <w:t xml:space="preserve"> </w:t>
      </w:r>
      <w:r w:rsidRPr="00504FCD">
        <w:rPr>
          <w:rFonts w:ascii="Arial" w:hAnsi="Arial" w:cs="Arial"/>
          <w:noProof/>
          <w:sz w:val="22"/>
          <w:szCs w:val="22"/>
        </w:rPr>
        <w:t>cell–to–cell</w:t>
      </w:r>
      <w:r>
        <w:rPr>
          <w:rFonts w:ascii="Arial" w:hAnsi="Arial" w:cs="Arial"/>
          <w:noProof/>
          <w:sz w:val="22"/>
          <w:szCs w:val="22"/>
        </w:rPr>
        <w:t xml:space="preserve"> </w:t>
      </w:r>
      <w:r w:rsidRPr="00504FCD">
        <w:rPr>
          <w:rFonts w:ascii="Arial" w:hAnsi="Arial" w:cs="Arial"/>
          <w:noProof/>
          <w:sz w:val="22"/>
          <w:szCs w:val="22"/>
        </w:rPr>
        <w:t>type spatial proximity, shown as observed–expected distance (µm) for each cell type (rows) across conditions (columns). Red indicates cell types positioned farther from NK cells than expected and blue indicates those positioned nearer</w:t>
      </w:r>
      <w:r>
        <w:rPr>
          <w:rFonts w:ascii="Arial" w:hAnsi="Arial" w:cs="Arial"/>
          <w:noProof/>
          <w:sz w:val="22"/>
          <w:szCs w:val="22"/>
        </w:rPr>
        <w:t xml:space="preserve">. </w:t>
      </w:r>
      <w:r w:rsidRPr="00504FCD">
        <w:rPr>
          <w:rFonts w:ascii="Arial" w:hAnsi="Arial" w:cs="Arial"/>
          <w:noProof/>
          <w:sz w:val="22"/>
          <w:szCs w:val="22"/>
        </w:rPr>
        <w:t xml:space="preserve"> (</w:t>
      </w:r>
      <w:r w:rsidRPr="00504FCD">
        <w:rPr>
          <w:rFonts w:ascii="Arial" w:hAnsi="Arial" w:cs="Arial"/>
          <w:b/>
          <w:bCs/>
          <w:noProof/>
          <w:sz w:val="22"/>
          <w:szCs w:val="22"/>
        </w:rPr>
        <w:t>B</w:t>
      </w:r>
      <w:r w:rsidRPr="00504FCD">
        <w:rPr>
          <w:rFonts w:ascii="Arial" w:hAnsi="Arial" w:cs="Arial"/>
          <w:noProof/>
          <w:sz w:val="22"/>
          <w:szCs w:val="22"/>
        </w:rPr>
        <w:t>) Per-gene enrichment</w:t>
      </w:r>
      <w:r>
        <w:rPr>
          <w:rFonts w:ascii="Arial" w:hAnsi="Arial" w:cs="Arial"/>
          <w:noProof/>
          <w:sz w:val="22"/>
          <w:szCs w:val="22"/>
        </w:rPr>
        <w:t xml:space="preserve"> in NK cell proximity</w:t>
      </w:r>
      <w:r w:rsidRPr="00504FCD">
        <w:rPr>
          <w:rFonts w:ascii="Arial" w:hAnsi="Arial" w:cs="Arial"/>
          <w:noProof/>
          <w:sz w:val="22"/>
          <w:szCs w:val="22"/>
        </w:rPr>
        <w:t xml:space="preserve"> in IRI versus sham</w:t>
      </w:r>
      <w:r>
        <w:rPr>
          <w:rFonts w:ascii="Arial" w:hAnsi="Arial" w:cs="Arial"/>
          <w:noProof/>
          <w:sz w:val="22"/>
          <w:szCs w:val="22"/>
        </w:rPr>
        <w:t xml:space="preserve">. </w:t>
      </w:r>
    </w:p>
    <w:p w14:paraId="7428D356" w14:textId="77777777" w:rsidR="003B4964" w:rsidRDefault="003B4964" w:rsidP="003B4964">
      <w:pPr>
        <w:pageBreakBefore/>
        <w:jc w:val="both"/>
        <w:rPr>
          <w:rFonts w:ascii="Arial" w:hAnsi="Arial" w:cs="Arial"/>
          <w:noProof/>
          <w:sz w:val="22"/>
          <w:szCs w:val="22"/>
        </w:rPr>
      </w:pPr>
      <w:r>
        <w:rPr>
          <w:rFonts w:ascii="Arial" w:hAnsi="Arial" w:cs="Arial"/>
          <w:noProof/>
          <w:sz w:val="22"/>
          <w:szCs w:val="22"/>
        </w:rPr>
        <w:lastRenderedPageBreak/>
        <w:drawing>
          <wp:anchor distT="0" distB="0" distL="114300" distR="114300" simplePos="0" relativeHeight="251659264" behindDoc="0" locked="0" layoutInCell="1" allowOverlap="1" wp14:anchorId="371D59E9" wp14:editId="7C0F149C">
            <wp:simplePos x="0" y="0"/>
            <wp:positionH relativeFrom="column">
              <wp:posOffset>241300</wp:posOffset>
            </wp:positionH>
            <wp:positionV relativeFrom="paragraph">
              <wp:posOffset>214503</wp:posOffset>
            </wp:positionV>
            <wp:extent cx="5245100" cy="1981200"/>
            <wp:effectExtent l="0" t="0" r="0" b="0"/>
            <wp:wrapTopAndBottom/>
            <wp:docPr id="147884496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844960" name="Picture 147884496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45100" cy="1981200"/>
                    </a:xfrm>
                    <a:prstGeom prst="rect">
                      <a:avLst/>
                    </a:prstGeom>
                  </pic:spPr>
                </pic:pic>
              </a:graphicData>
            </a:graphic>
            <wp14:sizeRelH relativeFrom="page">
              <wp14:pctWidth>0</wp14:pctWidth>
            </wp14:sizeRelH>
            <wp14:sizeRelV relativeFrom="page">
              <wp14:pctHeight>0</wp14:pctHeight>
            </wp14:sizeRelV>
          </wp:anchor>
        </w:drawing>
      </w:r>
    </w:p>
    <w:p w14:paraId="5D408EDD" w14:textId="77777777" w:rsidR="003B4964" w:rsidRPr="00CA4A1A" w:rsidRDefault="003B4964" w:rsidP="003B4964">
      <w:pPr>
        <w:jc w:val="both"/>
        <w:rPr>
          <w:rFonts w:ascii="Arial" w:hAnsi="Arial" w:cs="Arial"/>
          <w:b/>
          <w:bCs/>
          <w:sz w:val="22"/>
          <w:szCs w:val="22"/>
        </w:rPr>
      </w:pPr>
      <w:r>
        <w:rPr>
          <w:rFonts w:ascii="Arial" w:hAnsi="Arial" w:cs="Arial"/>
          <w:b/>
          <w:bCs/>
          <w:sz w:val="22"/>
          <w:szCs w:val="22"/>
        </w:rPr>
        <w:t>Supplemental Figure 11. Longitudinal blood CMV IE-1 copies by treatment group.</w:t>
      </w:r>
      <w:r w:rsidRPr="00E40542">
        <w:rPr>
          <w:rFonts w:ascii="Arial" w:hAnsi="Arial" w:cs="Arial"/>
          <w:sz w:val="22"/>
          <w:szCs w:val="22"/>
        </w:rPr>
        <w:t xml:space="preserve"> </w:t>
      </w:r>
      <w:r w:rsidRPr="00BE2AD3">
        <w:rPr>
          <w:rFonts w:ascii="Arial" w:hAnsi="Arial" w:cs="Arial"/>
          <w:b/>
          <w:bCs/>
          <w:sz w:val="22"/>
          <w:szCs w:val="22"/>
        </w:rPr>
        <w:t>(A)</w:t>
      </w:r>
      <w:r>
        <w:rPr>
          <w:rFonts w:ascii="Arial" w:hAnsi="Arial" w:cs="Arial"/>
          <w:sz w:val="22"/>
          <w:szCs w:val="22"/>
        </w:rPr>
        <w:t xml:space="preserve"> </w:t>
      </w:r>
      <w:r w:rsidRPr="00E40542">
        <w:rPr>
          <w:rFonts w:ascii="Arial" w:hAnsi="Arial" w:cs="Arial"/>
          <w:sz w:val="22"/>
          <w:szCs w:val="22"/>
        </w:rPr>
        <w:t xml:space="preserve">Blood </w:t>
      </w:r>
      <w:proofErr w:type="spellStart"/>
      <w:r>
        <w:rPr>
          <w:rFonts w:ascii="Arial" w:hAnsi="Arial" w:cs="Arial"/>
          <w:sz w:val="22"/>
          <w:szCs w:val="22"/>
        </w:rPr>
        <w:t>m</w:t>
      </w:r>
      <w:r w:rsidRPr="00E40542">
        <w:rPr>
          <w:rFonts w:ascii="Arial" w:hAnsi="Arial" w:cs="Arial"/>
          <w:sz w:val="22"/>
          <w:szCs w:val="22"/>
        </w:rPr>
        <w:t>CMV</w:t>
      </w:r>
      <w:proofErr w:type="spellEnd"/>
      <w:r w:rsidRPr="00E40542">
        <w:rPr>
          <w:rFonts w:ascii="Arial" w:hAnsi="Arial" w:cs="Arial"/>
          <w:sz w:val="22"/>
          <w:szCs w:val="22"/>
        </w:rPr>
        <w:t xml:space="preserve"> viral load (IE-1 copies/mL, log scale) over 30 days post</w:t>
      </w:r>
      <w:r>
        <w:rPr>
          <w:rFonts w:ascii="Arial" w:hAnsi="Arial" w:cs="Arial"/>
          <w:sz w:val="22"/>
          <w:szCs w:val="22"/>
        </w:rPr>
        <w:t xml:space="preserve"> </w:t>
      </w:r>
      <w:r w:rsidRPr="00E40542">
        <w:rPr>
          <w:rFonts w:ascii="Arial" w:hAnsi="Arial" w:cs="Arial"/>
          <w:sz w:val="22"/>
          <w:szCs w:val="22"/>
        </w:rPr>
        <w:t>IRI in mice treated with vehicle (n = 6), ganciclovir (n = 3), or NK</w:t>
      </w:r>
      <w:r>
        <w:rPr>
          <w:rFonts w:ascii="Arial" w:hAnsi="Arial" w:cs="Arial"/>
          <w:sz w:val="22"/>
          <w:szCs w:val="22"/>
        </w:rPr>
        <w:t xml:space="preserve"> </w:t>
      </w:r>
      <w:r w:rsidRPr="00E40542">
        <w:rPr>
          <w:rFonts w:ascii="Arial" w:hAnsi="Arial" w:cs="Arial"/>
          <w:sz w:val="22"/>
          <w:szCs w:val="22"/>
        </w:rPr>
        <w:t>cell</w:t>
      </w:r>
      <w:r>
        <w:rPr>
          <w:rFonts w:ascii="Arial" w:hAnsi="Arial" w:cs="Arial"/>
          <w:sz w:val="22"/>
          <w:szCs w:val="22"/>
        </w:rPr>
        <w:t xml:space="preserve"> </w:t>
      </w:r>
      <w:r w:rsidRPr="00E40542">
        <w:rPr>
          <w:rFonts w:ascii="Arial" w:hAnsi="Arial" w:cs="Arial"/>
          <w:sz w:val="22"/>
          <w:szCs w:val="22"/>
        </w:rPr>
        <w:t>depleting anti-NK1.1 antibody (n = 3</w:t>
      </w:r>
      <w:r>
        <w:rPr>
          <w:rFonts w:ascii="Arial" w:hAnsi="Arial" w:cs="Arial"/>
          <w:sz w:val="22"/>
          <w:szCs w:val="22"/>
        </w:rPr>
        <w:t xml:space="preserve">). </w:t>
      </w:r>
      <w:r w:rsidRPr="00E40542">
        <w:rPr>
          <w:rFonts w:ascii="Arial" w:hAnsi="Arial" w:cs="Arial"/>
          <w:sz w:val="22"/>
          <w:szCs w:val="22"/>
        </w:rPr>
        <w:t xml:space="preserve"> Lines show group means with error bars indicating SEM. </w:t>
      </w:r>
      <w:r w:rsidRPr="00BE2AD3">
        <w:rPr>
          <w:rFonts w:ascii="Arial" w:hAnsi="Arial" w:cs="Arial"/>
          <w:b/>
          <w:bCs/>
          <w:sz w:val="22"/>
          <w:szCs w:val="22"/>
        </w:rPr>
        <w:t>(B)</w:t>
      </w:r>
      <w:r w:rsidRPr="00E40542">
        <w:rPr>
          <w:rFonts w:ascii="Arial" w:hAnsi="Arial" w:cs="Arial"/>
          <w:sz w:val="22"/>
          <w:szCs w:val="22"/>
        </w:rPr>
        <w:t xml:space="preserve"> Per-animal area under the viral</w:t>
      </w:r>
      <w:r>
        <w:rPr>
          <w:rFonts w:ascii="Arial" w:hAnsi="Arial" w:cs="Arial"/>
          <w:sz w:val="22"/>
          <w:szCs w:val="22"/>
        </w:rPr>
        <w:t xml:space="preserve"> </w:t>
      </w:r>
      <w:r w:rsidRPr="00E40542">
        <w:rPr>
          <w:rFonts w:ascii="Arial" w:hAnsi="Arial" w:cs="Arial"/>
          <w:sz w:val="22"/>
          <w:szCs w:val="22"/>
        </w:rPr>
        <w:t>load curve (AUC, log</w:t>
      </w:r>
      <w:r w:rsidRPr="00E40542">
        <w:rPr>
          <w:rFonts w:ascii="Cambria Math" w:hAnsi="Cambria Math" w:cs="Cambria Math"/>
          <w:sz w:val="22"/>
          <w:szCs w:val="22"/>
        </w:rPr>
        <w:t>₁₀</w:t>
      </w:r>
      <w:r w:rsidRPr="00E40542">
        <w:rPr>
          <w:rFonts w:ascii="Arial" w:hAnsi="Arial" w:cs="Arial"/>
          <w:sz w:val="22"/>
          <w:szCs w:val="22"/>
        </w:rPr>
        <w:t xml:space="preserve"> copies/mL × days) for each group</w:t>
      </w:r>
      <w:r>
        <w:rPr>
          <w:rFonts w:ascii="Arial" w:hAnsi="Arial" w:cs="Arial"/>
          <w:sz w:val="22"/>
          <w:szCs w:val="22"/>
        </w:rPr>
        <w:t xml:space="preserve">. </w:t>
      </w:r>
      <w:r w:rsidRPr="00E40542">
        <w:rPr>
          <w:rFonts w:ascii="Arial" w:hAnsi="Arial" w:cs="Arial"/>
          <w:sz w:val="22"/>
          <w:szCs w:val="22"/>
        </w:rPr>
        <w:t xml:space="preserve"> Pairwise comparisons</w:t>
      </w:r>
      <w:r>
        <w:rPr>
          <w:rFonts w:ascii="Arial" w:hAnsi="Arial" w:cs="Arial"/>
          <w:sz w:val="22"/>
          <w:szCs w:val="22"/>
        </w:rPr>
        <w:t xml:space="preserve"> were made with Dunn’s post hoc testing following a Kruskal-</w:t>
      </w:r>
      <w:proofErr w:type="gramStart"/>
      <w:r>
        <w:rPr>
          <w:rFonts w:ascii="Arial" w:hAnsi="Arial" w:cs="Arial"/>
          <w:sz w:val="22"/>
          <w:szCs w:val="22"/>
        </w:rPr>
        <w:t>Wallis</w:t>
      </w:r>
      <w:proofErr w:type="gramEnd"/>
      <w:r>
        <w:rPr>
          <w:rFonts w:ascii="Arial" w:hAnsi="Arial" w:cs="Arial"/>
          <w:sz w:val="22"/>
          <w:szCs w:val="22"/>
        </w:rPr>
        <w:t xml:space="preserve"> test. </w:t>
      </w:r>
    </w:p>
    <w:p w14:paraId="10B5A19C" w14:textId="77777777" w:rsidR="003B4964" w:rsidRPr="005654E1" w:rsidRDefault="003B4964" w:rsidP="003B4964">
      <w:pPr>
        <w:pStyle w:val="font-claude-response-body"/>
        <w:jc w:val="both"/>
        <w:rPr>
          <w:rFonts w:ascii="Arial" w:hAnsi="Arial" w:cs="Arial"/>
          <w:b/>
          <w:bCs/>
          <w:sz w:val="22"/>
          <w:szCs w:val="22"/>
        </w:rPr>
      </w:pPr>
    </w:p>
    <w:p w14:paraId="4D2B5BAA" w14:textId="77777777" w:rsidR="00C6465A" w:rsidRDefault="00C6465A"/>
    <w:sectPr w:rsidR="00C6465A" w:rsidSect="003B49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964"/>
    <w:rsid w:val="000905F0"/>
    <w:rsid w:val="00112C91"/>
    <w:rsid w:val="00242B4F"/>
    <w:rsid w:val="00302F9E"/>
    <w:rsid w:val="003B4964"/>
    <w:rsid w:val="004E23CF"/>
    <w:rsid w:val="006D5216"/>
    <w:rsid w:val="00A80498"/>
    <w:rsid w:val="00C52040"/>
    <w:rsid w:val="00C62D14"/>
    <w:rsid w:val="00C6465A"/>
    <w:rsid w:val="00CA33FC"/>
    <w:rsid w:val="00EA35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9299F"/>
  <w15:chartTrackingRefBased/>
  <w15:docId w15:val="{A3359D8E-8361-4F24-9D71-9627AAD0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964"/>
    <w:rPr>
      <w:lang w:val="en-US"/>
    </w:rPr>
  </w:style>
  <w:style w:type="paragraph" w:styleId="Heading1">
    <w:name w:val="heading 1"/>
    <w:basedOn w:val="Normal"/>
    <w:next w:val="Normal"/>
    <w:link w:val="Heading1Char"/>
    <w:uiPriority w:val="9"/>
    <w:qFormat/>
    <w:rsid w:val="003B4964"/>
    <w:pPr>
      <w:keepNext/>
      <w:keepLines/>
      <w:spacing w:before="360" w:after="80"/>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3B4964"/>
    <w:pPr>
      <w:keepNext/>
      <w:keepLines/>
      <w:spacing w:before="160" w:after="80"/>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3B4964"/>
    <w:pPr>
      <w:keepNext/>
      <w:keepLines/>
      <w:spacing w:before="160" w:after="80"/>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3B4964"/>
    <w:pPr>
      <w:keepNext/>
      <w:keepLines/>
      <w:spacing w:before="80" w:after="40"/>
      <w:outlineLvl w:val="3"/>
    </w:pPr>
    <w:rPr>
      <w:rFonts w:eastAsiaTheme="majorEastAsia" w:cstheme="majorBidi"/>
      <w:i/>
      <w:iCs/>
      <w:color w:val="0F4761" w:themeColor="accent1" w:themeShade="BF"/>
      <w:lang w:val="en-IN"/>
    </w:rPr>
  </w:style>
  <w:style w:type="paragraph" w:styleId="Heading5">
    <w:name w:val="heading 5"/>
    <w:basedOn w:val="Normal"/>
    <w:next w:val="Normal"/>
    <w:link w:val="Heading5Char"/>
    <w:uiPriority w:val="9"/>
    <w:semiHidden/>
    <w:unhideWhenUsed/>
    <w:qFormat/>
    <w:rsid w:val="003B4964"/>
    <w:pPr>
      <w:keepNext/>
      <w:keepLines/>
      <w:spacing w:before="80" w:after="40"/>
      <w:outlineLvl w:val="4"/>
    </w:pPr>
    <w:rPr>
      <w:rFonts w:eastAsiaTheme="majorEastAsia" w:cstheme="majorBidi"/>
      <w:color w:val="0F4761" w:themeColor="accent1" w:themeShade="BF"/>
      <w:lang w:val="en-IN"/>
    </w:rPr>
  </w:style>
  <w:style w:type="paragraph" w:styleId="Heading6">
    <w:name w:val="heading 6"/>
    <w:basedOn w:val="Normal"/>
    <w:next w:val="Normal"/>
    <w:link w:val="Heading6Char"/>
    <w:uiPriority w:val="9"/>
    <w:semiHidden/>
    <w:unhideWhenUsed/>
    <w:qFormat/>
    <w:rsid w:val="003B4964"/>
    <w:pPr>
      <w:keepNext/>
      <w:keepLines/>
      <w:spacing w:before="40" w:after="0"/>
      <w:outlineLvl w:val="5"/>
    </w:pPr>
    <w:rPr>
      <w:rFonts w:eastAsiaTheme="majorEastAsia" w:cstheme="majorBidi"/>
      <w:i/>
      <w:iCs/>
      <w:color w:val="595959" w:themeColor="text1" w:themeTint="A6"/>
      <w:lang w:val="en-IN"/>
    </w:rPr>
  </w:style>
  <w:style w:type="paragraph" w:styleId="Heading7">
    <w:name w:val="heading 7"/>
    <w:basedOn w:val="Normal"/>
    <w:next w:val="Normal"/>
    <w:link w:val="Heading7Char"/>
    <w:uiPriority w:val="9"/>
    <w:semiHidden/>
    <w:unhideWhenUsed/>
    <w:qFormat/>
    <w:rsid w:val="003B4964"/>
    <w:pPr>
      <w:keepNext/>
      <w:keepLines/>
      <w:spacing w:before="40" w:after="0"/>
      <w:outlineLvl w:val="6"/>
    </w:pPr>
    <w:rPr>
      <w:rFonts w:eastAsiaTheme="majorEastAsia" w:cstheme="majorBidi"/>
      <w:color w:val="595959" w:themeColor="text1" w:themeTint="A6"/>
      <w:lang w:val="en-IN"/>
    </w:rPr>
  </w:style>
  <w:style w:type="paragraph" w:styleId="Heading8">
    <w:name w:val="heading 8"/>
    <w:basedOn w:val="Normal"/>
    <w:next w:val="Normal"/>
    <w:link w:val="Heading8Char"/>
    <w:uiPriority w:val="9"/>
    <w:semiHidden/>
    <w:unhideWhenUsed/>
    <w:qFormat/>
    <w:rsid w:val="003B4964"/>
    <w:pPr>
      <w:keepNext/>
      <w:keepLines/>
      <w:spacing w:after="0"/>
      <w:outlineLvl w:val="7"/>
    </w:pPr>
    <w:rPr>
      <w:rFonts w:eastAsiaTheme="majorEastAsia" w:cstheme="majorBidi"/>
      <w:i/>
      <w:iCs/>
      <w:color w:val="272727" w:themeColor="text1" w:themeTint="D8"/>
      <w:lang w:val="en-IN"/>
    </w:rPr>
  </w:style>
  <w:style w:type="paragraph" w:styleId="Heading9">
    <w:name w:val="heading 9"/>
    <w:basedOn w:val="Normal"/>
    <w:next w:val="Normal"/>
    <w:link w:val="Heading9Char"/>
    <w:uiPriority w:val="9"/>
    <w:semiHidden/>
    <w:unhideWhenUsed/>
    <w:qFormat/>
    <w:rsid w:val="003B4964"/>
    <w:pPr>
      <w:keepNext/>
      <w:keepLines/>
      <w:spacing w:after="0"/>
      <w:outlineLvl w:val="8"/>
    </w:pPr>
    <w:rPr>
      <w:rFonts w:eastAsiaTheme="majorEastAsia" w:cstheme="majorBidi"/>
      <w:color w:val="272727" w:themeColor="text1" w:themeTint="D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49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49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49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49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49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49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49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49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4964"/>
    <w:rPr>
      <w:rFonts w:eastAsiaTheme="majorEastAsia" w:cstheme="majorBidi"/>
      <w:color w:val="272727" w:themeColor="text1" w:themeTint="D8"/>
    </w:rPr>
  </w:style>
  <w:style w:type="paragraph" w:styleId="Title">
    <w:name w:val="Title"/>
    <w:basedOn w:val="Normal"/>
    <w:next w:val="Normal"/>
    <w:link w:val="TitleChar"/>
    <w:uiPriority w:val="10"/>
    <w:qFormat/>
    <w:rsid w:val="003B4964"/>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3B49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64"/>
    <w:pPr>
      <w:numPr>
        <w:ilvl w:val="1"/>
      </w:numPr>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3B49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4964"/>
    <w:pPr>
      <w:spacing w:before="160"/>
      <w:jc w:val="center"/>
    </w:pPr>
    <w:rPr>
      <w:i/>
      <w:iCs/>
      <w:color w:val="404040" w:themeColor="text1" w:themeTint="BF"/>
      <w:lang w:val="en-IN"/>
    </w:rPr>
  </w:style>
  <w:style w:type="character" w:customStyle="1" w:styleId="QuoteChar">
    <w:name w:val="Quote Char"/>
    <w:basedOn w:val="DefaultParagraphFont"/>
    <w:link w:val="Quote"/>
    <w:uiPriority w:val="29"/>
    <w:rsid w:val="003B4964"/>
    <w:rPr>
      <w:i/>
      <w:iCs/>
      <w:color w:val="404040" w:themeColor="text1" w:themeTint="BF"/>
    </w:rPr>
  </w:style>
  <w:style w:type="paragraph" w:styleId="ListParagraph">
    <w:name w:val="List Paragraph"/>
    <w:basedOn w:val="Normal"/>
    <w:uiPriority w:val="34"/>
    <w:qFormat/>
    <w:rsid w:val="003B4964"/>
    <w:pPr>
      <w:ind w:left="720"/>
      <w:contextualSpacing/>
    </w:pPr>
    <w:rPr>
      <w:lang w:val="en-IN"/>
    </w:rPr>
  </w:style>
  <w:style w:type="character" w:styleId="IntenseEmphasis">
    <w:name w:val="Intense Emphasis"/>
    <w:basedOn w:val="DefaultParagraphFont"/>
    <w:uiPriority w:val="21"/>
    <w:qFormat/>
    <w:rsid w:val="003B4964"/>
    <w:rPr>
      <w:i/>
      <w:iCs/>
      <w:color w:val="0F4761" w:themeColor="accent1" w:themeShade="BF"/>
    </w:rPr>
  </w:style>
  <w:style w:type="paragraph" w:styleId="IntenseQuote">
    <w:name w:val="Intense Quote"/>
    <w:basedOn w:val="Normal"/>
    <w:next w:val="Normal"/>
    <w:link w:val="IntenseQuoteChar"/>
    <w:uiPriority w:val="30"/>
    <w:qFormat/>
    <w:rsid w:val="003B49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lang w:val="en-IN"/>
    </w:rPr>
  </w:style>
  <w:style w:type="character" w:customStyle="1" w:styleId="IntenseQuoteChar">
    <w:name w:val="Intense Quote Char"/>
    <w:basedOn w:val="DefaultParagraphFont"/>
    <w:link w:val="IntenseQuote"/>
    <w:uiPriority w:val="30"/>
    <w:rsid w:val="003B4964"/>
    <w:rPr>
      <w:i/>
      <w:iCs/>
      <w:color w:val="0F4761" w:themeColor="accent1" w:themeShade="BF"/>
    </w:rPr>
  </w:style>
  <w:style w:type="character" w:styleId="IntenseReference">
    <w:name w:val="Intense Reference"/>
    <w:basedOn w:val="DefaultParagraphFont"/>
    <w:uiPriority w:val="32"/>
    <w:qFormat/>
    <w:rsid w:val="003B4964"/>
    <w:rPr>
      <w:b/>
      <w:bCs/>
      <w:smallCaps/>
      <w:color w:val="0F4761" w:themeColor="accent1" w:themeShade="BF"/>
      <w:spacing w:val="5"/>
    </w:rPr>
  </w:style>
  <w:style w:type="paragraph" w:customStyle="1" w:styleId="font-claude-response-body">
    <w:name w:val="font-claude-response-body"/>
    <w:basedOn w:val="Normal"/>
    <w:link w:val="font-claude-response-bodyChar"/>
    <w:rsid w:val="003B496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B4964"/>
    <w:rPr>
      <w:b/>
      <w:bCs/>
    </w:rPr>
  </w:style>
  <w:style w:type="character" w:customStyle="1" w:styleId="font-claude-response-bodyChar">
    <w:name w:val="font-claude-response-body Char"/>
    <w:basedOn w:val="DefaultParagraphFont"/>
    <w:link w:val="font-claude-response-body"/>
    <w:rsid w:val="003B4964"/>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1692</Words>
  <Characters>9646</Characters>
  <Application>Microsoft Office Word</Application>
  <DocSecurity>0</DocSecurity>
  <Lines>80</Lines>
  <Paragraphs>22</Paragraphs>
  <ScaleCrop>false</ScaleCrop>
  <Company/>
  <LinksUpToDate>false</LinksUpToDate>
  <CharactersWithSpaces>11316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Mutha</dc:creator>
  <cp:keywords/>
  <dc:description/>
  <cp:lastModifiedBy>Poonam Mutha</cp:lastModifiedBy>
  <cp:revision>1</cp:revision>
  <dcterms:created xsi:type="dcterms:W3CDTF">2026-10-26T08:54:00Z</dcterms:created>
  <dcterms:modified xsi:type="dcterms:W3CDTF">2026-10-26T08:57:00Z</dcterms:modified>
</cp:coreProperties>
</file>