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ns2="http://schemas.microsoft.com/office/word/2010/wordml" xmlns:ns3="http://schemas.openxmlformats.org/drawingml/2006/wordprocessingDrawing" xmlns:ns4="http://schemas.openxmlformats.org/drawingml/2006/main" xmlns:ns5="http://schemas.openxmlformats.org/drawingml/2006/picture" xmlns:r="http://schemas.openxmlformats.org/officeDocument/2006/relationships" xmlns:w="http://schemas.openxmlformats.org/wordprocessingml/2006/main" mc:Ignorable="w14 w15 wp14">
  <w:body>
    <w:p ns2:paraId="599F98DC" ns2:textId="77777777" w:rsidR="00DF3B47" w:rsidRPr="00774DF7" w:rsidRDefault="00DF3B47" w:rsidP="00774DF7">
      <w:pPr>
        <w:spacing w:after="0" w:line="360" w:lineRule="auto"/>
        <w:rPr>
          <w:b/>
          <w:sz w:val="28"/>
        </w:rPr>
      </w:pPr>
      <w:bookmarkStart w:id="0" w:name="_GoBack"/>
      <w:bookmarkEnd w:id="0"/>
      <w:r w:rsidRPr="00774DF7">
        <w:rPr>
          <w:b/>
          <w:sz w:val="28"/>
        </w:rPr>
        <w:t>Supplementary material</w:t>
      </w:r>
    </w:p>
    <w:p ns2:paraId="5AB80437" ns2:textId="77777777" w:rsidR="00DF3B47" w:rsidRPr="00774DF7" w:rsidRDefault="00DF3B47" w:rsidP="00774DF7">
      <w:pPr>
        <w:spacing w:after="0" w:line="360" w:lineRule="auto"/>
        <w:rPr>
          <w:b/>
          <w:sz w:val="23"/>
        </w:rPr>
      </w:pPr>
      <w:r w:rsidRPr="00774DF7">
        <w:rPr>
          <w:b/>
          <w:sz w:val="23"/>
        </w:rPr>
        <w:t>Supplementary Methods (S1–S10) and Appendix Tables (</w:t>
      </w:r>
      <w:r w:rsidRPr="00774DF7">
        <w:rPr>
          <w:b/>
          <w:sz w:val="23"/>
        </w:rPr>
        <w:t>A.1–A.7</w:t>
      </w:r>
      <w:r w:rsidRPr="00774DF7">
        <w:rPr>
          <w:b/>
          <w:sz w:val="23"/>
        </w:rPr>
        <w:t>)</w:t>
      </w:r>
    </w:p>
    <w:p ns2:paraId="60869915" ns2:textId="77777777" w:rsidR="00DF3B47" w:rsidRPr="00774DF7" w:rsidRDefault="00DF3B47" w:rsidP="00774DF7">
      <w:pPr>
        <w:spacing w:after="0" w:line="360" w:lineRule="auto"/>
        <w:rPr>
          <w:i/>
          <w:sz w:val="19"/>
        </w:rPr>
      </w:pPr>
      <w:r w:rsidRPr="00774DF7">
        <w:rPr>
          <w:i/>
          <w:sz w:val="19"/>
        </w:rPr>
        <w:t xml:space="preserve">This document presents the formulas and implementation procedures summarized in the main manuscript, together with the appendix tables (Table A.1–A.7) and the appendix figure (Fig. A.1). Citation numbers follow the reference list of the main manuscript, [1–50].</w:t>
      </w:r>
      <w:r w:rsidRPr="00774DF7">
        <w:rPr>
          <w:i/>
          <w:sz w:val="19"/>
        </w:rPr>
        <w:t/>
      </w:r>
      <w:r w:rsidRPr="00774DF7">
        <w:rPr>
          <w:i/>
          <w:sz w:val="19"/>
        </w:rPr>
        <w:t/>
      </w:r>
      <w:r w:rsidRPr="00774DF7">
        <w:rPr>
          <w:i/>
          <w:sz w:val="19"/>
        </w:rPr>
        <w:t/>
      </w:r>
    </w:p>
    <w:p ns2:paraId="16252FE1" ns2:textId="77777777" w:rsidR="00DF3B47" w:rsidRPr="00774DF7" w:rsidRDefault="00DF3B47" w:rsidP="00774DF7">
      <w:pPr>
        <w:spacing w:after="0" w:line="360" w:lineRule="auto"/>
        <w:rPr>
          <w:i/>
          <w:sz w:val="19"/>
        </w:rPr>
      </w:pPr>
    </w:p>
    <w:p ns2:paraId="26AB9212" ns2:textId="77777777" w:rsidR="00DF3B47" w:rsidRPr="00774DF7" w:rsidRDefault="00DF3B47" w:rsidP="00774DF7">
      <w:pPr>
        <w:spacing w:after="0" w:line="360" w:lineRule="auto"/>
        <w:rPr>
          <w:b/>
          <w:sz w:val="25"/>
        </w:rPr>
      </w:pPr>
      <w:r w:rsidRPr="00774DF7">
        <w:rPr>
          <w:b/>
          <w:sz w:val="25"/>
        </w:rPr>
        <w:t>S1. Cost identity and combination unit</w:t>
      </w:r>
    </w:p>
    <w:p ns2:paraId="1F0F9568" ns2:textId="75323473" w:rsidR="00DF3B47" w:rsidRPr="00774DF7" w:rsidRDefault="00DF3B47" w:rsidP="00774DF7">
      <w:pPr>
        <w:spacing w:after="0" w:line="360" w:lineRule="auto"/>
        <w:rPr>
          <w:sz w:val="21"/>
        </w:rPr>
      </w:pPr>
      <w:r w:rsidRPr="00774DF7">
        <w:rPr>
          <w:sz w:val="21"/>
        </w:rPr>
        <w:t xml:space="preserve">The projection </w:t>
      </w:r>
      <w:r w:rsidRPr="00774DF7">
        <w:rPr>
          <w:sz w:val="21"/>
        </w:rPr>
        <w:t>wa</w:t>
      </w:r>
      <w:r w:rsidRPr="00774DF7">
        <w:rPr>
          <w:sz w:val="21"/>
        </w:rPr>
        <w:t xml:space="preserve">s based on the cost identity used in </w:t>
      </w:r>
      <w:r w:rsidRPr="00774DF7">
        <w:rPr>
          <w:sz w:val="21"/>
        </w:rPr>
        <w:t xml:space="preserve">the </w:t>
      </w:r>
      <w:r w:rsidRPr="00774DF7">
        <w:rPr>
          <w:sz w:val="21"/>
        </w:rPr>
        <w:t xml:space="preserve">Korean claims-based expenditure estimation</w:t>
      </w:r>
      <w:r w:rsidRPr="00774DF7">
        <w:rPr>
          <w:sz w:val="21"/>
        </w:rPr>
        <w:t xml:space="preserve">: </w:t>
      </w:r>
      <w:r w:rsidRPr="00774DF7">
        <w:rPr>
          <w:sz w:val="21"/>
        </w:rPr>
        <w:t xml:space="preserve">total cost = eligible population × per</w:t>
      </w:r>
      <w:r w:rsidRPr="00774DF7">
        <w:rPr>
          <w:sz w:val="21"/>
        </w:rPr>
        <w:t xml:space="preserve"> </w:t>
      </w:r>
      <w:r w:rsidRPr="00774DF7">
        <w:rPr>
          <w:sz w:val="21"/>
        </w:rPr>
        <w:t xml:space="preserve">capita utilization × unit cost [26]. As </w:t>
      </w:r>
      <w:r w:rsidRPr="00774DF7">
        <w:rPr>
          <w:sz w:val="21"/>
        </w:rPr>
        <w:t xml:space="preserve">the </w:t>
      </w:r>
      <w:r w:rsidRPr="00774DF7">
        <w:rPr>
          <w:sz w:val="21"/>
        </w:rPr>
        <w:t xml:space="preserve">INCS is an inpatient service, utilization is measured </w:t>
      </w:r>
      <w:r w:rsidRPr="00774DF7">
        <w:rPr>
          <w:sz w:val="21"/>
        </w:rPr>
        <w:t>o</w:t>
      </w:r>
      <w:r w:rsidRPr="00774DF7">
        <w:rPr>
          <w:sz w:val="21"/>
        </w:rPr>
        <w:t xml:space="preserve">n inpatient days</w:t>
      </w:r>
      <w:r w:rsidRPr="00774DF7">
        <w:rPr>
          <w:sz w:val="21"/>
        </w:rPr>
        <w:t>,</w:t>
      </w:r>
      <w:r w:rsidRPr="00774DF7">
        <w:rPr>
          <w:sz w:val="21"/>
        </w:rPr>
        <w:t xml:space="preserve"> and the following form is applied:</w:t>
      </w:r>
    </w:p>
    <w:p ns2:paraId="33E37A98" ns2:textId="77777777" w:rsidR="00DF3B47" w:rsidRPr="003C1978" w:rsidRDefault="00DF3B47" w:rsidP="00774DF7">
      <w:pPr>
        <w:spacing w:after="0" w:line="360" w:lineRule="auto"/>
        <w:jc w:val="center"/>
        <w:rPr>
          <w:sz w:val="21"/>
          <w:lang w:val="fr-CM"/>
        </w:rPr>
      </w:pPr>
      <w:r w:rsidRPr="003C1978">
        <w:rPr>
          <w:sz w:val="21"/>
          <w:lang w:val="fr-CM"/>
        </w:rPr>
        <w:t xml:space="preserve">C(t) = </w:t>
      </w:r>
      <w:r w:rsidRPr="00774DF7">
        <w:rPr>
          <w:sz w:val="21"/>
        </w:rPr>
        <w:t>Σ</w:t>
      </w:r>
      <w:r w:rsidRPr="003C1978">
        <w:rPr>
          <w:sz w:val="21"/>
          <w:lang w:val="fr-CM"/>
        </w:rPr>
        <w:t>_c { N(t, c) × d̂(t, c) } × p(t)</w:t>
      </w:r>
    </w:p>
    <w:p ns2:paraId="38E2DB75" ns2:textId="77777777" w:rsidR="00DF3B47" w:rsidRPr="00774DF7" w:rsidRDefault="00DF3B47" w:rsidP="00774DF7">
      <w:pPr>
        <w:spacing w:after="0" w:line="360" w:lineRule="auto"/>
        <w:rPr>
          <w:sz w:val="21"/>
        </w:rPr>
      </w:pPr>
      <w:r w:rsidRPr="00774DF7">
        <w:rPr>
          <w:sz w:val="21"/>
        </w:rPr>
        <w:t>where c indexes cells defined by sex × age group, N(t, c) is the projected population of cell c in year t from Statistics Korea's population projections (2022–2072, medium variant) [27], d̂(t, c) is the expected inpatient days per person of the cell, and p(t) is the per-diem cost in year t. A year × sex × age-group grid for 2025–2050 was constructed</w:t>
      </w:r>
      <w:r w:rsidRPr="00774DF7">
        <w:rPr>
          <w:sz w:val="21"/>
        </w:rPr>
        <w:t>,</w:t>
      </w:r>
      <w:r w:rsidRPr="00774DF7">
        <w:rPr>
          <w:sz w:val="21"/>
        </w:rPr>
        <w:t xml:space="preserve"> </w:t>
      </w:r>
      <w:r w:rsidRPr="00774DF7">
        <w:rPr>
          <w:sz w:val="21"/>
        </w:rPr>
        <w:t xml:space="preserve">and the </w:t>
      </w:r>
      <w:r w:rsidRPr="00774DF7">
        <w:rPr>
          <w:sz w:val="21"/>
        </w:rPr>
        <w:t xml:space="preserve">cell-level projected population and expected inpatient days per person were combined into </w:t>
      </w:r>
      <w:r w:rsidRPr="00774DF7">
        <w:rPr>
          <w:sz w:val="21"/>
        </w:rPr>
        <w:t xml:space="preserve">the </w:t>
      </w:r>
      <w:r w:rsidRPr="00774DF7">
        <w:rPr>
          <w:sz w:val="21"/>
        </w:rPr>
        <w:t>total expected inpatient days by year, to which the per-diem cost was applied. T</w:t>
      </w:r>
      <w:r w:rsidRPr="00774DF7">
        <w:rPr>
          <w:sz w:val="21"/>
        </w:rPr>
        <w:t>he t</w:t>
      </w:r>
      <w:r w:rsidRPr="00774DF7">
        <w:rPr>
          <w:sz w:val="21"/>
        </w:rPr>
        <w:t xml:space="preserve">otal cost used the per-diem cost based on </w:t>
      </w:r>
      <w:r w:rsidRPr="00774DF7">
        <w:rPr>
          <w:sz w:val="21"/>
        </w:rPr>
        <w:t xml:space="preserve">the </w:t>
      </w:r>
      <w:r w:rsidRPr="00774DF7">
        <w:rPr>
          <w:sz w:val="21"/>
        </w:rPr>
        <w:t xml:space="preserve">total adjudicated treatment amounts, and </w:t>
      </w:r>
      <w:r w:rsidRPr="00774DF7">
        <w:rPr>
          <w:sz w:val="21"/>
        </w:rPr>
        <w:t xml:space="preserve">the </w:t>
      </w:r>
      <w:r w:rsidRPr="00774DF7">
        <w:rPr>
          <w:sz w:val="21"/>
        </w:rPr>
        <w:t xml:space="preserve">total public-payer payments used the per-diem rate based on </w:t>
      </w:r>
      <w:r w:rsidRPr="00774DF7">
        <w:rPr>
          <w:sz w:val="21"/>
        </w:rPr>
        <w:t xml:space="preserve">the </w:t>
      </w:r>
      <w:r w:rsidRPr="00774DF7">
        <w:rPr>
          <w:sz w:val="21"/>
        </w:rPr>
        <w:t>public</w:t>
      </w:r>
      <w:r w:rsidRPr="00774DF7">
        <w:rPr>
          <w:sz w:val="21"/>
        </w:rPr>
        <w:t xml:space="preserve"> </w:t>
      </w:r>
      <w:r w:rsidRPr="00774DF7">
        <w:rPr>
          <w:sz w:val="21"/>
        </w:rPr>
        <w:t>payer amounts.</w:t>
      </w:r>
    </w:p>
    <w:p ns2:paraId="45ECBED6" ns2:textId="77777777" w:rsidR="00DF3B47" w:rsidRPr="00774DF7" w:rsidRDefault="00DF3B47" w:rsidP="00774DF7">
      <w:pPr>
        <w:spacing w:after="0" w:line="360" w:lineRule="auto"/>
        <w:rPr>
          <w:sz w:val="21"/>
        </w:rPr>
      </w:pPr>
    </w:p>
    <w:p ns2:paraId="7209E0DB" ns2:textId="77777777" w:rsidR="00DF3B47" w:rsidRPr="00774DF7" w:rsidRDefault="00DF3B47" w:rsidP="00774DF7">
      <w:pPr>
        <w:spacing w:after="0" w:line="360" w:lineRule="auto"/>
        <w:rPr>
          <w:b/>
          <w:sz w:val="25"/>
        </w:rPr>
      </w:pPr>
      <w:r w:rsidRPr="00774DF7">
        <w:rPr>
          <w:b/>
          <w:sz w:val="25"/>
        </w:rPr>
        <w:t>S2. ZINB combined expectation and terminology</w:t>
      </w:r>
    </w:p>
    <w:p ns2:paraId="00042B19" ns2:textId="4CDC96FA" w:rsidR="00DF3B47" w:rsidRPr="00774DF7" w:rsidRDefault="00DF3B47" w:rsidP="00774DF7">
      <w:pPr>
        <w:spacing w:after="0" w:line="360" w:lineRule="auto"/>
        <w:rPr>
          <w:sz w:val="21"/>
        </w:rPr>
      </w:pPr>
      <w:r w:rsidRPr="00774DF7">
        <w:rPr>
          <w:sz w:val="21"/>
        </w:rPr>
        <w:t xml:space="preserve">The ZINB model consists of </w:t>
      </w:r>
      <w:r w:rsidRPr="00774DF7">
        <w:rPr>
          <w:sz w:val="21"/>
        </w:rPr>
        <w:t xml:space="preserve">logistic (binary) </w:t>
      </w:r>
      <w:r w:rsidRPr="00774DF7">
        <w:rPr>
          <w:sz w:val="21"/>
        </w:rPr>
        <w:t xml:space="preserve">and </w:t>
      </w:r>
      <w:r w:rsidRPr="00774DF7">
        <w:rPr>
          <w:sz w:val="21"/>
        </w:rPr>
        <w:t>count component</w:t>
      </w:r>
      <w:r w:rsidR="00F0057E">
        <w:rPr>
          <w:sz w:val="21"/>
        </w:rPr>
        <w:t>s</w:t>
      </w:r>
      <w:r w:rsidRPr="00774DF7">
        <w:rPr>
          <w:sz w:val="21"/>
        </w:rPr>
        <w:t xml:space="preserve"> [39]. For individual i with covariate vector x_i, the logistic component estimates the probability π(x_i) of belonging to the structural-zero latent class with a logit link, and the count component estimates the conditional expected annual inpatient days μ(x_i) of those outside that class with a log link. The combined expectation is</w:t>
      </w:r>
    </w:p>
    <w:p ns2:paraId="3AF6032C" ns2:textId="77777777" w:rsidR="00DF3B47" w:rsidRPr="00774DF7" w:rsidRDefault="00DF3B47" w:rsidP="00774DF7">
      <w:pPr>
        <w:spacing w:after="0" w:line="360" w:lineRule="auto"/>
        <w:jc w:val="center"/>
        <w:rPr>
          <w:sz w:val="21"/>
        </w:rPr>
      </w:pPr>
      <w:r w:rsidRPr="00774DF7">
        <w:rPr>
          <w:sz w:val="21"/>
        </w:rPr>
        <w:t>E[Y_i] = (1 − π(x_i)) × μ(x_i)</w:t>
      </w:r>
    </w:p>
    <w:p ns2:paraId="717B0EDA" ns2:textId="5A736547" w:rsidR="00DF3B47" w:rsidRPr="00774DF7" w:rsidRDefault="00DF3B47" w:rsidP="00774DF7">
      <w:pPr>
        <w:spacing w:after="0" w:line="360" w:lineRule="auto"/>
        <w:rPr>
          <w:sz w:val="21"/>
        </w:rPr>
      </w:pPr>
      <w:r w:rsidRPr="00774DF7">
        <w:rPr>
          <w:sz w:val="21"/>
        </w:rPr>
        <w:t xml:space="preserve">In the manuscript and this document, μ(x) is termed the 'conditional expected annual inpatient days' and E[Y] the 'population-average expected annual inpatient days'; E[Y] is used for the population-level projections. </w:t>
      </w:r>
      <w:r w:rsidRPr="00774DF7">
        <w:rPr>
          <w:sz w:val="21"/>
        </w:rPr>
        <w:t>The o</w:t>
      </w:r>
      <w:r w:rsidRPr="00774DF7">
        <w:rPr>
          <w:sz w:val="21"/>
        </w:rPr>
        <w:t>bserved zeros mix structural zeros with zeros arising from the count process</w:t>
      </w:r>
      <w:r w:rsidRPr="00774DF7">
        <w:rPr>
          <w:sz w:val="21"/>
        </w:rPr>
        <w:t>; therefore,</w:t>
      </w:r>
      <w:r w:rsidRPr="00774DF7">
        <w:rPr>
          <w:sz w:val="21"/>
        </w:rPr>
        <w:t xml:space="preserve"> the odds ratios of the logistic component do not refer to the observed probability of non-use. Count-component IRRs describe associations within the group outside the structural-zero class and </w:t>
      </w:r>
      <w:r w:rsidRPr="00774DF7">
        <w:rPr>
          <w:sz w:val="21"/>
        </w:rPr>
        <w:t>a</w:t>
      </w:r>
      <w:r w:rsidRPr="00774DF7">
        <w:rPr>
          <w:sz w:val="21"/>
        </w:rPr>
        <w:t xml:space="preserve">re not interpreted as changes in the population average or </w:t>
      </w:r>
      <w:r w:rsidRPr="00774DF7">
        <w:rPr>
          <w:sz w:val="21"/>
        </w:rPr>
        <w:t>duration of individual admissions.</w:t>
      </w:r>
    </w:p>
    <w:p ns2:paraId="240C9A34" ns2:textId="77777777" w:rsidR="00DF3B47" w:rsidRPr="00774DF7" w:rsidRDefault="00DF3B47" w:rsidP="00774DF7">
      <w:pPr>
        <w:spacing w:after="0" w:line="360" w:lineRule="auto"/>
        <w:rPr>
          <w:b/>
          <w:sz w:val="25"/>
        </w:rPr>
      </w:pPr>
    </w:p>
    <w:p ns2:paraId="7BE08C01" ns2:textId="18F5AD78" w:rsidR="00DF3B47" w:rsidRPr="00774DF7" w:rsidRDefault="00DF3B47" w:rsidP="00774DF7">
      <w:pPr>
        <w:spacing w:after="0" w:line="360" w:lineRule="auto"/>
        <w:rPr>
          <w:b/>
          <w:sz w:val="25"/>
        </w:rPr>
      </w:pPr>
      <w:r w:rsidRPr="00774DF7">
        <w:rPr>
          <w:b/>
          <w:sz w:val="25"/>
        </w:rPr>
        <w:t xml:space="preserve">S3. Standardization formula for cell-level expected inpatient days</w:t>
      </w:r>
    </w:p>
    <w:p ns2:paraId="7067EC89" ns2:textId="77777777" w:rsidR="00DF3B47" w:rsidRPr="00774DF7" w:rsidRDefault="00DF3B47" w:rsidP="00774DF7">
      <w:pPr>
        <w:spacing w:after="0" w:line="360" w:lineRule="auto"/>
        <w:rPr>
          <w:sz w:val="21"/>
        </w:rPr>
      </w:pPr>
      <w:r w:rsidRPr="00774DF7">
        <w:rPr>
          <w:sz w:val="21"/>
        </w:rPr>
        <w:t>The c</w:t>
      </w:r>
      <w:r w:rsidRPr="00774DF7">
        <w:rPr>
          <w:sz w:val="21"/>
        </w:rPr>
        <w:t>ell-level expected inpatient days are standardi</w:t>
      </w:r>
      <w:r w:rsidRPr="00774DF7">
        <w:rPr>
          <w:sz w:val="21"/>
        </w:rPr>
        <w:t>z</w:t>
      </w:r>
      <w:r w:rsidRPr="00774DF7">
        <w:rPr>
          <w:sz w:val="21"/>
        </w:rPr>
        <w:t>ed values weighted by the within-cell composition of covariate combinations observed in the base</w:t>
      </w:r>
      <w:r w:rsidRPr="00774DF7">
        <w:rPr>
          <w:sz w:val="21"/>
        </w:rPr>
        <w:t xml:space="preserve"> </w:t>
      </w:r>
      <w:r w:rsidRPr="00774DF7">
        <w:rPr>
          <w:sz w:val="21"/>
        </w:rPr>
        <w:t>year (2019)</w:t>
      </w:r>
      <w:r w:rsidRPr="00774DF7">
        <w:rPr>
          <w:sz w:val="21"/>
        </w:rPr>
        <w:t xml:space="preserve">. For cell g and </w:t>
      </w:r>
      <w:r w:rsidRPr="00774DF7">
        <w:rPr>
          <w:sz w:val="21"/>
        </w:rPr>
        <w:t xml:space="preserve">the </w:t>
      </w:r>
      <w:r w:rsidRPr="00774DF7">
        <w:rPr>
          <w:sz w:val="21"/>
        </w:rPr>
        <w:t xml:space="preserve">covariate </w:t>
      </w:r>
      <w:r w:rsidRPr="00774DF7">
        <w:rPr>
          <w:sz w:val="21"/>
        </w:rPr>
        <w:lastRenderedPageBreak/>
        <w:t>combination z (region of residence, income level, disability severity, CCI, and surgery</w:t>
      </w:r>
      <w:r w:rsidRPr="00774DF7">
        <w:rPr>
          <w:sz w:val="21"/>
        </w:rPr>
        <w:t xml:space="preserve">, </w:t>
      </w:r>
      <w:r w:rsidRPr="00774DF7">
        <w:rPr>
          <w:sz w:val="21"/>
        </w:rPr>
        <w:t>not used in defining the grid), the weights are</w:t>
      </w:r>
    </w:p>
    <w:p ns2:paraId="5DEA2C71" ns2:textId="77777777" w:rsidR="00DF3B47" w:rsidRPr="00774DF7" w:rsidRDefault="00DF3B47" w:rsidP="00774DF7">
      <w:pPr>
        <w:spacing w:after="0" w:line="360" w:lineRule="auto"/>
        <w:jc w:val="center"/>
        <w:rPr>
          <w:sz w:val="21"/>
        </w:rPr>
      </w:pPr>
      <w:r w:rsidRPr="00774DF7">
        <w:rPr>
          <w:sz w:val="21"/>
        </w:rPr>
        <w:t>w(g, z) = n(g, z; 2019) / Σ_z′ n(g, z′; 2019)</w:t>
      </w:r>
    </w:p>
    <w:p ns2:paraId="7BB7E1CF" ns2:textId="77777777" w:rsidR="00DF3B47" w:rsidRPr="00774DF7" w:rsidRDefault="00DF3B47" w:rsidP="00774DF7">
      <w:pPr>
        <w:spacing w:after="0" w:line="360" w:lineRule="auto"/>
        <w:rPr>
          <w:sz w:val="21"/>
        </w:rPr>
      </w:pPr>
      <w:r w:rsidRPr="00774DF7">
        <w:rPr>
          <w:sz w:val="21"/>
        </w:rPr>
        <w:t>The combined expectation of each combination is:</w:t>
      </w:r>
    </w:p>
    <w:p ns2:paraId="585EBE94" ns2:textId="77777777" w:rsidR="00DF3B47" w:rsidRPr="003C1978" w:rsidRDefault="00DF3B47" w:rsidP="00774DF7">
      <w:pPr>
        <w:spacing w:after="0" w:line="360" w:lineRule="auto"/>
        <w:jc w:val="center"/>
        <w:rPr>
          <w:sz w:val="21"/>
          <w:lang w:val="fr-CM"/>
        </w:rPr>
      </w:pPr>
      <w:r w:rsidRPr="003C1978">
        <w:rPr>
          <w:sz w:val="21"/>
          <w:lang w:val="fr-CM"/>
        </w:rPr>
        <w:t xml:space="preserve">Ê(t, g, z) = (1 − </w:t>
      </w:r>
      <w:r w:rsidRPr="00774DF7">
        <w:rPr>
          <w:sz w:val="21"/>
        </w:rPr>
        <w:t>π</w:t>
      </w:r>
      <w:r w:rsidRPr="003C1978">
        <w:rPr>
          <w:sz w:val="21"/>
          <w:lang w:val="fr-CM"/>
        </w:rPr>
        <w:t xml:space="preserve">̂(t, g, z)) × </w:t>
      </w:r>
      <w:r w:rsidRPr="00774DF7">
        <w:rPr>
          <w:sz w:val="21"/>
        </w:rPr>
        <w:t>μ</w:t>
      </w:r>
      <w:r w:rsidRPr="003C1978">
        <w:rPr>
          <w:sz w:val="21"/>
          <w:lang w:val="fr-CM"/>
        </w:rPr>
        <w:t>̂(t, g, z)</w:t>
      </w:r>
    </w:p>
    <w:p ns2:paraId="45C221AF" ns2:textId="77777777" w:rsidR="00DF3B47" w:rsidRPr="00774DF7" w:rsidRDefault="00DF3B47" w:rsidP="00774DF7">
      <w:pPr>
        <w:spacing w:after="0" w:line="360" w:lineRule="auto"/>
        <w:rPr>
          <w:sz w:val="21"/>
        </w:rPr>
      </w:pPr>
      <w:r w:rsidRPr="00774DF7">
        <w:rPr>
          <w:sz w:val="21"/>
        </w:rPr>
        <w:t>and cell-level expected inpatient days are the weighted average:</w:t>
      </w:r>
    </w:p>
    <w:p ns2:paraId="43932252" ns2:textId="77777777" w:rsidR="00DF3B47" w:rsidRPr="003C1978" w:rsidRDefault="00DF3B47" w:rsidP="00774DF7">
      <w:pPr>
        <w:spacing w:after="0" w:line="360" w:lineRule="auto"/>
        <w:jc w:val="center"/>
        <w:rPr>
          <w:sz w:val="21"/>
          <w:lang w:val="fr-CM"/>
        </w:rPr>
      </w:pPr>
      <w:r w:rsidRPr="003C1978">
        <w:rPr>
          <w:sz w:val="21"/>
          <w:lang w:val="fr-CM"/>
        </w:rPr>
        <w:t xml:space="preserve">d̂(t, g) = </w:t>
      </w:r>
      <w:r w:rsidRPr="00774DF7">
        <w:rPr>
          <w:sz w:val="21"/>
        </w:rPr>
        <w:t>Σ</w:t>
      </w:r>
      <w:r w:rsidRPr="003C1978">
        <w:rPr>
          <w:sz w:val="21"/>
          <w:lang w:val="fr-CM"/>
        </w:rPr>
        <w:t>_z w(g, z) × Ê(t, g, z)</w:t>
      </w:r>
    </w:p>
    <w:p ns2:paraId="7E988544" ns2:textId="3AF16305" w:rsidR="00DF3B47" w:rsidRPr="00774DF7" w:rsidRDefault="00DF3B47" w:rsidP="00774DF7">
      <w:pPr>
        <w:spacing w:after="0" w:line="360" w:lineRule="auto"/>
        <w:rPr>
          <w:sz w:val="21"/>
        </w:rPr>
      </w:pPr>
      <w:r w:rsidRPr="00774DF7">
        <w:rPr>
          <w:sz w:val="21"/>
        </w:rPr>
        <w:t xml:space="preserve">This reflect</w:t>
      </w:r>
      <w:r w:rsidRPr="00774DF7">
        <w:rPr>
          <w:sz w:val="21"/>
        </w:rPr>
        <w:t>ed</w:t>
      </w:r>
      <w:r w:rsidRPr="00774DF7">
        <w:rPr>
          <w:sz w:val="21"/>
        </w:rPr>
        <w:t xml:space="preserve"> the actual covariate composition of the base year. It shares the combin</w:t>
      </w:r>
      <w:r w:rsidRPr="00774DF7">
        <w:rPr>
          <w:sz w:val="21"/>
        </w:rPr>
        <w:t>ed</w:t>
      </w:r>
      <w:r w:rsidRPr="00774DF7">
        <w:rPr>
          <w:sz w:val="21"/>
        </w:rPr>
        <w:t xml:space="preserve"> structure of long-term projections that couple age–sex per</w:t>
      </w:r>
      <w:r w:rsidRPr="00774DF7">
        <w:rPr>
          <w:sz w:val="21"/>
        </w:rPr>
        <w:t xml:space="preserve"> </w:t>
      </w:r>
      <w:r w:rsidRPr="00774DF7">
        <w:rPr>
          <w:sz w:val="21"/>
        </w:rPr>
        <w:t xml:space="preserve">capita utilization with population projections [21,24], extended here with the 2019 distribution of additional covariates as weights. </w:t>
      </w:r>
      <w:r w:rsidR="003C1978">
        <w:rPr>
          <w:sz w:val="21"/>
        </w:rPr>
        <w:t>Since</w:t>
      </w:r>
      <w:r w:rsidR="003C1978" w:rsidRPr="00774DF7">
        <w:rPr>
          <w:sz w:val="21"/>
        </w:rPr>
        <w:t xml:space="preserve"> </w:t>
      </w:r>
      <w:r w:rsidRPr="00774DF7">
        <w:rPr>
          <w:sz w:val="21"/>
        </w:rPr>
        <w:t xml:space="preserve">individuals in the same combination share the same predicted value, this is mathematically identical to weighting individual predictions by </w:t>
      </w:r>
      <w:r w:rsidRPr="00774DF7">
        <w:rPr>
          <w:sz w:val="21"/>
        </w:rPr>
        <w:t>combining</w:t>
      </w:r>
      <w:r w:rsidRPr="00774DF7">
        <w:rPr>
          <w:sz w:val="21"/>
        </w:rPr>
        <w:t xml:space="preserve"> shares and aggregating </w:t>
      </w:r>
      <w:r w:rsidRPr="00774DF7">
        <w:rPr>
          <w:sz w:val="21"/>
        </w:rPr>
        <w:t xml:space="preserve">them in</w:t>
      </w:r>
      <w:r w:rsidRPr="00774DF7">
        <w:rPr>
          <w:sz w:val="21"/>
        </w:rPr>
        <w:t xml:space="preserve">to </w:t>
      </w:r>
      <w:r w:rsidRPr="00774DF7">
        <w:rPr>
          <w:sz w:val="21"/>
        </w:rPr>
        <w:t>a</w:t>
      </w:r>
      <w:r w:rsidRPr="00774DF7">
        <w:rPr>
          <w:sz w:val="21"/>
        </w:rPr>
        <w:t xml:space="preserve"> cell.</w:t>
      </w:r>
    </w:p>
    <w:p ns2:paraId="021EC68D" ns2:textId="77777777" w:rsidR="00DF3B47" w:rsidRPr="00774DF7" w:rsidRDefault="00DF3B47" w:rsidP="00774DF7">
      <w:pPr>
        <w:spacing w:after="0" w:line="360" w:lineRule="auto"/>
        <w:rPr>
          <w:sz w:val="21"/>
        </w:rPr>
      </w:pPr>
    </w:p>
    <w:p ns2:paraId="3C3D8DF8" ns2:textId="77777777" w:rsidR="00DF3B47" w:rsidRPr="00774DF7" w:rsidRDefault="00DF3B47" w:rsidP="00774DF7">
      <w:pPr>
        <w:spacing w:after="0" w:line="360" w:lineRule="auto"/>
        <w:rPr>
          <w:b/>
          <w:sz w:val="25"/>
        </w:rPr>
      </w:pPr>
      <w:r w:rsidRPr="00774DF7">
        <w:rPr>
          <w:b/>
          <w:sz w:val="25"/>
        </w:rPr>
        <w:t>S4. Base-year choice and fixed covariate composition</w:t>
      </w:r>
    </w:p>
    <w:p ns2:paraId="207C3E22" ns2:textId="77777777" w:rsidR="00DF3B47" w:rsidRPr="00774DF7" w:rsidRDefault="00DF3B47" w:rsidP="00774DF7">
      <w:pPr>
        <w:spacing w:after="0" w:line="360" w:lineRule="auto"/>
        <w:rPr>
          <w:sz w:val="21"/>
        </w:rPr>
      </w:pPr>
      <w:r w:rsidRPr="00774DF7">
        <w:rPr>
          <w:sz w:val="21"/>
        </w:rPr>
        <w:t>The</w:t>
      </w:r>
      <w:r w:rsidRPr="00774DF7">
        <w:rPr>
          <w:sz w:val="21"/>
        </w:rPr>
        <w:t xml:space="preserve"> last observation year of the sample cohort used </w:t>
      </w:r>
      <w:r w:rsidRPr="00774DF7">
        <w:rPr>
          <w:sz w:val="21"/>
        </w:rPr>
        <w:t xml:space="preserve">to build the model was 2019</w:t>
      </w:r>
      <w:r w:rsidRPr="00774DF7">
        <w:rPr>
          <w:sz w:val="21"/>
        </w:rPr>
        <w:t xml:space="preserve">. Over the projection period, only the sex–age structure evolves with </w:t>
      </w:r>
      <w:r w:rsidRPr="00774DF7">
        <w:rPr>
          <w:sz w:val="21"/>
        </w:rPr>
        <w:t xml:space="preserve">population projections, </w:t>
      </w:r>
      <w:r w:rsidRPr="00774DF7">
        <w:rPr>
          <w:sz w:val="21"/>
        </w:rPr>
        <w:t>whereas</w:t>
      </w:r>
      <w:r w:rsidRPr="00774DF7">
        <w:rPr>
          <w:sz w:val="21"/>
        </w:rPr>
        <w:t xml:space="preserve"> the within-cell covariate shares w(g, z) are fixed at </w:t>
      </w:r>
      <w:r w:rsidRPr="00774DF7">
        <w:rPr>
          <w:sz w:val="21"/>
        </w:rPr>
        <w:t xml:space="preserve">the </w:t>
      </w:r>
      <w:r w:rsidRPr="00774DF7">
        <w:rPr>
          <w:sz w:val="21"/>
        </w:rPr>
        <w:t xml:space="preserve">2019 level</w:t>
      </w:r>
      <w:r w:rsidRPr="00774DF7">
        <w:rPr>
          <w:sz w:val="21"/>
        </w:rPr>
        <w:t xml:space="preserve">. Future changes in non-demographic characteristics</w:t>
      </w:r>
      <w:r w:rsidRPr="00774DF7">
        <w:rPr>
          <w:sz w:val="21"/>
        </w:rPr>
        <w:t>,</w:t>
      </w:r>
      <w:r w:rsidRPr="00774DF7">
        <w:rPr>
          <w:sz w:val="21"/>
        </w:rPr>
        <w:t xml:space="preserve"> such as disease mix or surgery rates</w:t>
      </w:r>
      <w:r w:rsidRPr="00774DF7">
        <w:rPr>
          <w:sz w:val="21"/>
        </w:rPr>
        <w:t xml:space="preserve">, were</w:t>
      </w:r>
      <w:r w:rsidRPr="00774DF7">
        <w:rPr>
          <w:sz w:val="21"/>
        </w:rPr>
        <w:t xml:space="preserve"> not modeled; </w:t>
      </w:r>
      <w:r w:rsidRPr="00774DF7">
        <w:rPr>
          <w:sz w:val="21"/>
        </w:rPr>
        <w:t xml:space="preserve">therefore, </w:t>
      </w:r>
      <w:r w:rsidRPr="00774DF7">
        <w:rPr>
          <w:sz w:val="21"/>
        </w:rPr>
        <w:t xml:space="preserve">the projections are</w:t>
      </w:r>
      <w:r w:rsidRPr="00774DF7">
        <w:rPr>
          <w:sz w:val="21"/>
        </w:rPr>
        <w:t xml:space="preserve"> conditional on the assumption that the 2019 within-cell covariate composition persists.</w:t>
      </w:r>
    </w:p>
    <w:p ns2:paraId="189A3AB2" ns2:textId="77777777" w:rsidR="00DF3B47" w:rsidRPr="00774DF7" w:rsidRDefault="00DF3B47" w:rsidP="00774DF7">
      <w:pPr>
        <w:spacing w:after="0" w:line="360" w:lineRule="auto"/>
        <w:rPr>
          <w:sz w:val="21"/>
        </w:rPr>
      </w:pPr>
    </w:p>
    <w:p ns2:paraId="59686C6D" ns2:textId="77777777" w:rsidR="00DF3B47" w:rsidRPr="00774DF7" w:rsidRDefault="00DF3B47" w:rsidP="00774DF7">
      <w:pPr>
        <w:spacing w:after="0" w:line="360" w:lineRule="auto"/>
        <w:rPr>
          <w:b/>
          <w:sz w:val="25"/>
        </w:rPr>
      </w:pPr>
      <w:r w:rsidRPr="00774DF7">
        <w:rPr>
          <w:b/>
          <w:sz w:val="25"/>
        </w:rPr>
        <w:t>S5. Statistical model selection: candidates and diagnostics</w:t>
      </w:r>
    </w:p>
    <w:p ns2:paraId="161475C8" ns2:textId="77777777" w:rsidR="00DF3B47" w:rsidRPr="00774DF7" w:rsidRDefault="00DF3B47" w:rsidP="00774DF7">
      <w:pPr>
        <w:spacing w:after="0" w:line="360" w:lineRule="auto"/>
        <w:rPr>
          <w:sz w:val="21"/>
        </w:rPr>
      </w:pPr>
      <w:r w:rsidRPr="00774DF7">
        <w:rPr>
          <w:sz w:val="21"/>
        </w:rPr>
        <w:t xml:space="preserve">The </w:t>
      </w:r>
      <w:r w:rsidRPr="00774DF7">
        <w:rPr>
          <w:sz w:val="21"/>
        </w:rPr>
        <w:t xml:space="preserve">INCS </w:t>
      </w:r>
      <w:r w:rsidRPr="00774DF7">
        <w:rPr>
          <w:sz w:val="21"/>
        </w:rPr>
        <w:t>patient-day data exhibit</w:t>
      </w:r>
      <w:r w:rsidRPr="00774DF7">
        <w:rPr>
          <w:sz w:val="21"/>
        </w:rPr>
        <w:t>ed</w:t>
      </w:r>
      <w:r w:rsidRPr="00774DF7">
        <w:rPr>
          <w:sz w:val="21"/>
        </w:rPr>
        <w:t xml:space="preserve"> excess zeros and overdispersion. Under such distributions</w:t>
      </w:r>
      <w:r w:rsidRPr="00774DF7">
        <w:rPr>
          <w:sz w:val="21"/>
        </w:rPr>
        <w:t>,</w:t>
      </w:r>
      <w:r w:rsidRPr="00774DF7">
        <w:rPr>
          <w:sz w:val="21"/>
        </w:rPr>
        <w:t xml:space="preserve"> the performance of count models can vary with the data, and model dependence has </w:t>
      </w:r>
      <w:r w:rsidRPr="00774DF7">
        <w:rPr>
          <w:sz w:val="21"/>
        </w:rPr>
        <w:t>been reported for admission and length-of-stay data [37,38]. The pre-specified candidates were Poisson, negative binomial (NB), zero-inflated Poisson (ZIP), and zero-inflated negative binomial (ZINB) [39].</w:t>
      </w:r>
    </w:p>
    <w:p ns2:paraId="29F72784" ns2:textId="22E49E5A" w:rsidR="00DF3B47" w:rsidRPr="00774DF7" w:rsidRDefault="00DF3B47" w:rsidP="00774DF7">
      <w:pPr>
        <w:spacing w:after="0" w:line="360" w:lineRule="auto"/>
        <w:rPr>
          <w:sz w:val="21"/>
        </w:rPr>
      </w:pPr>
      <w:r w:rsidRPr="00774DF7">
        <w:rPr>
          <w:sz w:val="21"/>
        </w:rPr>
        <w:t xml:space="preserve">Overdispersion was diagnosed with the Pearson χ²/df ratio [40]: 13.33 for Poisson, 3.77 for NB, 1.67 for ZIP, and 1.09 for ZINB. </w:t>
      </w:r>
      <w:r w:rsidRPr="00774DF7">
        <w:rPr>
          <w:sz w:val="21"/>
        </w:rPr>
        <w:t xml:space="preserve">The g</w:t>
      </w:r>
      <w:r w:rsidRPr="00774DF7">
        <w:rPr>
          <w:sz w:val="21"/>
        </w:rPr>
        <w:t xml:space="preserve">oodness of fit was compared </w:t>
      </w:r>
      <w:r w:rsidR="00F0057E">
        <w:rPr>
          <w:sz w:val="21"/>
        </w:rPr>
        <w:t>using</w:t>
      </w:r>
      <w:r w:rsidRPr="00774DF7">
        <w:rPr>
          <w:sz w:val="21"/>
        </w:rPr>
        <w:t xml:space="preserve"> AIC and BIC, and ZINB had the lowest values </w:t>
      </w:r>
      <w:r w:rsidRPr="00774DF7">
        <w:rPr>
          <w:sz w:val="21"/>
        </w:rPr>
        <w:t>among</w:t>
      </w:r>
      <w:r w:rsidRPr="00774DF7">
        <w:rPr>
          <w:sz w:val="21"/>
        </w:rPr>
        <w:t xml:space="preserve"> the four (AIC 811,931; BIC 812,564; Table A.3). </w:t>
      </w:r>
      <w:r w:rsidRPr="00774DF7">
        <w:rPr>
          <w:sz w:val="21"/>
        </w:rPr>
        <w:t xml:space="preserve">Therefore, the </w:t>
      </w:r>
      <w:r w:rsidRPr="00774DF7">
        <w:rPr>
          <w:sz w:val="21"/>
        </w:rPr>
        <w:t xml:space="preserve">ZINB was </w:t>
      </w:r>
      <w:r w:rsidRPr="00774DF7">
        <w:rPr>
          <w:sz w:val="21"/>
        </w:rPr>
        <w:t>us</w:t>
      </w:r>
      <w:r w:rsidRPr="00774DF7">
        <w:rPr>
          <w:sz w:val="21"/>
        </w:rPr>
        <w:t xml:space="preserve">ed as the statistical model.</w:t>
      </w:r>
    </w:p>
    <w:p ns2:paraId="09B3ACBA" ns2:textId="77777777" w:rsidR="00DF3B47" w:rsidRPr="00774DF7" w:rsidRDefault="00DF3B47" w:rsidP="00774DF7">
      <w:pPr>
        <w:spacing w:after="0" w:line="360" w:lineRule="auto"/>
        <w:rPr>
          <w:sz w:val="21"/>
        </w:rPr>
      </w:pPr>
      <w:r w:rsidRPr="00774DF7">
        <w:rPr>
          <w:sz w:val="21"/>
        </w:rPr>
        <w:t xml:space="preserve">The adoption of ZINB is the outcome of comparing </w:t>
      </w:r>
      <w:r w:rsidRPr="00774DF7">
        <w:rPr>
          <w:sz w:val="21"/>
        </w:rPr>
        <w:t xml:space="preserve">four pre-specified statistical models. The subsequent evaluation </w:t>
      </w:r>
      <w:r w:rsidRPr="00774DF7">
        <w:rPr>
          <w:sz w:val="21"/>
        </w:rPr>
        <w:t>for</w:t>
      </w:r>
      <w:r w:rsidRPr="00774DF7">
        <w:rPr>
          <w:sz w:val="21"/>
        </w:rPr>
        <w:t xml:space="preserve"> 2020–2023 concerned not the type of statistical model but the choice among </w:t>
      </w:r>
      <w:r w:rsidRPr="00774DF7">
        <w:rPr>
          <w:sz w:val="21"/>
        </w:rPr>
        <w:t xml:space="preserve">the </w:t>
      </w:r>
      <w:r w:rsidRPr="00774DF7">
        <w:rPr>
          <w:sz w:val="21"/>
        </w:rPr>
        <w:t xml:space="preserve">four ZINB prediction models </w:t>
      </w:r>
      <w:r w:rsidRPr="00774DF7">
        <w:rPr>
          <w:sz w:val="21"/>
        </w:rPr>
        <w:t xml:space="preserve">that </w:t>
      </w:r>
      <w:r w:rsidRPr="00774DF7">
        <w:rPr>
          <w:sz w:val="21"/>
        </w:rPr>
        <w:t>differ</w:t>
      </w:r>
      <w:r w:rsidRPr="00774DF7">
        <w:rPr>
          <w:sz w:val="21"/>
        </w:rPr>
        <w:t>ed</w:t>
      </w:r>
      <w:r w:rsidRPr="00774DF7">
        <w:rPr>
          <w:sz w:val="21"/>
        </w:rPr>
        <w:t xml:space="preserve"> in the placement of the supply variables.</w:t>
      </w:r>
    </w:p>
    <w:p ns2:paraId="46050FAE" ns2:textId="77777777" w:rsidR="00DF3B47" w:rsidRPr="00774DF7" w:rsidRDefault="00DF3B47" w:rsidP="00774DF7">
      <w:pPr>
        <w:spacing w:after="0" w:line="360" w:lineRule="auto"/>
        <w:rPr>
          <w:sz w:val="21"/>
        </w:rPr>
      </w:pPr>
    </w:p>
    <w:p ns2:paraId="4CF610C5" ns2:textId="77777777" w:rsidR="00DF3B47" w:rsidRPr="00774DF7" w:rsidRDefault="00DF3B47" w:rsidP="00774DF7">
      <w:pPr>
        <w:spacing w:after="0" w:line="360" w:lineRule="auto"/>
        <w:rPr>
          <w:b/>
          <w:sz w:val="25"/>
        </w:rPr>
      </w:pPr>
      <w:r w:rsidRPr="00774DF7">
        <w:rPr>
          <w:b/>
          <w:sz w:val="25"/>
        </w:rPr>
        <w:t>S6. Repeated observations and scope of inference</w:t>
      </w:r>
    </w:p>
    <w:p ns2:paraId="16EE2E0F" ns2:textId="2558B0D0" w:rsidR="00DF3B47" w:rsidRPr="00774DF7" w:rsidRDefault="00DF3B47" w:rsidP="00774DF7">
      <w:pPr>
        <w:spacing w:after="0" w:line="360" w:lineRule="auto"/>
        <w:rPr>
          <w:sz w:val="21"/>
        </w:rPr>
      </w:pPr>
      <w:r w:rsidRPr="00774DF7">
        <w:rPr>
          <w:sz w:val="21"/>
        </w:rPr>
        <w:lastRenderedPageBreak/>
        <w:t>As</w:t>
      </w:r>
      <w:r w:rsidRPr="00774DF7">
        <w:rPr>
          <w:sz w:val="21"/>
        </w:rPr>
        <w:t xml:space="preserve"> the </w:t>
      </w:r>
      <w:r w:rsidRPr="00774DF7">
        <w:rPr>
          <w:sz w:val="21"/>
        </w:rPr>
        <w:t xml:space="preserve">primary aim of the study was</w:t>
      </w:r>
      <w:r w:rsidRPr="00774DF7">
        <w:rPr>
          <w:sz w:val="21"/>
        </w:rPr>
        <w:t xml:space="preserve"> aggregate-level prediction rather than the explanation of individual coefficients, model selection focused on predictive performance [41]. The same person can be observed </w:t>
      </w:r>
      <w:r w:rsidRPr="00774DF7">
        <w:rPr>
          <w:sz w:val="21"/>
        </w:rPr>
        <w:t>for</w:t>
      </w:r>
      <w:r w:rsidRPr="00774DF7">
        <w:rPr>
          <w:sz w:val="21"/>
        </w:rPr>
        <w:t xml:space="preserve"> up to five years, but </w:t>
      </w:r>
      <w:r w:rsidRPr="00774DF7">
        <w:rPr>
          <w:sz w:val="21"/>
        </w:rPr>
        <w:t xml:space="preserve">the </w:t>
      </w:r>
      <w:r w:rsidRPr="00774DF7">
        <w:rPr>
          <w:sz w:val="21"/>
        </w:rPr>
        <w:t xml:space="preserve">within-person correlation was not modeled separately [42]. </w:t>
      </w:r>
      <w:r w:rsidRPr="00774DF7">
        <w:rPr>
          <w:sz w:val="21"/>
        </w:rPr>
        <w:t xml:space="preserve">Therefore, the c</w:t>
      </w:r>
      <w:r w:rsidRPr="00774DF7">
        <w:rPr>
          <w:sz w:val="21"/>
        </w:rPr>
        <w:t xml:space="preserve">onfidence intervals of the coefficients were </w:t>
      </w:r>
      <w:r w:rsidRPr="00774DF7">
        <w:rPr>
          <w:sz w:val="21"/>
        </w:rPr>
        <w:t xml:space="preserve">interpreted as supportive, descriptive results rather than grounds for confirmatory significance judgements.</w:t>
      </w:r>
    </w:p>
    <w:p ns2:paraId="1B653064" ns2:textId="77777777" w:rsidR="00DF3B47" w:rsidRPr="00774DF7" w:rsidRDefault="00DF3B47" w:rsidP="00774DF7">
      <w:pPr>
        <w:spacing w:after="0" w:line="360" w:lineRule="auto"/>
        <w:rPr>
          <w:sz w:val="21"/>
        </w:rPr>
      </w:pPr>
    </w:p>
    <w:p ns2:paraId="19A65606" ns2:textId="77777777" w:rsidR="00DF3B47" w:rsidRPr="00774DF7" w:rsidRDefault="00DF3B47" w:rsidP="00774DF7">
      <w:pPr>
        <w:spacing w:after="0" w:line="360" w:lineRule="auto"/>
        <w:rPr>
          <w:sz w:val="21"/>
        </w:rPr>
      </w:pPr>
    </w:p>
    <w:p ns2:paraId="4A69BCC8" ns2:textId="77777777" w:rsidR="00DF3B47" w:rsidRPr="00774DF7" w:rsidRDefault="00DF3B47" w:rsidP="00774DF7">
      <w:pPr>
        <w:spacing w:after="0" w:line="360" w:lineRule="auto"/>
        <w:rPr>
          <w:b/>
          <w:sz w:val="25"/>
        </w:rPr>
      </w:pPr>
      <w:r w:rsidRPr="00774DF7">
        <w:rPr>
          <w:b/>
          <w:sz w:val="25"/>
        </w:rPr>
        <w:t>S7. Prediction-model candidates and evaluation</w:t>
      </w:r>
    </w:p>
    <w:p ns2:paraId="557C1B7F" ns2:textId="4598BFE6" w:rsidR="00DF3B47" w:rsidRPr="00774DF7" w:rsidRDefault="00DF3B47" w:rsidP="00774DF7">
      <w:pPr>
        <w:spacing w:after="0" w:line="360" w:lineRule="auto"/>
        <w:rPr>
          <w:sz w:val="21"/>
        </w:rPr>
      </w:pPr>
      <w:r w:rsidRPr="00774DF7">
        <w:rPr>
          <w:sz w:val="21"/>
        </w:rPr>
        <w:t xml:space="preserve">Four ZINB prediction models were constructed</w:t>
      </w:r>
      <w:r w:rsidR="00F0057E">
        <w:rPr>
          <w:sz w:val="21"/>
        </w:rPr>
        <w:t>,</w:t>
      </w:r>
      <w:r w:rsidRPr="00774DF7">
        <w:rPr>
          <w:sz w:val="21"/>
        </w:rPr>
        <w:t xml:space="preserve"> differing in the placement of </w:t>
      </w:r>
      <w:r w:rsidRPr="00774DF7">
        <w:rPr>
          <w:sz w:val="21"/>
        </w:rPr>
        <w:t xml:space="preserve">supply factors (nurse, nurse-aide, and bed densities): Model 1 excluded them</w:t>
      </w:r>
      <w:r w:rsidRPr="00774DF7">
        <w:rPr>
          <w:sz w:val="21"/>
        </w:rPr>
        <w:t>,</w:t>
      </w:r>
      <w:r w:rsidRPr="00774DF7">
        <w:rPr>
          <w:sz w:val="21"/>
        </w:rPr>
        <w:t xml:space="preserve"> Model 2 included them in both components</w:t>
      </w:r>
      <w:r w:rsidRPr="00774DF7">
        <w:rPr>
          <w:sz w:val="21"/>
        </w:rPr>
        <w:t>,</w:t>
      </w:r>
      <w:r w:rsidRPr="00774DF7">
        <w:rPr>
          <w:sz w:val="21"/>
        </w:rPr>
        <w:t xml:space="preserve"> Model 3 in</w:t>
      </w:r>
      <w:r w:rsidRPr="00774DF7">
        <w:rPr>
          <w:sz w:val="21"/>
        </w:rPr>
        <w:t xml:space="preserve">cluded only</w:t>
      </w:r>
      <w:r w:rsidRPr="00774DF7">
        <w:rPr>
          <w:sz w:val="21"/>
        </w:rPr>
        <w:t xml:space="preserve"> the logistic component</w:t>
      </w:r>
      <w:r w:rsidRPr="00774DF7">
        <w:rPr>
          <w:sz w:val="21"/>
        </w:rPr>
        <w:t>,</w:t>
      </w:r>
      <w:r w:rsidRPr="00774DF7">
        <w:rPr>
          <w:sz w:val="21"/>
        </w:rPr>
        <w:t xml:space="preserve"> and Model 4 in</w:t>
      </w:r>
      <w:r w:rsidRPr="00774DF7">
        <w:rPr>
          <w:sz w:val="21"/>
        </w:rPr>
        <w:t xml:space="preserve">cluded only</w:t>
      </w:r>
      <w:r w:rsidRPr="00774DF7">
        <w:rPr>
          <w:sz w:val="21"/>
        </w:rPr>
        <w:t xml:space="preserve"> the count component</w:t>
      </w:r>
      <w:r w:rsidRPr="00774DF7">
        <w:rPr>
          <w:sz w:val="21"/>
        </w:rPr>
        <w:t xml:space="preserve">. All other covariates were identical across the four models. The oldest age category, collapsed to '60+' at the statistical model comparison stage, was split into 60s, 70s, and ≥80 at this stage to align</w:t>
      </w:r>
      <w:r w:rsidRPr="00774DF7">
        <w:rPr>
          <w:sz w:val="21"/>
        </w:rPr>
        <w:t xml:space="preserve"/>
      </w:r>
      <w:r w:rsidRPr="00774DF7">
        <w:rPr>
          <w:sz w:val="21"/>
        </w:rPr>
        <w:t xml:space="preserve"> with the age bands of the population projections.</w:t>
      </w:r>
    </w:p>
    <w:p ns2:paraId="1537C4FC" ns2:textId="77777777" w:rsidR="00DF3B47" w:rsidRPr="00774DF7" w:rsidRDefault="00DF3B47" w:rsidP="00774DF7">
      <w:pPr>
        <w:spacing w:after="0" w:line="360" w:lineRule="auto"/>
        <w:rPr>
          <w:sz w:val="21"/>
        </w:rPr>
      </w:pPr>
      <w:r w:rsidRPr="00774DF7">
        <w:rPr>
          <w:sz w:val="21"/>
        </w:rPr>
        <w:t xml:space="preserve">The evaluation compared each candidate's predictions with </w:t>
      </w:r>
      <w:r w:rsidRPr="00774DF7">
        <w:rPr>
          <w:sz w:val="21"/>
        </w:rPr>
        <w:t xml:space="preserve">the </w:t>
      </w:r>
      <w:r w:rsidRPr="00774DF7">
        <w:rPr>
          <w:sz w:val="21"/>
        </w:rPr>
        <w:t xml:space="preserve">observed total inpatient days in the customized DB for 2020–2023</w:t>
      </w:r>
      <w:r w:rsidRPr="00774DF7">
        <w:rPr>
          <w:sz w:val="21"/>
        </w:rPr>
        <w:t xml:space="preserve"> (a period not used in the estimation)</w:t>
      </w:r>
      <w:r w:rsidRPr="00774DF7">
        <w:rPr>
          <w:sz w:val="21"/>
        </w:rPr>
        <w:t xml:space="preserve"> at the national aggregate level by year. The two databases were not linked at the individual level, and the supply factors took their observed values </w:t>
      </w:r>
      <w:r w:rsidRPr="00774DF7">
        <w:rPr>
          <w:sz w:val="21"/>
        </w:rPr>
        <w:t xml:space="preserve">each year. The criteria were MAPE [43] and </w:t>
      </w:r>
      <w:r w:rsidRPr="00774DF7">
        <w:rPr>
          <w:sz w:val="21"/>
        </w:rPr>
        <w:t xml:space="preserve">absolute error in 2023, with the signed error (predicted</w:t>
      </w:r>
      <w:r w:rsidRPr="00774DF7">
        <w:rPr>
          <w:sz w:val="21"/>
        </w:rPr>
        <w:t>–</w:t>
      </w:r>
      <w:r w:rsidRPr="00774DF7">
        <w:rPr>
          <w:sz w:val="21"/>
        </w:rPr>
        <w:t xml:space="preserve">observed) also reported to show the direction of </w:t>
      </w:r>
      <w:r w:rsidRPr="00774DF7">
        <w:rPr>
          <w:sz w:val="21"/>
        </w:rPr>
        <w:t xml:space="preserve">the </w:t>
      </w:r>
      <w:r w:rsidRPr="00774DF7">
        <w:rPr>
          <w:sz w:val="21"/>
        </w:rPr>
        <w:t>error.</w:t>
      </w:r>
    </w:p>
    <w:p ns2:paraId="178CB5F7" ns2:textId="77777777" w:rsidR="00DF3B47" w:rsidRPr="00774DF7" w:rsidRDefault="00DF3B47" w:rsidP="00774DF7">
      <w:pPr>
        <w:spacing w:after="0" w:line="360" w:lineRule="auto"/>
        <w:rPr>
          <w:sz w:val="21"/>
        </w:rPr>
      </w:pPr>
      <w:r w:rsidRPr="00774DF7">
        <w:rPr>
          <w:sz w:val="21"/>
        </w:rPr>
        <w:t xml:space="preserve">Model 2 showed the smallest errors on both criteria—MAPE 15.0%, 2023 absolute error 740,337 days, signed error −740,337 days (Table A.5). Model 1 had a MAPE of 60.3% with a signed error of +23,973,411 days; Model 3, 23.2% and −3,231,439 days; Model 4, 54.5% and +21,780,545 days. </w:t>
      </w:r>
      <w:r w:rsidRPr="00774DF7">
        <w:rPr>
          <w:sz w:val="21"/>
        </w:rPr>
        <w:t>The</w:t>
      </w:r>
      <w:r w:rsidRPr="00774DF7">
        <w:rPr>
          <w:sz w:val="21"/>
        </w:rPr>
        <w:t xml:space="preserve"> </w:t>
      </w:r>
      <w:r w:rsidRPr="00774DF7">
        <w:rPr>
          <w:sz w:val="21"/>
        </w:rPr>
        <w:t xml:space="preserve">annual absolute percentage errors </w:t>
      </w:r>
      <w:r w:rsidRPr="00774DF7">
        <w:rPr>
          <w:sz w:val="21"/>
        </w:rPr>
        <w:t xml:space="preserve">of Model 2 </w:t>
      </w:r>
      <w:r w:rsidRPr="00774DF7">
        <w:rPr>
          <w:sz w:val="21"/>
        </w:rPr>
        <w:t xml:space="preserve">for 2020</w:t>
      </w:r>
      <w:r w:rsidRPr="00774DF7">
        <w:rPr>
          <w:sz w:val="21"/>
        </w:rPr>
        <w:t>–</w:t>
      </w:r>
      <w:r w:rsidRPr="00774DF7">
        <w:rPr>
          <w:sz w:val="21"/>
        </w:rPr>
        <w:t xml:space="preserve">2023 </w:t>
      </w:r>
      <w:r w:rsidRPr="00774DF7">
        <w:rPr>
          <w:sz w:val="21"/>
        </w:rPr>
        <w:t>a</w:t>
      </w:r>
      <w:r w:rsidRPr="00774DF7">
        <w:rPr>
          <w:sz w:val="21"/>
        </w:rPr>
        <w:t xml:space="preserve">re 24.7%, 22.9%, 9.0%, and 3.5%, respectively (Table A.6, Fig. A.1)</w:t>
      </w:r>
      <w:r w:rsidRPr="00774DF7">
        <w:rPr>
          <w:sz w:val="21"/>
        </w:rPr>
        <w:t xml:space="preserve"/>
      </w:r>
      <w:r w:rsidRPr="00774DF7">
        <w:rPr>
          <w:sz w:val="21"/>
        </w:rPr>
        <w:t xml:space="preserve">. Because the 2020–2023 data were used to compare and select the candidates, these results </w:t>
      </w:r>
      <w:r w:rsidRPr="00774DF7">
        <w:rPr>
          <w:sz w:val="21"/>
        </w:rPr>
        <w:t>we</w:t>
      </w:r>
      <w:r w:rsidRPr="00774DF7">
        <w:rPr>
          <w:sz w:val="21"/>
        </w:rPr>
        <w:t xml:space="preserve">re interpreted as </w:t>
      </w:r>
      <w:r w:rsidRPr="00774DF7">
        <w:rPr>
          <w:sz w:val="21"/>
        </w:rPr>
        <w:t xml:space="preserve">the </w:t>
      </w:r>
      <w:r w:rsidRPr="00774DF7">
        <w:rPr>
          <w:sz w:val="21"/>
        </w:rPr>
        <w:t xml:space="preserve">aggregate-level predictive performance observed in the model</w:t>
      </w:r>
      <w:r w:rsidRPr="00774DF7">
        <w:rPr>
          <w:sz w:val="21"/>
        </w:rPr>
        <w:t xml:space="preserve"> </w:t>
      </w:r>
      <w:r w:rsidRPr="00774DF7">
        <w:rPr>
          <w:sz w:val="21"/>
        </w:rPr>
        <w:t xml:space="preserve">selection process rather than as an independent final evaluation.</w:t>
      </w:r>
    </w:p>
    <w:p ns2:paraId="11BE38DC" ns2:textId="77777777" w:rsidR="00DF3B47" w:rsidRPr="00774DF7" w:rsidRDefault="00DF3B47" w:rsidP="00774DF7">
      <w:pPr>
        <w:spacing w:after="0" w:line="360" w:lineRule="auto"/>
        <w:rPr>
          <w:sz w:val="21"/>
        </w:rPr>
      </w:pPr>
    </w:p>
    <w:p ns2:paraId="0C2D83F9" ns2:textId="77777777" w:rsidR="00DF3B47" w:rsidRPr="00774DF7" w:rsidRDefault="00DF3B47" w:rsidP="00774DF7">
      <w:pPr>
        <w:spacing w:after="0" w:line="360" w:lineRule="auto"/>
        <w:rPr>
          <w:b/>
          <w:sz w:val="25"/>
        </w:rPr>
      </w:pPr>
      <w:r w:rsidRPr="00774DF7">
        <w:rPr>
          <w:b/>
          <w:sz w:val="25"/>
        </w:rPr>
        <w:t>S8. Scenario inputs</w:t>
      </w:r>
    </w:p>
    <w:p ns2:paraId="492CA69F" ns2:textId="77777777" w:rsidR="00DF3B47" w:rsidRPr="00774DF7" w:rsidRDefault="00DF3B47" w:rsidP="00774DF7">
      <w:pPr>
        <w:spacing w:after="0" w:line="360" w:lineRule="auto"/>
        <w:rPr>
          <w:sz w:val="21"/>
        </w:rPr>
      </w:pPr>
      <w:r w:rsidRPr="00774DF7">
        <w:rPr>
          <w:sz w:val="21"/>
        </w:rPr>
        <w:t>The supply axis comprises 12 scenarios: three simultaneous expansions of all three variables (2% per year, 5% per year, and the observed 2020–2023 average annual growth), six single-factor expansions (nurses, nurse</w:t>
      </w:r>
      <w:r w:rsidRPr="00774DF7">
        <w:rPr>
          <w:sz w:val="21"/>
        </w:rPr>
        <w:t>-</w:t>
      </w:r>
      <w:r w:rsidRPr="00774DF7">
        <w:rPr>
          <w:sz w:val="21"/>
        </w:rPr>
        <w:t>aides, and beds at 2% and 5% per year</w:t>
      </w:r>
      <w:r w:rsidRPr="00774DF7">
        <w:rPr>
          <w:sz w:val="21"/>
        </w:rPr>
        <w:t>,</w:t>
      </w:r>
      <w:r w:rsidRPr="00774DF7">
        <w:rPr>
          <w:sz w:val="21"/>
        </w:rPr>
        <w:t xml:space="preserve"> </w:t>
      </w:r>
      <w:r w:rsidRPr="00774DF7">
        <w:rPr>
          <w:sz w:val="21"/>
        </w:rPr>
        <w:t>respectively</w:t>
      </w:r>
      <w:r w:rsidRPr="00774DF7">
        <w:rPr>
          <w:sz w:val="21"/>
        </w:rPr>
        <w:t xml:space="preserve">), two joint nurse and nurse-aide expansions (2% and 5% per year), and one baseline holding 2023 levels. The </w:t>
      </w:r>
      <w:r w:rsidRPr="00774DF7">
        <w:rPr>
          <w:sz w:val="21"/>
        </w:rPr>
        <w:t>average annual growth rates were 8.19%</w:t>
      </w:r>
      <w:r w:rsidRPr="00774DF7">
        <w:rPr>
          <w:sz w:val="21"/>
        </w:rPr>
        <w:t>, 10.06 %, and 4.61%</w:t>
      </w:r>
      <w:r w:rsidRPr="00774DF7">
        <w:rPr>
          <w:sz w:val="21"/>
        </w:rPr>
        <w:t xml:space="preserve"> for</w:t>
      </w:r>
      <w:r w:rsidRPr="00774DF7">
        <w:rPr>
          <w:sz w:val="21"/>
        </w:rPr>
        <w:t xml:space="preserve"> the</w:t>
      </w:r>
      <w:r w:rsidRPr="00774DF7">
        <w:rPr>
          <w:sz w:val="21"/>
        </w:rPr>
        <w:t xml:space="preserve"> nurses,</w:t>
      </w:r>
      <w:r w:rsidRPr="00774DF7">
        <w:rPr>
          <w:sz w:val="21"/>
        </w:rPr>
        <w:t xml:space="preserve"> nurse aides, and </w:t>
      </w:r>
      <w:r w:rsidRPr="00774DF7">
        <w:rPr>
          <w:sz w:val="21"/>
        </w:rPr>
        <w:t>beds</w:t>
      </w:r>
      <w:r w:rsidRPr="00774DF7">
        <w:rPr>
          <w:sz w:val="21"/>
        </w:rPr>
        <w:t>, respectively</w:t>
      </w:r>
      <w:r w:rsidRPr="00774DF7">
        <w:rPr>
          <w:sz w:val="21"/>
        </w:rPr>
        <w:t>.</w:t>
      </w:r>
    </w:p>
    <w:p ns2:paraId="51010052" ns2:textId="77777777" w:rsidR="00DF3B47" w:rsidRPr="00774DF7" w:rsidRDefault="00DF3B47" w:rsidP="00774DF7">
      <w:pPr>
        <w:spacing w:after="0" w:line="360" w:lineRule="auto"/>
        <w:rPr>
          <w:sz w:val="21"/>
        </w:rPr>
      </w:pPr>
      <w:r w:rsidRPr="00774DF7">
        <w:rPr>
          <w:sz w:val="21"/>
        </w:rPr>
        <w:lastRenderedPageBreak/>
        <w:t xml:space="preserve">Expansion scenarios apply </w:t>
      </w:r>
      <w:r w:rsidRPr="00774DF7">
        <w:rPr>
          <w:sz w:val="21"/>
        </w:rPr>
        <w:t>growth rates cumulatively over 2024–2030 and hold the 2030 level from 2031 onwards</w:t>
      </w:r>
      <w:r w:rsidRPr="00774DF7">
        <w:rPr>
          <w:sz w:val="21"/>
        </w:rPr>
        <w:t xml:space="preserve">, </w:t>
      </w:r>
      <w:r w:rsidRPr="00774DF7">
        <w:rPr>
          <w:sz w:val="21"/>
        </w:rPr>
        <w:t xml:space="preserve">a technical assumption to avoid extrapolating recent supply growth beyond 2030. Variables </w:t>
      </w:r>
      <w:r w:rsidRPr="00774DF7">
        <w:rPr>
          <w:sz w:val="21"/>
        </w:rPr>
        <w:t>that were not</w:t>
      </w:r>
      <w:r w:rsidRPr="00774DF7">
        <w:rPr>
          <w:sz w:val="21"/>
        </w:rPr>
        <w:t xml:space="preserve"> expanded </w:t>
      </w:r>
      <w:r w:rsidRPr="00774DF7">
        <w:rPr>
          <w:sz w:val="21"/>
        </w:rPr>
        <w:t>we</w:t>
      </w:r>
      <w:r w:rsidRPr="00774DF7">
        <w:rPr>
          <w:sz w:val="21"/>
        </w:rPr>
        <w:t xml:space="preserve">re fixed at </w:t>
      </w:r>
      <w:r w:rsidRPr="00774DF7">
        <w:rPr>
          <w:sz w:val="21"/>
        </w:rPr>
        <w:t xml:space="preserve">the </w:t>
      </w:r>
      <w:r w:rsidRPr="00774DF7">
        <w:rPr>
          <w:sz w:val="21"/>
        </w:rPr>
        <w:t>observed 2023 levels.</w:t>
      </w:r>
    </w:p>
    <w:p ns2:paraId="2E762C79" ns2:textId="77777777" w:rsidR="00DF3B47" w:rsidRPr="00774DF7" w:rsidRDefault="00DF3B47" w:rsidP="00774DF7">
      <w:pPr>
        <w:spacing w:after="0" w:line="360" w:lineRule="auto"/>
        <w:rPr>
          <w:sz w:val="21"/>
        </w:rPr>
      </w:pPr>
      <w:r w:rsidRPr="00774DF7">
        <w:rPr>
          <w:sz w:val="21"/>
        </w:rPr>
        <w:t xml:space="preserve">In </w:t>
      </w:r>
      <w:r w:rsidRPr="00774DF7">
        <w:rPr>
          <w:sz w:val="21"/>
        </w:rPr>
        <w:t xml:space="preserve">the </w:t>
      </w:r>
      <w:r w:rsidRPr="00774DF7">
        <w:rPr>
          <w:sz w:val="21"/>
        </w:rPr>
        <w:t xml:space="preserve">prediction, the year variable takes the value of each projection year, extending the year trend estimated </w:t>
      </w:r>
      <w:r w:rsidRPr="00774DF7">
        <w:rPr>
          <w:sz w:val="21"/>
        </w:rPr>
        <w:t>on the log scale</w:t>
      </w:r>
      <w:r w:rsidRPr="00774DF7">
        <w:rPr>
          <w:sz w:val="21"/>
        </w:rPr>
        <w:t xml:space="preserve"> identically in all scenarios. Factors other than population, </w:t>
      </w:r>
      <w:r w:rsidRPr="00774DF7">
        <w:rPr>
          <w:sz w:val="21"/>
        </w:rPr>
        <w:t>supply variables, and per-diem cost</w:t>
      </w:r>
      <w:r w:rsidRPr="00774DF7">
        <w:rPr>
          <w:sz w:val="21"/>
        </w:rPr>
        <w:t>s</w:t>
      </w:r>
      <w:r w:rsidRPr="00774DF7">
        <w:rPr>
          <w:sz w:val="21"/>
        </w:rPr>
        <w:t xml:space="preserve"> are assumed </w:t>
      </w:r>
      <w:r w:rsidRPr="00774DF7">
        <w:rPr>
          <w:sz w:val="21"/>
        </w:rPr>
        <w:t xml:space="preserve">to be </w:t>
      </w:r>
      <w:r w:rsidRPr="00774DF7">
        <w:rPr>
          <w:sz w:val="21"/>
        </w:rPr>
        <w:t xml:space="preserve">constant, and the regional allocation of resources and </w:t>
      </w:r>
      <w:r w:rsidRPr="00774DF7">
        <w:rPr>
          <w:sz w:val="21"/>
        </w:rPr>
        <w:t>program</w:t>
      </w:r>
      <w:r w:rsidRPr="00774DF7">
        <w:rPr>
          <w:sz w:val="21"/>
        </w:rPr>
        <w:t xml:space="preserve"> structure are held at </w:t>
      </w:r>
      <w:r w:rsidRPr="00774DF7">
        <w:rPr>
          <w:sz w:val="21"/>
        </w:rPr>
        <w:t xml:space="preserve">their </w:t>
      </w:r>
      <w:r w:rsidRPr="00774DF7">
        <w:rPr>
          <w:sz w:val="21"/>
        </w:rPr>
        <w:t>current levels.</w:t>
      </w:r>
    </w:p>
    <w:p ns2:paraId="66124562" ns2:textId="77777777" w:rsidR="00DF3B47" w:rsidRPr="00774DF7" w:rsidRDefault="00DF3B47" w:rsidP="00774DF7">
      <w:pPr>
        <w:spacing w:after="0" w:line="360" w:lineRule="auto"/>
        <w:rPr>
          <w:sz w:val="21"/>
        </w:rPr>
      </w:pPr>
    </w:p>
    <w:p ns2:paraId="0694D9E7" ns2:textId="77777777" w:rsidR="00DF3B47" w:rsidRPr="00774DF7" w:rsidRDefault="00DF3B47" w:rsidP="00774DF7">
      <w:pPr>
        <w:spacing w:after="0" w:line="360" w:lineRule="auto"/>
        <w:rPr>
          <w:b/>
          <w:sz w:val="25"/>
        </w:rPr>
      </w:pPr>
      <w:r w:rsidRPr="00774DF7">
        <w:rPr>
          <w:b/>
          <w:sz w:val="25"/>
        </w:rPr>
        <w:t>S9. Per-diem cost formulas and paths</w:t>
      </w:r>
    </w:p>
    <w:p ns2:paraId="17783263" ns2:textId="77777777" w:rsidR="00DF3B47" w:rsidRPr="00774DF7" w:rsidRDefault="00DF3B47" w:rsidP="00774DF7">
      <w:pPr>
        <w:spacing w:after="0" w:line="360" w:lineRule="auto"/>
        <w:rPr>
          <w:sz w:val="21"/>
        </w:rPr>
      </w:pPr>
      <w:r w:rsidRPr="00774DF7">
        <w:rPr>
          <w:sz w:val="21"/>
        </w:rPr>
        <w:t>The 2023 per-diem cost was computed from INCS inpatient claims in the customized DB:</w:t>
      </w:r>
    </w:p>
    <w:p ns2:paraId="7931ADAB" ns2:textId="77777777" w:rsidR="00DF3B47" w:rsidRPr="00774DF7" w:rsidRDefault="00DF3B47" w:rsidP="00774DF7">
      <w:pPr>
        <w:spacing w:after="0" w:line="360" w:lineRule="auto"/>
        <w:jc w:val="center"/>
        <w:rPr>
          <w:sz w:val="21"/>
        </w:rPr>
      </w:pPr>
      <w:r w:rsidRPr="00774DF7">
        <w:rPr>
          <w:sz w:val="21"/>
        </w:rPr>
        <w:t xml:space="preserve">Total per-diem cost = </w:t>
      </w:r>
      <w:r w:rsidRPr="00774DF7">
        <w:rPr>
          <w:sz w:val="21"/>
        </w:rPr>
        <w:t>adjudicated total treatment amount ÷ total inpatient days = 505,233 KRW</w:t>
      </w:r>
    </w:p>
    <w:p ns2:paraId="01E071AF" ns2:textId="77777777" w:rsidR="00DF3B47" w:rsidRPr="00774DF7" w:rsidRDefault="00DF3B47" w:rsidP="00774DF7">
      <w:pPr>
        <w:spacing w:after="0" w:line="360" w:lineRule="auto"/>
        <w:jc w:val="center"/>
        <w:rPr>
          <w:sz w:val="21"/>
        </w:rPr>
      </w:pPr>
      <w:r w:rsidRPr="00774DF7">
        <w:rPr>
          <w:sz w:val="21"/>
        </w:rPr>
        <w:t>Per-diem public payment = Σ adjudicated public-payer amount ÷ total inpatient days = 416,365 KRW</w:t>
      </w:r>
    </w:p>
    <w:p ns2:paraId="44264276" ns2:textId="2E3D53F8" w:rsidR="00DF3B47" w:rsidRPr="00774DF7" w:rsidRDefault="00DF3B47" w:rsidP="00774DF7">
      <w:pPr>
        <w:spacing w:after="0" w:line="360" w:lineRule="auto"/>
        <w:rPr>
          <w:sz w:val="21"/>
        </w:rPr>
      </w:pPr>
      <w:r w:rsidRPr="00774DF7">
        <w:rPr>
          <w:sz w:val="21"/>
        </w:rPr>
        <w:t xml:space="preserve">With no official long-term forecast for INCS per</w:t>
      </w:r>
      <w:r w:rsidRPr="00774DF7">
        <w:rPr>
          <w:sz w:val="21"/>
        </w:rPr>
        <w:t xml:space="preserve"> </w:t>
      </w:r>
      <w:r w:rsidRPr="00774DF7">
        <w:rPr>
          <w:sz w:val="21"/>
        </w:rPr>
        <w:t xml:space="preserve">diem cost, the annual change in the conversion factor—the general adjustment mechanism of Korean NHI fees—</w:t>
      </w:r>
      <w:r w:rsidRPr="00774DF7">
        <w:rPr>
          <w:sz w:val="21"/>
        </w:rPr>
        <w:t xml:space="preserve">served as a proxy [44]. The paths </w:t>
      </w:r>
      <w:r w:rsidRPr="00774DF7">
        <w:rPr>
          <w:sz w:val="21"/>
        </w:rPr>
        <w:t xml:space="preserve">were as follows</w:t>
      </w:r>
      <w:r w:rsidRPr="00774DF7">
        <w:rPr>
          <w:sz w:val="21"/>
        </w:rPr>
        <w:t xml:space="preserve">: the 2023 level held constant</w:t>
      </w:r>
      <w:r w:rsidRPr="00774DF7">
        <w:rPr>
          <w:sz w:val="21"/>
        </w:rPr>
        <w:t>,</w:t>
      </w:r>
      <w:r w:rsidRPr="00774DF7">
        <w:rPr>
          <w:sz w:val="21"/>
        </w:rPr>
        <w:t xml:space="preserve"> conservative growth (1.42% per year, the lowest annual hospital-sector conversion</w:t>
      </w:r>
      <w:r w:rsidRPr="00774DF7">
        <w:rPr>
          <w:sz w:val="21"/>
        </w:rPr>
        <w:t xml:space="preserve"> </w:t>
      </w:r>
      <w:r w:rsidRPr="00774DF7">
        <w:rPr>
          <w:sz w:val="21"/>
        </w:rPr>
        <w:t xml:space="preserve">factor increase in 2020–2023)</w:t>
      </w:r>
      <w:r w:rsidRPr="00774DF7">
        <w:rPr>
          <w:sz w:val="21"/>
        </w:rPr>
        <w:t>,</w:t>
      </w:r>
      <w:r w:rsidRPr="00774DF7">
        <w:rPr>
          <w:sz w:val="21"/>
        </w:rPr>
        <w:t xml:space="preserve"> and average growth (1.51% per year over the same period). This proxy does not capture per-diem changes arising from relative-value revisions, add-on schemes, or changes in </w:t>
      </w:r>
      <w:r w:rsidRPr="00774DF7">
        <w:rPr>
          <w:sz w:val="21"/>
        </w:rPr>
        <w:t xml:space="preserve">the </w:t>
      </w:r>
      <w:r w:rsidRPr="00774DF7">
        <w:rPr>
          <w:sz w:val="21"/>
        </w:rPr>
        <w:t xml:space="preserve">patient mix.</w:t>
      </w:r>
    </w:p>
    <w:p ns2:paraId="7CBD2537" ns2:textId="77777777" w:rsidR="00DF3B47" w:rsidRPr="00774DF7" w:rsidRDefault="00DF3B47" w:rsidP="00774DF7">
      <w:pPr>
        <w:spacing w:after="0" w:line="360" w:lineRule="auto"/>
        <w:rPr>
          <w:sz w:val="21"/>
        </w:rPr>
      </w:pPr>
    </w:p>
    <w:p ns2:paraId="3C87C511" ns2:textId="77777777" w:rsidR="00DF3B47" w:rsidRPr="00774DF7" w:rsidRDefault="00DF3B47" w:rsidP="00774DF7">
      <w:pPr>
        <w:spacing w:after="0" w:line="360" w:lineRule="auto"/>
        <w:rPr>
          <w:b/>
          <w:sz w:val="25"/>
        </w:rPr>
      </w:pPr>
      <w:r w:rsidRPr="00774DF7">
        <w:rPr>
          <w:b/>
          <w:sz w:val="25"/>
        </w:rPr>
        <w:t>S10. Selection of representative scenarios</w:t>
      </w:r>
    </w:p>
    <w:p ns2:paraId="3F9FFE6F" ns2:textId="77777777" w:rsidR="00DF3B47" w:rsidRPr="00774DF7" w:rsidRDefault="00DF3B47" w:rsidP="00774DF7">
      <w:pPr>
        <w:spacing w:after="0" w:line="360" w:lineRule="auto"/>
        <w:rPr>
          <w:sz w:val="21"/>
        </w:rPr>
      </w:pPr>
      <w:r w:rsidRPr="00774DF7">
        <w:rPr>
          <w:sz w:val="21"/>
        </w:rPr>
        <w:t xml:space="preserve">The c</w:t>
      </w:r>
      <w:r w:rsidRPr="00774DF7">
        <w:rPr>
          <w:sz w:val="21"/>
        </w:rPr>
        <w:t xml:space="preserve">umulative expected inpatient days </w:t>
      </w:r>
      <w:r w:rsidRPr="00774DF7">
        <w:rPr>
          <w:sz w:val="21"/>
        </w:rPr>
        <w:t>for</w:t>
      </w:r>
      <w:r w:rsidRPr="00774DF7">
        <w:rPr>
          <w:sz w:val="21"/>
        </w:rPr>
        <w:t xml:space="preserve"> 2025–2050 </w:t>
      </w:r>
      <w:r w:rsidRPr="00774DF7">
        <w:rPr>
          <w:sz w:val="21"/>
        </w:rPr>
        <w:t>a</w:t>
      </w:r>
      <w:r w:rsidRPr="00774DF7">
        <w:rPr>
          <w:sz w:val="21"/>
        </w:rPr>
        <w:t xml:space="preserve">re computed and ranked for each supply scenario (Table A.1). The maximum path </w:t>
      </w:r>
      <w:r w:rsidRPr="00774DF7">
        <w:rPr>
          <w:sz w:val="21"/>
        </w:rPr>
        <w:t>wa</w:t>
      </w:r>
      <w:r w:rsidRPr="00774DF7">
        <w:rPr>
          <w:sz w:val="21"/>
        </w:rPr>
        <w:t xml:space="preserve">s the simultaneous 5% expansion of all supply factors (10,905 million days)</w:t>
      </w:r>
      <w:r w:rsidRPr="00774DF7">
        <w:rPr>
          <w:sz w:val="21"/>
        </w:rPr>
        <w:t xml:space="preserve"> and</w:t>
      </w:r>
      <w:r w:rsidRPr="00774DF7">
        <w:rPr>
          <w:sz w:val="21"/>
        </w:rPr>
        <w:t xml:space="preserve"> the minimum </w:t>
      </w:r>
      <w:r w:rsidRPr="00774DF7">
        <w:rPr>
          <w:sz w:val="21"/>
        </w:rPr>
        <w:t>wa</w:t>
      </w:r>
      <w:r w:rsidRPr="00774DF7">
        <w:rPr>
          <w:sz w:val="21"/>
        </w:rPr>
        <w:t xml:space="preserve">s the 5% expansion of nurses and nurse aides (7,288 million days). Rather than the mathematical median, the no-change scenario (8,392 million days)</w:t>
      </w:r>
      <w:r w:rsidRPr="00774DF7">
        <w:rPr>
          <w:sz w:val="21"/>
        </w:rPr>
        <w:t xml:space="preserve">, which is </w:t>
      </w:r>
      <w:r w:rsidRPr="00774DF7">
        <w:rPr>
          <w:sz w:val="21"/>
        </w:rPr>
        <w:t xml:space="preserve">the policy-comparison baseline</w:t>
      </w:r>
      <w:r w:rsidRPr="00774DF7">
        <w:rPr>
          <w:sz w:val="21"/>
        </w:rPr>
        <w:t xml:space="preserve">, </w:t>
      </w:r>
      <w:r w:rsidRPr="00774DF7">
        <w:rPr>
          <w:sz w:val="21"/>
        </w:rPr>
        <w:t xml:space="preserve">was chosen as the middle path. Coupling these with the average</w:t>
      </w:r>
      <w:r w:rsidRPr="00774DF7">
        <w:rPr>
          <w:sz w:val="21"/>
        </w:rPr>
        <w:t xml:space="preserve"> </w:t>
      </w:r>
      <w:r w:rsidRPr="00774DF7">
        <w:rPr>
          <w:sz w:val="21"/>
        </w:rPr>
        <w:t xml:space="preserve">growth, conservative</w:t>
      </w:r>
      <w:r w:rsidRPr="00774DF7">
        <w:rPr>
          <w:sz w:val="21"/>
        </w:rPr>
        <w:t xml:space="preserve"> </w:t>
      </w:r>
      <w:r w:rsidRPr="00774DF7">
        <w:rPr>
          <w:sz w:val="21"/>
        </w:rPr>
        <w:t xml:space="preserve">growth, and 2023-fixed per-diem paths yields the maximum, baseline, and minimum scenarios. </w:t>
      </w:r>
      <w:r w:rsidRPr="00774DF7">
        <w:rPr>
          <w:sz w:val="21"/>
        </w:rPr>
        <w:t xml:space="preserve">The p</w:t>
      </w:r>
      <w:r w:rsidRPr="00774DF7">
        <w:rPr>
          <w:sz w:val="21"/>
        </w:rPr>
        <w:t xml:space="preserve">er-diem cost enters only the cost step and does not affect expected inpatient days.</w:t>
      </w:r>
    </w:p>
    <w:p ns2:paraId="77F0B952" ns2:textId="77777777" w:rsidR="00DF3B47" w:rsidRPr="00774DF7" w:rsidRDefault="00DF3B47" w:rsidP="00774DF7">
      <w:pPr>
        <w:spacing w:after="0" w:line="360" w:lineRule="auto"/>
        <w:rPr>
          <w:sz w:val="21"/>
        </w:rPr>
      </w:pPr>
      <w:r w:rsidRPr="00774DF7">
        <w:rPr>
          <w:sz w:val="21"/>
        </w:rPr>
        <w:t>Th</w:t>
      </w:r>
      <w:r w:rsidRPr="00774DF7">
        <w:rPr>
          <w:sz w:val="21"/>
        </w:rPr>
        <w:t>e joint 5% expansion of nurses and nurse aides produced the lowest cumulative expected inpatient days</w:t>
      </w:r>
      <w:r w:rsidRPr="00774DF7">
        <w:rPr>
          <w:sz w:val="21"/>
        </w:rPr>
        <w:t>,</w:t>
      </w:r>
      <w:r w:rsidRPr="00774DF7">
        <w:rPr>
          <w:sz w:val="21"/>
        </w:rPr>
        <w:t xml:space="preserve"> reflect</w:t>
      </w:r>
      <w:r w:rsidRPr="00774DF7">
        <w:rPr>
          <w:sz w:val="21"/>
        </w:rPr>
        <w:t>ing</w:t>
      </w:r>
      <w:r w:rsidRPr="00774DF7">
        <w:rPr>
          <w:sz w:val="21"/>
        </w:rPr>
        <w:t xml:space="preserve"> the fact that the population-average</w:t>
      </w:r>
      <w:r w:rsidRPr="00774DF7">
        <w:rPr>
          <w:sz w:val="21"/>
        </w:rPr>
        <w:t>d</w:t>
      </w:r>
      <w:r w:rsidRPr="00774DF7">
        <w:rPr>
          <w:sz w:val="21"/>
        </w:rPr>
        <w:t xml:space="preserve"> expected annual inpatient days</w:t>
      </w:r>
      <w:r w:rsidRPr="00774DF7">
        <w:rPr>
          <w:sz w:val="21"/>
        </w:rPr>
        <w:t xml:space="preserve">, </w:t>
      </w:r>
      <w:r w:rsidRPr="00774DF7">
        <w:rPr>
          <w:sz w:val="21"/>
        </w:rPr>
        <w:t>combining the two components</w:t>
      </w:r>
      <w:r w:rsidRPr="00774DF7">
        <w:rPr>
          <w:sz w:val="21"/>
        </w:rPr>
        <w:t>,</w:t>
      </w:r>
      <w:r w:rsidRPr="00774DF7">
        <w:rPr>
          <w:sz w:val="21"/>
        </w:rPr>
        <w:t xml:space="preserve"> were</w:t>
      </w:r>
      <w:r w:rsidRPr="00774DF7">
        <w:rPr>
          <w:sz w:val="21"/>
        </w:rPr>
        <w:t xml:space="preserve"> computed to decline under th</w:t>
      </w:r>
      <w:r w:rsidRPr="00774DF7">
        <w:rPr>
          <w:sz w:val="21"/>
        </w:rPr>
        <w:t>e</w:t>
      </w:r>
      <w:r w:rsidRPr="00774DF7">
        <w:rPr>
          <w:sz w:val="21"/>
        </w:rPr>
        <w:t>se supply inputs. This is a model-based association under scenario assumptions</w:t>
      </w:r>
      <w:r w:rsidRPr="00774DF7">
        <w:rPr>
          <w:sz w:val="21"/>
        </w:rPr>
        <w:t xml:space="preserve"> </w:t>
      </w:r>
      <w:r w:rsidRPr="00774DF7">
        <w:rPr>
          <w:sz w:val="21"/>
        </w:rPr>
        <w:t xml:space="preserve">and is </w:t>
      </w:r>
      <w:r w:rsidRPr="00774DF7">
        <w:rPr>
          <w:sz w:val="21"/>
        </w:rPr>
        <w:t xml:space="preserve">not an estimate of the causal effect of </w:t>
      </w:r>
      <w:r w:rsidRPr="00774DF7">
        <w:rPr>
          <w:sz w:val="21"/>
        </w:rPr>
        <w:t xml:space="preserve">the </w:t>
      </w:r>
      <w:r w:rsidRPr="00774DF7">
        <w:rPr>
          <w:sz w:val="21"/>
        </w:rPr>
        <w:t>supply policy.</w:t>
      </w:r>
    </w:p>
    <w:p ns2:paraId="01C31CCF" ns2:textId="69026630" w:rsidR="00DF3B47" w:rsidRPr="00774DF7" w:rsidRDefault="00DF3B47" w:rsidP="00774DF7">
      <w:pPr>
        <w:spacing w:after="0" w:line="360" w:lineRule="auto"/>
      </w:pPr>
      <w:r w:rsidRPr="00774DF7">
        <w:rPr>
          <w:rFonts w:eastAsia="Cambria"/>
        </w:rPr>
        <w:br w:type="page"/>
      </w:r>
    </w:p>
    <w:p>
      <w:pPr>
        <w:spacing w:before="240" w:after="100"/>
      </w:pPr>
      <w:r>
        <w:rPr>
          <w:rFonts w:ascii="Times New Roman" w:hAnsi="Times New Roman"/>
          <w:b/>
          <w:i w:val="0"/>
          <w:sz w:val="25"/>
        </w:rPr>
        <w:t>Appendix Tables</w:t>
      </w:r>
    </w:p>
    <w:p>
      <w:pPr>
        <w:spacing w:before="200" w:after="60"/>
      </w:pPr>
      <w:r>
        <w:rPr>
          <w:rFonts w:ascii="Times New Roman" w:hAnsi="Times New Roman"/>
          <w:b/>
          <w:i w:val="0"/>
          <w:sz w:val="20"/>
        </w:rPr>
        <w:t xml:space="preserve">Table A.1. Ranking of supply scenarios by cumulative expected inpatient days, 2025–2050 (million days)</w:t>
      </w:r>
    </w:p>
    <w:tbl>
      <w:tblPr>
        <w:tblStyle w:val="TableGrid"/>
        <w:tblW w:type="auto" w:w="0"/>
        <w:jc w:val="center"/>
        <w:tblLook w:firstColumn="1" w:firstRow="1" w:lastColumn="0" w:lastRow="0" w:noHBand="0" w:noVBand="1" w:val="04A0"/>
      </w:tblPr>
      <w:tblGrid>
        <w:gridCol w:w="2880"/>
        <w:gridCol w:w="2880"/>
        <w:gridCol w:w="2880"/>
      </w:tblGrid>
      <w:tr>
        <w:trPr>
          <w:tblHeader/>
        </w:trPr>
        <w:tc>
          <w:tcPr>
            <w:tcW w:type="dxa" w:w="2880"/>
            <w:shd w:val="clear" w:color="auto" w:fill="D9E2F3"/>
          </w:tcPr>
          <w:p>
            <w:pPr>
              <w:spacing w:before="20" w:after="20"/>
              <w:jc w:val="center"/>
            </w:pPr>
            <w:r/>
            <w:r>
              <w:rPr>
                <w:rFonts w:ascii="Times New Roman" w:hAnsi="Times New Roman"/>
                <w:b/>
                <w:sz w:val="17"/>
              </w:rPr>
              <w:t>Rank</w:t>
            </w:r>
          </w:p>
        </w:tc>
        <w:tc>
          <w:tcPr>
            <w:tcW w:type="dxa" w:w="2880"/>
            <w:shd w:val="clear" w:color="auto" w:fill="D9E2F3"/>
          </w:tcPr>
          <w:p>
            <w:pPr>
              <w:spacing w:before="20" w:after="20"/>
              <w:jc w:val="center"/>
            </w:pPr>
            <w:r/>
            <w:r>
              <w:rPr>
                <w:rFonts w:ascii="Times New Roman" w:hAnsi="Times New Roman"/>
                <w:b/>
                <w:sz w:val="17"/>
              </w:rPr>
              <w:t>Supply scenario</w:t>
            </w:r>
          </w:p>
        </w:tc>
        <w:tc>
          <w:tcPr>
            <w:tcW w:type="dxa" w:w="2880"/>
            <w:shd w:val="clear" w:color="auto" w:fill="D9E2F3"/>
          </w:tcPr>
          <w:p>
            <w:pPr>
              <w:spacing w:before="20" w:after="20"/>
              <w:jc w:val="center"/>
            </w:pPr>
            <w:r/>
            <w:r>
              <w:rPr>
                <w:rFonts w:ascii="Times New Roman" w:hAnsi="Times New Roman"/>
                <w:b/>
                <w:sz w:val="17"/>
              </w:rPr>
              <w:t>Cumulative expected inpatient days</w:t>
            </w:r>
          </w:p>
        </w:tc>
      </w:tr>
      <w:tr>
        <w:tc>
          <w:tcPr>
            <w:tcW w:type="dxa" w:w="2880"/>
          </w:tcPr>
          <w:p>
            <w:pPr>
              <w:spacing w:before="20" w:after="20"/>
              <w:jc w:val="center"/>
            </w:pPr>
            <w:r/>
            <w:r>
              <w:rPr>
                <w:rFonts w:ascii="Times New Roman" w:hAnsi="Times New Roman"/>
                <w:b w:val="0"/>
                <w:sz w:val="17"/>
              </w:rPr>
              <w:t>1</w:t>
            </w:r>
          </w:p>
        </w:tc>
        <w:tc>
          <w:tcPr>
            <w:tcW w:type="dxa" w:w="2880"/>
          </w:tcPr>
          <w:p>
            <w:pPr>
              <w:spacing w:before="20" w:after="20"/>
              <w:jc w:val="left"/>
            </w:pPr>
            <w:r/>
            <w:r>
              <w:rPr>
                <w:rFonts w:ascii="Times New Roman" w:hAnsi="Times New Roman"/>
                <w:b w:val="0"/>
                <w:sz w:val="17"/>
              </w:rPr>
              <w:t>All supply factors +5%/yr</w:t>
            </w:r>
          </w:p>
        </w:tc>
        <w:tc>
          <w:tcPr>
            <w:tcW w:type="dxa" w:w="2880"/>
          </w:tcPr>
          <w:p>
            <w:pPr>
              <w:spacing w:before="20" w:after="20"/>
              <w:jc w:val="right"/>
            </w:pPr>
            <w:r/>
            <w:r>
              <w:rPr>
                <w:rFonts w:ascii="Times New Roman" w:hAnsi="Times New Roman"/>
                <w:b w:val="0"/>
                <w:sz w:val="17"/>
              </w:rPr>
              <w:t>10,905</w:t>
            </w:r>
          </w:p>
        </w:tc>
      </w:tr>
      <w:tr>
        <w:tc>
          <w:tcPr>
            <w:tcW w:type="dxa" w:w="2880"/>
          </w:tcPr>
          <w:p>
            <w:pPr>
              <w:spacing w:before="20" w:after="20"/>
              <w:jc w:val="center"/>
            </w:pPr>
            <w:r/>
            <w:r>
              <w:rPr>
                <w:rFonts w:ascii="Times New Roman" w:hAnsi="Times New Roman"/>
                <w:b w:val="0"/>
                <w:sz w:val="17"/>
              </w:rPr>
              <w:t>2</w:t>
            </w:r>
          </w:p>
        </w:tc>
        <w:tc>
          <w:tcPr>
            <w:tcW w:type="dxa" w:w="2880"/>
          </w:tcPr>
          <w:p>
            <w:pPr>
              <w:spacing w:before="20" w:after="20"/>
              <w:jc w:val="left"/>
            </w:pPr>
            <w:r/>
            <w:r>
              <w:rPr>
                <w:rFonts w:ascii="Times New Roman" w:hAnsi="Times New Roman"/>
                <w:b w:val="0"/>
                <w:sz w:val="17"/>
              </w:rPr>
              <w:t>Beds +5%/yr</w:t>
            </w:r>
          </w:p>
        </w:tc>
        <w:tc>
          <w:tcPr>
            <w:tcW w:type="dxa" w:w="2880"/>
          </w:tcPr>
          <w:p>
            <w:pPr>
              <w:spacing w:before="20" w:after="20"/>
              <w:jc w:val="right"/>
            </w:pPr>
            <w:r/>
            <w:r>
              <w:rPr>
                <w:rFonts w:ascii="Times New Roman" w:hAnsi="Times New Roman"/>
                <w:b w:val="0"/>
                <w:sz w:val="17"/>
              </w:rPr>
              <w:t>10,653</w:t>
            </w:r>
          </w:p>
        </w:tc>
      </w:tr>
      <w:tr>
        <w:tc>
          <w:tcPr>
            <w:tcW w:type="dxa" w:w="2880"/>
          </w:tcPr>
          <w:p>
            <w:pPr>
              <w:spacing w:before="20" w:after="20"/>
              <w:jc w:val="center"/>
            </w:pPr>
            <w:r/>
            <w:r>
              <w:rPr>
                <w:rFonts w:ascii="Times New Roman" w:hAnsi="Times New Roman"/>
                <w:b w:val="0"/>
                <w:sz w:val="17"/>
              </w:rPr>
              <w:t>3</w:t>
            </w:r>
          </w:p>
        </w:tc>
        <w:tc>
          <w:tcPr>
            <w:tcW w:type="dxa" w:w="2880"/>
          </w:tcPr>
          <w:p>
            <w:pPr>
              <w:spacing w:before="20" w:after="20"/>
              <w:jc w:val="left"/>
            </w:pPr>
            <w:r/>
            <w:r>
              <w:rPr>
                <w:rFonts w:ascii="Times New Roman" w:hAnsi="Times New Roman"/>
                <w:b w:val="0"/>
                <w:sz w:val="17"/>
              </w:rPr>
              <w:t>All supply factors at observed average growth</w:t>
            </w:r>
          </w:p>
        </w:tc>
        <w:tc>
          <w:tcPr>
            <w:tcW w:type="dxa" w:w="2880"/>
          </w:tcPr>
          <w:p>
            <w:pPr>
              <w:spacing w:before="20" w:after="20"/>
              <w:jc w:val="right"/>
            </w:pPr>
            <w:r/>
            <w:r>
              <w:rPr>
                <w:rFonts w:ascii="Times New Roman" w:hAnsi="Times New Roman"/>
                <w:b w:val="0"/>
                <w:sz w:val="17"/>
              </w:rPr>
              <w:t>9,534</w:t>
            </w:r>
          </w:p>
        </w:tc>
      </w:tr>
      <w:tr>
        <w:tc>
          <w:tcPr>
            <w:tcW w:type="dxa" w:w="2880"/>
          </w:tcPr>
          <w:p>
            <w:pPr>
              <w:spacing w:before="20" w:after="20"/>
              <w:jc w:val="center"/>
            </w:pPr>
            <w:r/>
            <w:r>
              <w:rPr>
                <w:rFonts w:ascii="Times New Roman" w:hAnsi="Times New Roman"/>
                <w:b w:val="0"/>
                <w:sz w:val="17"/>
              </w:rPr>
              <w:t>4</w:t>
            </w:r>
          </w:p>
        </w:tc>
        <w:tc>
          <w:tcPr>
            <w:tcW w:type="dxa" w:w="2880"/>
          </w:tcPr>
          <w:p>
            <w:pPr>
              <w:spacing w:before="20" w:after="20"/>
              <w:jc w:val="left"/>
            </w:pPr>
            <w:r/>
            <w:r>
              <w:rPr>
                <w:rFonts w:ascii="Times New Roman" w:hAnsi="Times New Roman"/>
                <w:b w:val="0"/>
                <w:sz w:val="17"/>
              </w:rPr>
              <w:t>Beds +2%/yr</w:t>
            </w:r>
          </w:p>
        </w:tc>
        <w:tc>
          <w:tcPr>
            <w:tcW w:type="dxa" w:w="2880"/>
          </w:tcPr>
          <w:p>
            <w:pPr>
              <w:spacing w:before="20" w:after="20"/>
              <w:jc w:val="right"/>
            </w:pPr>
            <w:r/>
            <w:r>
              <w:rPr>
                <w:rFonts w:ascii="Times New Roman" w:hAnsi="Times New Roman"/>
                <w:b w:val="0"/>
                <w:sz w:val="17"/>
              </w:rPr>
              <w:t>9,422</w:t>
            </w:r>
          </w:p>
        </w:tc>
      </w:tr>
      <w:tr>
        <w:tc>
          <w:tcPr>
            <w:tcW w:type="dxa" w:w="2880"/>
          </w:tcPr>
          <w:p>
            <w:pPr>
              <w:spacing w:before="20" w:after="20"/>
              <w:jc w:val="center"/>
            </w:pPr>
            <w:r/>
            <w:r>
              <w:rPr>
                <w:rFonts w:ascii="Times New Roman" w:hAnsi="Times New Roman"/>
                <w:b w:val="0"/>
                <w:sz w:val="17"/>
              </w:rPr>
              <w:t>5</w:t>
            </w:r>
          </w:p>
        </w:tc>
        <w:tc>
          <w:tcPr>
            <w:tcW w:type="dxa" w:w="2880"/>
          </w:tcPr>
          <w:p>
            <w:pPr>
              <w:spacing w:before="20" w:after="20"/>
              <w:jc w:val="left"/>
            </w:pPr>
            <w:r/>
            <w:r>
              <w:rPr>
                <w:rFonts w:ascii="Times New Roman" w:hAnsi="Times New Roman"/>
                <w:b w:val="0"/>
                <w:sz w:val="17"/>
              </w:rPr>
              <w:t>All supply factors +2%/yr</w:t>
            </w:r>
          </w:p>
        </w:tc>
        <w:tc>
          <w:tcPr>
            <w:tcW w:type="dxa" w:w="2880"/>
          </w:tcPr>
          <w:p>
            <w:pPr>
              <w:spacing w:before="20" w:after="20"/>
              <w:jc w:val="right"/>
            </w:pPr>
            <w:r/>
            <w:r>
              <w:rPr>
                <w:rFonts w:ascii="Times New Roman" w:hAnsi="Times New Roman"/>
                <w:b w:val="0"/>
                <w:sz w:val="17"/>
              </w:rPr>
              <w:t>9,274</w:t>
            </w:r>
          </w:p>
        </w:tc>
      </w:tr>
      <w:tr>
        <w:tc>
          <w:tcPr>
            <w:tcW w:type="dxa" w:w="2880"/>
          </w:tcPr>
          <w:p>
            <w:pPr>
              <w:spacing w:before="20" w:after="20"/>
              <w:jc w:val="center"/>
            </w:pPr>
            <w:r/>
            <w:r>
              <w:rPr>
                <w:rFonts w:ascii="Times New Roman" w:hAnsi="Times New Roman"/>
                <w:b w:val="0"/>
                <w:sz w:val="17"/>
              </w:rPr>
              <w:t>6</w:t>
            </w:r>
          </w:p>
        </w:tc>
        <w:tc>
          <w:tcPr>
            <w:tcW w:type="dxa" w:w="2880"/>
          </w:tcPr>
          <w:p>
            <w:pPr>
              <w:spacing w:before="20" w:after="20"/>
              <w:jc w:val="left"/>
            </w:pPr>
            <w:r/>
            <w:r>
              <w:rPr>
                <w:rFonts w:ascii="Times New Roman" w:hAnsi="Times New Roman"/>
                <w:b w:val="0"/>
                <w:sz w:val="17"/>
              </w:rPr>
              <w:t>No change</w:t>
            </w:r>
          </w:p>
        </w:tc>
        <w:tc>
          <w:tcPr>
            <w:tcW w:type="dxa" w:w="2880"/>
          </w:tcPr>
          <w:p>
            <w:pPr>
              <w:spacing w:before="20" w:after="20"/>
              <w:jc w:val="right"/>
            </w:pPr>
            <w:r/>
            <w:r>
              <w:rPr>
                <w:rFonts w:ascii="Times New Roman" w:hAnsi="Times New Roman"/>
                <w:b w:val="0"/>
                <w:sz w:val="17"/>
              </w:rPr>
              <w:t>8,392</w:t>
            </w:r>
          </w:p>
        </w:tc>
      </w:tr>
      <w:tr>
        <w:tc>
          <w:tcPr>
            <w:tcW w:type="dxa" w:w="2880"/>
          </w:tcPr>
          <w:p>
            <w:pPr>
              <w:spacing w:before="20" w:after="20"/>
              <w:jc w:val="center"/>
            </w:pPr>
            <w:r/>
            <w:r>
              <w:rPr>
                <w:rFonts w:ascii="Times New Roman" w:hAnsi="Times New Roman"/>
                <w:b w:val="0"/>
                <w:sz w:val="17"/>
              </w:rPr>
              <w:t>7</w:t>
            </w:r>
          </w:p>
        </w:tc>
        <w:tc>
          <w:tcPr>
            <w:tcW w:type="dxa" w:w="2880"/>
          </w:tcPr>
          <w:p>
            <w:pPr>
              <w:spacing w:before="20" w:after="20"/>
              <w:jc w:val="left"/>
            </w:pPr>
            <w:r/>
            <w:r>
              <w:rPr>
                <w:rFonts w:ascii="Times New Roman" w:hAnsi="Times New Roman"/>
                <w:b w:val="0"/>
                <w:sz w:val="17"/>
              </w:rPr>
              <w:t>Nurse aides +2%/yr</w:t>
            </w:r>
          </w:p>
        </w:tc>
        <w:tc>
          <w:tcPr>
            <w:tcW w:type="dxa" w:w="2880"/>
          </w:tcPr>
          <w:p>
            <w:pPr>
              <w:spacing w:before="20" w:after="20"/>
              <w:jc w:val="right"/>
            </w:pPr>
            <w:r/>
            <w:r>
              <w:rPr>
                <w:rFonts w:ascii="Times New Roman" w:hAnsi="Times New Roman"/>
                <w:b w:val="0"/>
                <w:sz w:val="17"/>
              </w:rPr>
              <w:t>8,247</w:t>
            </w:r>
          </w:p>
        </w:tc>
      </w:tr>
      <w:tr>
        <w:tc>
          <w:tcPr>
            <w:tcW w:type="dxa" w:w="2880"/>
          </w:tcPr>
          <w:p>
            <w:pPr>
              <w:spacing w:before="20" w:after="20"/>
              <w:jc w:val="center"/>
            </w:pPr>
            <w:r/>
            <w:r>
              <w:rPr>
                <w:rFonts w:ascii="Times New Roman" w:hAnsi="Times New Roman"/>
                <w:b w:val="0"/>
                <w:sz w:val="17"/>
              </w:rPr>
              <w:t>8</w:t>
            </w:r>
          </w:p>
        </w:tc>
        <w:tc>
          <w:tcPr>
            <w:tcW w:type="dxa" w:w="2880"/>
          </w:tcPr>
          <w:p>
            <w:pPr>
              <w:spacing w:before="20" w:after="20"/>
              <w:jc w:val="left"/>
            </w:pPr>
            <w:r/>
            <w:r>
              <w:rPr>
                <w:rFonts w:ascii="Times New Roman" w:hAnsi="Times New Roman"/>
                <w:b w:val="0"/>
                <w:sz w:val="17"/>
              </w:rPr>
              <w:t>Nurses +2%/yr</w:t>
            </w:r>
          </w:p>
        </w:tc>
        <w:tc>
          <w:tcPr>
            <w:tcW w:type="dxa" w:w="2880"/>
          </w:tcPr>
          <w:p>
            <w:pPr>
              <w:spacing w:before="20" w:after="20"/>
              <w:jc w:val="right"/>
            </w:pPr>
            <w:r/>
            <w:r>
              <w:rPr>
                <w:rFonts w:ascii="Times New Roman" w:hAnsi="Times New Roman"/>
                <w:b w:val="0"/>
                <w:sz w:val="17"/>
              </w:rPr>
              <w:t>8,241</w:t>
            </w:r>
          </w:p>
        </w:tc>
      </w:tr>
      <w:tr>
        <w:tc>
          <w:tcPr>
            <w:tcW w:type="dxa" w:w="2880"/>
          </w:tcPr>
          <w:p>
            <w:pPr>
              <w:spacing w:before="20" w:after="20"/>
              <w:jc w:val="center"/>
            </w:pPr>
            <w:r/>
            <w:r>
              <w:rPr>
                <w:rFonts w:ascii="Times New Roman" w:hAnsi="Times New Roman"/>
                <w:b w:val="0"/>
                <w:sz w:val="17"/>
              </w:rPr>
              <w:t>9</w:t>
            </w:r>
          </w:p>
        </w:tc>
        <w:tc>
          <w:tcPr>
            <w:tcW w:type="dxa" w:w="2880"/>
          </w:tcPr>
          <w:p>
            <w:pPr>
              <w:spacing w:before="20" w:after="20"/>
              <w:jc w:val="left"/>
            </w:pPr>
            <w:r/>
            <w:r>
              <w:rPr>
                <w:rFonts w:ascii="Times New Roman" w:hAnsi="Times New Roman"/>
                <w:b w:val="0"/>
                <w:sz w:val="17"/>
              </w:rPr>
              <w:t>Nurses and nurse aides +2%/yr</w:t>
            </w:r>
          </w:p>
        </w:tc>
        <w:tc>
          <w:tcPr>
            <w:tcW w:type="dxa" w:w="2880"/>
          </w:tcPr>
          <w:p>
            <w:pPr>
              <w:spacing w:before="20" w:after="20"/>
              <w:jc w:val="right"/>
            </w:pPr>
            <w:r/>
            <w:r>
              <w:rPr>
                <w:rFonts w:ascii="Times New Roman" w:hAnsi="Times New Roman"/>
                <w:b w:val="0"/>
                <w:sz w:val="17"/>
              </w:rPr>
              <w:t>8,073</w:t>
            </w:r>
          </w:p>
        </w:tc>
      </w:tr>
      <w:tr>
        <w:tc>
          <w:tcPr>
            <w:tcW w:type="dxa" w:w="2880"/>
          </w:tcPr>
          <w:p>
            <w:pPr>
              <w:spacing w:before="20" w:after="20"/>
              <w:jc w:val="center"/>
            </w:pPr>
            <w:r/>
            <w:r>
              <w:rPr>
                <w:rFonts w:ascii="Times New Roman" w:hAnsi="Times New Roman"/>
                <w:b w:val="0"/>
                <w:sz w:val="17"/>
              </w:rPr>
              <w:t>10</w:t>
            </w:r>
          </w:p>
        </w:tc>
        <w:tc>
          <w:tcPr>
            <w:tcW w:type="dxa" w:w="2880"/>
          </w:tcPr>
          <w:p>
            <w:pPr>
              <w:spacing w:before="20" w:after="20"/>
              <w:jc w:val="left"/>
            </w:pPr>
            <w:r/>
            <w:r>
              <w:rPr>
                <w:rFonts w:ascii="Times New Roman" w:hAnsi="Times New Roman"/>
                <w:b w:val="0"/>
                <w:sz w:val="17"/>
              </w:rPr>
              <w:t>Nurses +5%/yr</w:t>
            </w:r>
          </w:p>
        </w:tc>
        <w:tc>
          <w:tcPr>
            <w:tcW w:type="dxa" w:w="2880"/>
          </w:tcPr>
          <w:p>
            <w:pPr>
              <w:spacing w:before="20" w:after="20"/>
              <w:jc w:val="right"/>
            </w:pPr>
            <w:r/>
            <w:r>
              <w:rPr>
                <w:rFonts w:ascii="Times New Roman" w:hAnsi="Times New Roman"/>
                <w:b w:val="0"/>
                <w:sz w:val="17"/>
              </w:rPr>
              <w:t>7,958</w:t>
            </w:r>
          </w:p>
        </w:tc>
      </w:tr>
      <w:tr>
        <w:tc>
          <w:tcPr>
            <w:tcW w:type="dxa" w:w="2880"/>
          </w:tcPr>
          <w:p>
            <w:pPr>
              <w:spacing w:before="20" w:after="20"/>
              <w:jc w:val="center"/>
            </w:pPr>
            <w:r/>
            <w:r>
              <w:rPr>
                <w:rFonts w:ascii="Times New Roman" w:hAnsi="Times New Roman"/>
                <w:b w:val="0"/>
                <w:sz w:val="17"/>
              </w:rPr>
              <w:t>11</w:t>
            </w:r>
          </w:p>
        </w:tc>
        <w:tc>
          <w:tcPr>
            <w:tcW w:type="dxa" w:w="2880"/>
          </w:tcPr>
          <w:p>
            <w:pPr>
              <w:spacing w:before="20" w:after="20"/>
              <w:jc w:val="left"/>
            </w:pPr>
            <w:r/>
            <w:r>
              <w:rPr>
                <w:rFonts w:ascii="Times New Roman" w:hAnsi="Times New Roman"/>
                <w:b w:val="0"/>
                <w:sz w:val="17"/>
              </w:rPr>
              <w:t>Nurse aides +5%/yr</w:t>
            </w:r>
          </w:p>
        </w:tc>
        <w:tc>
          <w:tcPr>
            <w:tcW w:type="dxa" w:w="2880"/>
          </w:tcPr>
          <w:p>
            <w:pPr>
              <w:spacing w:before="20" w:after="20"/>
              <w:jc w:val="right"/>
            </w:pPr>
            <w:r/>
            <w:r>
              <w:rPr>
                <w:rFonts w:ascii="Times New Roman" w:hAnsi="Times New Roman"/>
                <w:b w:val="0"/>
                <w:sz w:val="17"/>
              </w:rPr>
              <w:t>7,868</w:t>
            </w:r>
          </w:p>
        </w:tc>
      </w:tr>
      <w:tr>
        <w:tc>
          <w:tcPr>
            <w:tcW w:type="dxa" w:w="2880"/>
          </w:tcPr>
          <w:p>
            <w:pPr>
              <w:spacing w:before="20" w:after="20"/>
              <w:jc w:val="center"/>
            </w:pPr>
            <w:r/>
            <w:r>
              <w:rPr>
                <w:rFonts w:ascii="Times New Roman" w:hAnsi="Times New Roman"/>
                <w:b w:val="0"/>
                <w:sz w:val="17"/>
              </w:rPr>
              <w:t>12</w:t>
            </w:r>
          </w:p>
        </w:tc>
        <w:tc>
          <w:tcPr>
            <w:tcW w:type="dxa" w:w="2880"/>
          </w:tcPr>
          <w:p>
            <w:pPr>
              <w:spacing w:before="20" w:after="20"/>
              <w:jc w:val="left"/>
            </w:pPr>
            <w:r/>
            <w:r>
              <w:rPr>
                <w:rFonts w:ascii="Times New Roman" w:hAnsi="Times New Roman"/>
                <w:b w:val="0"/>
                <w:sz w:val="17"/>
              </w:rPr>
              <w:t>Nurses and nurse aides +5%/yr</w:t>
            </w:r>
          </w:p>
        </w:tc>
        <w:tc>
          <w:tcPr>
            <w:tcW w:type="dxa" w:w="2880"/>
          </w:tcPr>
          <w:p>
            <w:pPr>
              <w:spacing w:before="20" w:after="20"/>
              <w:jc w:val="right"/>
            </w:pPr>
            <w:r/>
            <w:r>
              <w:rPr>
                <w:rFonts w:ascii="Times New Roman" w:hAnsi="Times New Roman"/>
                <w:b w:val="0"/>
                <w:sz w:val="17"/>
              </w:rPr>
              <w:t>7,288</w:t>
            </w:r>
          </w:p>
        </w:tc>
      </w:tr>
    </w:tbl>
    <w:p>
      <w:pPr>
        <w:spacing w:before="0" w:after="160"/>
      </w:pPr>
      <w:r>
        <w:rPr>
          <w:rFonts w:ascii="Times New Roman" w:hAnsi="Times New Roman"/>
          <w:b w:val="0"/>
          <w:i/>
          <w:color w:val="595959"/>
          <w:sz w:val="16"/>
        </w:rPr>
        <w:t>The three representative paths correspond to rank 1 (maximum), rank 6 (baseline; the policy-comparison no-change scenario), and rank 12 (minimum).</w:t>
      </w:r>
    </w:p>
    <w:p>
      <w:pPr>
        <w:spacing w:before="200" w:after="60"/>
      </w:pPr>
      <w:r>
        <w:rPr>
          <w:rFonts w:ascii="Times New Roman" w:hAnsi="Times New Roman"/>
          <w:b/>
          <w:i w:val="0"/>
          <w:sz w:val="20"/>
        </w:rPr>
        <w:t xml:space="preserve">Table A.2. Characteristics of user person-years (sample cohort DB, 2015–2019; N = 55,643 person-years)</w:t>
      </w:r>
    </w:p>
    <w:tbl>
      <w:tblPr>
        <w:tblStyle w:val="TableGrid"/>
        <w:tblW w:type="auto" w:w="0"/>
        <w:jc w:val="center"/>
        <w:tblLook w:firstColumn="1" w:firstRow="1" w:lastColumn="0" w:lastRow="0" w:noHBand="0" w:noVBand="1" w:val="04A0"/>
      </w:tblPr>
      <w:tblGrid>
        <w:gridCol w:w="2160"/>
        <w:gridCol w:w="2160"/>
        <w:gridCol w:w="2160"/>
        <w:gridCol w:w="2160"/>
      </w:tblGrid>
      <w:tr>
        <w:trPr>
          <w:cantSplit/>
          <w:tblHeader w:val="1"/>
        </w:trPr>
        <w:tc>
          <w:tcPr>
            <w:tcW w:type="dxa" w:w="2160"/>
            <w:shd w:val="clear" w:color="auto" w:fill="D9E2F3"/>
          </w:tcPr>
          <w:p>
            <w:pPr>
              <w:spacing w:before="20" w:after="20"/>
              <w:jc w:val="center"/>
            </w:pPr>
            <w:r/>
            <w:r>
              <w:rPr>
                <w:rFonts w:ascii="Times New Roman" w:hAnsi="Times New Roman"/>
                <w:b/>
                <w:sz w:val="17"/>
              </w:rPr>
              <w:t>Variable</w:t>
            </w:r>
          </w:p>
        </w:tc>
        <w:tc>
          <w:tcPr>
            <w:tcW w:type="dxa" w:w="2160"/>
            <w:shd w:val="clear" w:color="auto" w:fill="D9E2F3"/>
          </w:tcPr>
          <w:p>
            <w:pPr>
              <w:spacing w:before="20" w:after="20"/>
              <w:jc w:val="center"/>
            </w:pPr>
            <w:r/>
            <w:r>
              <w:rPr>
                <w:rFonts w:ascii="Times New Roman" w:hAnsi="Times New Roman"/>
                <w:b/>
                <w:sz w:val="17"/>
              </w:rPr>
              <w:t>Category</w:t>
            </w:r>
          </w:p>
        </w:tc>
        <w:tc>
          <w:tcPr>
            <w:tcW w:type="dxa" w:w="2160"/>
            <w:shd w:val="clear" w:color="auto" w:fill="D9E2F3"/>
          </w:tcPr>
          <w:p>
            <w:pPr>
              <w:spacing w:before="20" w:after="20"/>
              <w:jc w:val="center"/>
            </w:pPr>
            <w:r/>
            <w:r>
              <w:rPr>
                <w:rFonts w:ascii="Times New Roman" w:hAnsi="Times New Roman"/>
                <w:b/>
                <w:sz w:val="17"/>
              </w:rPr>
              <w:t>N</w:t>
            </w:r>
          </w:p>
        </w:tc>
        <w:tc>
          <w:tcPr>
            <w:tcW w:type="dxa" w:w="2160"/>
            <w:shd w:val="clear" w:color="auto" w:fill="D9E2F3"/>
          </w:tcPr>
          <w:p>
            <w:pPr>
              <w:spacing w:before="20" w:after="20"/>
              <w:jc w:val="center"/>
            </w:pPr>
            <w:r/>
            <w:r>
              <w:rPr>
                <w:rFonts w:ascii="Times New Roman" w:hAnsi="Times New Roman"/>
                <w:b/>
                <w:sz w:val="17"/>
              </w:rPr>
              <w:t>%</w:t>
            </w:r>
          </w:p>
        </w:tc>
      </w:tr>
      <w:tr>
        <w:trPr>
          <w:cantSplit/>
        </w:trPr>
        <w:tc>
          <w:tcPr>
            <w:tcW w:type="dxa" w:w="2160"/>
            <w:vMerge w:val="restart"/>
          </w:tcPr>
          <w:p>
            <w:pPr>
              <w:spacing w:before="20" w:after="20"/>
              <w:jc w:val="left"/>
            </w:pPr>
            <w:r/>
            <w:r>
              <w:rPr>
                <w:rFonts w:ascii="Times New Roman" w:hAnsi="Times New Roman"/>
                <w:b w:val="0"/>
                <w:sz w:val="17"/>
              </w:rPr>
              <w:t>Sex</w:t>
            </w:r>
          </w:p>
        </w:tc>
        <w:tc>
          <w:tcPr>
            <w:tcW w:type="dxa" w:w="2160"/>
          </w:tcPr>
          <w:p>
            <w:pPr>
              <w:spacing w:before="20" w:after="20"/>
              <w:jc w:val="left"/>
            </w:pPr>
            <w:r/>
            <w:r>
              <w:rPr>
                <w:rFonts w:ascii="Times New Roman" w:hAnsi="Times New Roman"/>
                <w:b w:val="0"/>
                <w:sz w:val="17"/>
              </w:rPr>
              <w:t>Male</w:t>
            </w:r>
          </w:p>
        </w:tc>
        <w:tc>
          <w:tcPr>
            <w:tcW w:type="dxa" w:w="2160"/>
          </w:tcPr>
          <w:p>
            <w:pPr>
              <w:spacing w:before="20" w:after="20"/>
              <w:jc w:val="right"/>
            </w:pPr>
            <w:r/>
            <w:r>
              <w:rPr>
                <w:rFonts w:ascii="Times New Roman" w:hAnsi="Times New Roman"/>
                <w:b w:val="0"/>
                <w:sz w:val="17"/>
              </w:rPr>
              <w:t>24,707</w:t>
            </w:r>
          </w:p>
        </w:tc>
        <w:tc>
          <w:tcPr>
            <w:tcW w:type="dxa" w:w="2160"/>
          </w:tcPr>
          <w:p>
            <w:pPr>
              <w:spacing w:before="20" w:after="20"/>
              <w:jc w:val="right"/>
            </w:pPr>
            <w:r/>
            <w:r>
              <w:rPr>
                <w:rFonts w:ascii="Times New Roman" w:hAnsi="Times New Roman"/>
                <w:b w:val="0"/>
                <w:sz w:val="17"/>
              </w:rPr>
              <w:t>44.4</w:t>
            </w:r>
          </w:p>
        </w:tc>
      </w:tr>
      <w:tr>
        <w:trPr>
          <w:cantSplit/>
        </w:trPr>
        <w:tc>
          <w:tcPr>
            <w:tcW w:type="dxa" w:w="2160"/>
            <w:vMerge/>
          </w:tcPr>
          <w:p/>
        </w:tc>
        <w:tc>
          <w:tcPr>
            <w:tcW w:type="dxa" w:w="2160"/>
          </w:tcPr>
          <w:p>
            <w:pPr>
              <w:spacing w:before="20" w:after="20"/>
              <w:jc w:val="left"/>
            </w:pPr>
            <w:r/>
            <w:r>
              <w:rPr>
                <w:rFonts w:ascii="Times New Roman" w:hAnsi="Times New Roman"/>
                <w:b w:val="0"/>
                <w:sz w:val="17"/>
              </w:rPr>
              <w:t>Female</w:t>
            </w:r>
          </w:p>
        </w:tc>
        <w:tc>
          <w:tcPr>
            <w:tcW w:type="dxa" w:w="2160"/>
          </w:tcPr>
          <w:p>
            <w:pPr>
              <w:spacing w:before="20" w:after="20"/>
              <w:jc w:val="right"/>
            </w:pPr>
            <w:r/>
            <w:r>
              <w:rPr>
                <w:rFonts w:ascii="Times New Roman" w:hAnsi="Times New Roman"/>
                <w:b w:val="0"/>
                <w:sz w:val="17"/>
              </w:rPr>
              <w:t>30,936</w:t>
            </w:r>
          </w:p>
        </w:tc>
        <w:tc>
          <w:tcPr>
            <w:tcW w:type="dxa" w:w="2160"/>
          </w:tcPr>
          <w:p>
            <w:pPr>
              <w:spacing w:before="20" w:after="20"/>
              <w:jc w:val="right"/>
            </w:pPr>
            <w:r/>
            <w:r>
              <w:rPr>
                <w:rFonts w:ascii="Times New Roman" w:hAnsi="Times New Roman"/>
                <w:b w:val="0"/>
                <w:sz w:val="17"/>
              </w:rPr>
              <w:t>55.6</w:t>
            </w:r>
          </w:p>
        </w:tc>
      </w:tr>
      <w:tr>
        <w:trPr>
          <w:cantSplit/>
        </w:trPr>
        <w:tc>
          <w:tcPr>
            <w:tcW w:type="dxa" w:w="2160"/>
            <w:vMerge w:val="restart"/>
          </w:tcPr>
          <w:p>
            <w:pPr>
              <w:spacing w:before="20" w:after="20"/>
              <w:jc w:val="left"/>
            </w:pPr>
            <w:r/>
            <w:r>
              <w:rPr>
                <w:rFonts w:ascii="Times New Roman" w:hAnsi="Times New Roman"/>
                <w:b w:val="0"/>
                <w:sz w:val="17"/>
              </w:rPr>
              <w:t>Age</w:t>
            </w:r>
          </w:p>
        </w:tc>
        <w:tc>
          <w:tcPr>
            <w:tcW w:type="dxa" w:w="2160"/>
          </w:tcPr>
          <w:p>
            <w:pPr>
              <w:spacing w:before="20" w:after="20"/>
              <w:jc w:val="left"/>
            </w:pPr>
            <w:r/>
            <w:r>
              <w:rPr>
                <w:rFonts w:ascii="Times New Roman" w:hAnsi="Times New Roman"/>
                <w:b w:val="0"/>
                <w:sz w:val="17"/>
              </w:rPr>
              <w:t>&lt;40</w:t>
            </w:r>
          </w:p>
        </w:tc>
        <w:tc>
          <w:tcPr>
            <w:tcW w:type="dxa" w:w="2160"/>
          </w:tcPr>
          <w:p>
            <w:pPr>
              <w:spacing w:before="20" w:after="20"/>
              <w:jc w:val="right"/>
            </w:pPr>
            <w:r/>
            <w:r>
              <w:rPr>
                <w:rFonts w:ascii="Times New Roman" w:hAnsi="Times New Roman"/>
                <w:b w:val="0"/>
                <w:sz w:val="17"/>
              </w:rPr>
              <w:t>9,968</w:t>
            </w:r>
          </w:p>
        </w:tc>
        <w:tc>
          <w:tcPr>
            <w:tcW w:type="dxa" w:w="2160"/>
          </w:tcPr>
          <w:p>
            <w:pPr>
              <w:spacing w:before="20" w:after="20"/>
              <w:jc w:val="right"/>
            </w:pPr>
            <w:r/>
            <w:r>
              <w:rPr>
                <w:rFonts w:ascii="Times New Roman" w:hAnsi="Times New Roman"/>
                <w:b w:val="0"/>
                <w:sz w:val="17"/>
              </w:rPr>
              <w:t>17.9</w:t>
            </w:r>
          </w:p>
        </w:tc>
      </w:tr>
      <w:tr>
        <w:trPr>
          <w:cantSplit/>
        </w:trPr>
        <w:tc>
          <w:tcPr>
            <w:tcW w:type="dxa" w:w="2160"/>
            <w:vMerge/>
          </w:tcPr>
          <w:p/>
        </w:tc>
        <w:tc>
          <w:tcPr>
            <w:tcW w:type="dxa" w:w="2160"/>
          </w:tcPr>
          <w:p>
            <w:pPr>
              <w:spacing w:before="20" w:after="20"/>
              <w:jc w:val="left"/>
            </w:pPr>
            <w:r/>
            <w:r>
              <w:rPr>
                <w:rFonts w:ascii="Times New Roman" w:hAnsi="Times New Roman"/>
                <w:b w:val="0"/>
                <w:sz w:val="17"/>
              </w:rPr>
              <w:t>40s</w:t>
            </w:r>
          </w:p>
        </w:tc>
        <w:tc>
          <w:tcPr>
            <w:tcW w:type="dxa" w:w="2160"/>
          </w:tcPr>
          <w:p>
            <w:pPr>
              <w:spacing w:before="20" w:after="20"/>
              <w:jc w:val="right"/>
            </w:pPr>
            <w:r/>
            <w:r>
              <w:rPr>
                <w:rFonts w:ascii="Times New Roman" w:hAnsi="Times New Roman"/>
                <w:b w:val="0"/>
                <w:sz w:val="17"/>
              </w:rPr>
              <w:t>6,800</w:t>
            </w:r>
          </w:p>
        </w:tc>
        <w:tc>
          <w:tcPr>
            <w:tcW w:type="dxa" w:w="2160"/>
          </w:tcPr>
          <w:p>
            <w:pPr>
              <w:spacing w:before="20" w:after="20"/>
              <w:jc w:val="right"/>
            </w:pPr>
            <w:r/>
            <w:r>
              <w:rPr>
                <w:rFonts w:ascii="Times New Roman" w:hAnsi="Times New Roman"/>
                <w:b w:val="0"/>
                <w:sz w:val="17"/>
              </w:rPr>
              <w:t>12.2</w:t>
            </w:r>
          </w:p>
        </w:tc>
      </w:tr>
      <w:tr>
        <w:trPr>
          <w:cantSplit/>
        </w:trPr>
        <w:tc>
          <w:tcPr>
            <w:tcW w:type="dxa" w:w="2160"/>
            <w:vMerge/>
          </w:tcPr>
          <w:p/>
        </w:tc>
        <w:tc>
          <w:tcPr>
            <w:tcW w:type="dxa" w:w="2160"/>
          </w:tcPr>
          <w:p>
            <w:pPr>
              <w:spacing w:before="20" w:after="20"/>
              <w:jc w:val="left"/>
            </w:pPr>
            <w:r/>
            <w:r>
              <w:rPr>
                <w:rFonts w:ascii="Times New Roman" w:hAnsi="Times New Roman"/>
                <w:b w:val="0"/>
                <w:sz w:val="17"/>
              </w:rPr>
              <w:t>50s</w:t>
            </w:r>
          </w:p>
        </w:tc>
        <w:tc>
          <w:tcPr>
            <w:tcW w:type="dxa" w:w="2160"/>
          </w:tcPr>
          <w:p>
            <w:pPr>
              <w:spacing w:before="20" w:after="20"/>
              <w:jc w:val="right"/>
            </w:pPr>
            <w:r/>
            <w:r>
              <w:rPr>
                <w:rFonts w:ascii="Times New Roman" w:hAnsi="Times New Roman"/>
                <w:b w:val="0"/>
                <w:sz w:val="17"/>
              </w:rPr>
              <w:t>10,572</w:t>
            </w:r>
          </w:p>
        </w:tc>
        <w:tc>
          <w:tcPr>
            <w:tcW w:type="dxa" w:w="2160"/>
          </w:tcPr>
          <w:p>
            <w:pPr>
              <w:spacing w:before="20" w:after="20"/>
              <w:jc w:val="right"/>
            </w:pPr>
            <w:r/>
            <w:r>
              <w:rPr>
                <w:rFonts w:ascii="Times New Roman" w:hAnsi="Times New Roman"/>
                <w:b w:val="0"/>
                <w:sz w:val="17"/>
              </w:rPr>
              <w:t>19.0</w:t>
            </w:r>
          </w:p>
        </w:tc>
      </w:tr>
      <w:tr>
        <w:trPr>
          <w:cantSplit/>
        </w:trPr>
        <w:tc>
          <w:tcPr>
            <w:tcW w:type="dxa" w:w="2160"/>
            <w:vMerge/>
          </w:tcPr>
          <w:p/>
        </w:tc>
        <w:tc>
          <w:tcPr>
            <w:tcW w:type="dxa" w:w="2160"/>
          </w:tcPr>
          <w:p>
            <w:pPr>
              <w:spacing w:before="20" w:after="20"/>
              <w:jc w:val="left"/>
            </w:pPr>
            <w:r/>
            <w:r>
              <w:rPr>
                <w:rFonts w:ascii="Times New Roman" w:hAnsi="Times New Roman"/>
                <w:b w:val="0"/>
                <w:sz w:val="17"/>
              </w:rPr>
              <w:t>60s</w:t>
            </w:r>
          </w:p>
        </w:tc>
        <w:tc>
          <w:tcPr>
            <w:tcW w:type="dxa" w:w="2160"/>
          </w:tcPr>
          <w:p>
            <w:pPr>
              <w:spacing w:before="20" w:after="20"/>
              <w:jc w:val="right"/>
            </w:pPr>
            <w:r/>
            <w:r>
              <w:rPr>
                <w:rFonts w:ascii="Times New Roman" w:hAnsi="Times New Roman"/>
                <w:b w:val="0"/>
                <w:sz w:val="17"/>
              </w:rPr>
              <w:t>10,892</w:t>
            </w:r>
          </w:p>
        </w:tc>
        <w:tc>
          <w:tcPr>
            <w:tcW w:type="dxa" w:w="2160"/>
          </w:tcPr>
          <w:p>
            <w:pPr>
              <w:spacing w:before="20" w:after="20"/>
              <w:jc w:val="right"/>
            </w:pPr>
            <w:r/>
            <w:r>
              <w:rPr>
                <w:rFonts w:ascii="Times New Roman" w:hAnsi="Times New Roman"/>
                <w:b w:val="0"/>
                <w:sz w:val="17"/>
              </w:rPr>
              <w:t>19.6</w:t>
            </w:r>
          </w:p>
        </w:tc>
      </w:tr>
      <w:tr>
        <w:trPr>
          <w:cantSplit/>
        </w:trPr>
        <w:tc>
          <w:tcPr>
            <w:tcW w:type="dxa" w:w="2160"/>
            <w:vMerge/>
          </w:tcPr>
          <w:p/>
        </w:tc>
        <w:tc>
          <w:tcPr>
            <w:tcW w:type="dxa" w:w="2160"/>
          </w:tcPr>
          <w:p>
            <w:pPr>
              <w:spacing w:before="20" w:after="20"/>
              <w:jc w:val="left"/>
            </w:pPr>
            <w:r/>
            <w:r>
              <w:rPr>
                <w:rFonts w:ascii="Times New Roman" w:hAnsi="Times New Roman"/>
                <w:b w:val="0"/>
                <w:sz w:val="17"/>
              </w:rPr>
              <w:t>70s</w:t>
            </w:r>
          </w:p>
        </w:tc>
        <w:tc>
          <w:tcPr>
            <w:tcW w:type="dxa" w:w="2160"/>
          </w:tcPr>
          <w:p>
            <w:pPr>
              <w:spacing w:before="20" w:after="20"/>
              <w:jc w:val="right"/>
            </w:pPr>
            <w:r/>
            <w:r>
              <w:rPr>
                <w:rFonts w:ascii="Times New Roman" w:hAnsi="Times New Roman"/>
                <w:b w:val="0"/>
                <w:sz w:val="17"/>
              </w:rPr>
              <w:t>10,262</w:t>
            </w:r>
          </w:p>
        </w:tc>
        <w:tc>
          <w:tcPr>
            <w:tcW w:type="dxa" w:w="2160"/>
          </w:tcPr>
          <w:p>
            <w:pPr>
              <w:spacing w:before="20" w:after="20"/>
              <w:jc w:val="right"/>
            </w:pPr>
            <w:r/>
            <w:r>
              <w:rPr>
                <w:rFonts w:ascii="Times New Roman" w:hAnsi="Times New Roman"/>
                <w:b w:val="0"/>
                <w:sz w:val="17"/>
              </w:rPr>
              <w:t>18.4</w:t>
            </w:r>
          </w:p>
        </w:tc>
      </w:tr>
      <w:tr>
        <w:trPr>
          <w:cantSplit/>
        </w:trPr>
        <w:tc>
          <w:tcPr>
            <w:tcW w:type="dxa" w:w="2160"/>
            <w:vMerge/>
          </w:tcPr>
          <w:p/>
        </w:tc>
        <w:tc>
          <w:tcPr>
            <w:tcW w:type="dxa" w:w="2160"/>
          </w:tcPr>
          <w:p>
            <w:pPr>
              <w:spacing w:before="20" w:after="20"/>
              <w:jc w:val="left"/>
            </w:pPr>
            <w:r/>
            <w:r>
              <w:rPr>
                <w:rFonts w:ascii="Times New Roman" w:hAnsi="Times New Roman"/>
                <w:b w:val="0"/>
                <w:sz w:val="17"/>
              </w:rPr>
              <w:t>≥80</w:t>
            </w:r>
          </w:p>
        </w:tc>
        <w:tc>
          <w:tcPr>
            <w:tcW w:type="dxa" w:w="2160"/>
          </w:tcPr>
          <w:p>
            <w:pPr>
              <w:spacing w:before="20" w:after="20"/>
              <w:jc w:val="right"/>
            </w:pPr>
            <w:r/>
            <w:r>
              <w:rPr>
                <w:rFonts w:ascii="Times New Roman" w:hAnsi="Times New Roman"/>
                <w:b w:val="0"/>
                <w:sz w:val="17"/>
              </w:rPr>
              <w:t>7,149</w:t>
            </w:r>
          </w:p>
        </w:tc>
        <w:tc>
          <w:tcPr>
            <w:tcW w:type="dxa" w:w="2160"/>
          </w:tcPr>
          <w:p>
            <w:pPr>
              <w:spacing w:before="20" w:after="20"/>
              <w:jc w:val="right"/>
            </w:pPr>
            <w:r/>
            <w:r>
              <w:rPr>
                <w:rFonts w:ascii="Times New Roman" w:hAnsi="Times New Roman"/>
                <w:b w:val="0"/>
                <w:sz w:val="17"/>
              </w:rPr>
              <w:t>12.8</w:t>
            </w:r>
          </w:p>
        </w:tc>
      </w:tr>
      <w:tr>
        <w:trPr>
          <w:cantSplit/>
        </w:trPr>
        <w:tc>
          <w:tcPr>
            <w:tcW w:type="dxa" w:w="2160"/>
            <w:vMerge w:val="restart"/>
          </w:tcPr>
          <w:p>
            <w:pPr>
              <w:spacing w:before="20" w:after="20"/>
              <w:jc w:val="left"/>
            </w:pPr>
            <w:r/>
            <w:r>
              <w:rPr>
                <w:rFonts w:ascii="Times New Roman" w:hAnsi="Times New Roman"/>
                <w:b w:val="0"/>
                <w:sz w:val="17"/>
              </w:rPr>
              <w:t>Social security type</w:t>
            </w:r>
          </w:p>
        </w:tc>
        <w:tc>
          <w:tcPr>
            <w:tcW w:type="dxa" w:w="2160"/>
          </w:tcPr>
          <w:p>
            <w:pPr>
              <w:spacing w:before="20" w:after="20"/>
              <w:jc w:val="left"/>
            </w:pPr>
            <w:r/>
            <w:r>
              <w:rPr>
                <w:rFonts w:ascii="Times New Roman" w:hAnsi="Times New Roman"/>
                <w:b w:val="0"/>
                <w:sz w:val="17"/>
              </w:rPr>
              <w:t>NHI (employee-insured)</w:t>
            </w:r>
          </w:p>
        </w:tc>
        <w:tc>
          <w:tcPr>
            <w:tcW w:type="dxa" w:w="2160"/>
          </w:tcPr>
          <w:p>
            <w:pPr>
              <w:spacing w:before="20" w:after="20"/>
              <w:jc w:val="right"/>
            </w:pPr>
            <w:r/>
            <w:r>
              <w:rPr>
                <w:rFonts w:ascii="Times New Roman" w:hAnsi="Times New Roman"/>
                <w:b w:val="0"/>
                <w:sz w:val="17"/>
              </w:rPr>
              <w:t>36,019</w:t>
            </w:r>
          </w:p>
        </w:tc>
        <w:tc>
          <w:tcPr>
            <w:tcW w:type="dxa" w:w="2160"/>
          </w:tcPr>
          <w:p>
            <w:pPr>
              <w:spacing w:before="20" w:after="20"/>
              <w:jc w:val="right"/>
            </w:pPr>
            <w:r/>
            <w:r>
              <w:rPr>
                <w:rFonts w:ascii="Times New Roman" w:hAnsi="Times New Roman"/>
                <w:b w:val="0"/>
                <w:sz w:val="17"/>
              </w:rPr>
              <w:t>64.7</w:t>
            </w:r>
          </w:p>
        </w:tc>
      </w:tr>
      <w:tr>
        <w:trPr>
          <w:cantSplit/>
        </w:trPr>
        <w:tc>
          <w:tcPr>
            <w:tcW w:type="dxa" w:w="2160"/>
            <w:vMerge/>
          </w:tcPr>
          <w:p/>
        </w:tc>
        <w:tc>
          <w:tcPr>
            <w:tcW w:type="dxa" w:w="2160"/>
          </w:tcPr>
          <w:p>
            <w:pPr>
              <w:spacing w:before="20" w:after="20"/>
              <w:jc w:val="left"/>
            </w:pPr>
            <w:r/>
            <w:r>
              <w:rPr>
                <w:rFonts w:ascii="Times New Roman" w:hAnsi="Times New Roman"/>
                <w:b w:val="0"/>
                <w:sz w:val="17"/>
              </w:rPr>
              <w:t>NHI (self-employed-insured)</w:t>
            </w:r>
          </w:p>
        </w:tc>
        <w:tc>
          <w:tcPr>
            <w:tcW w:type="dxa" w:w="2160"/>
          </w:tcPr>
          <w:p>
            <w:pPr>
              <w:spacing w:before="20" w:after="20"/>
              <w:jc w:val="right"/>
            </w:pPr>
            <w:r/>
            <w:r>
              <w:rPr>
                <w:rFonts w:ascii="Times New Roman" w:hAnsi="Times New Roman"/>
                <w:b w:val="0"/>
                <w:sz w:val="17"/>
              </w:rPr>
              <w:t>15,276</w:t>
            </w:r>
          </w:p>
        </w:tc>
        <w:tc>
          <w:tcPr>
            <w:tcW w:type="dxa" w:w="2160"/>
          </w:tcPr>
          <w:p>
            <w:pPr>
              <w:spacing w:before="20" w:after="20"/>
              <w:jc w:val="right"/>
            </w:pPr>
            <w:r/>
            <w:r>
              <w:rPr>
                <w:rFonts w:ascii="Times New Roman" w:hAnsi="Times New Roman"/>
                <w:b w:val="0"/>
                <w:sz w:val="17"/>
              </w:rPr>
              <w:t>27.5</w:t>
            </w:r>
          </w:p>
        </w:tc>
      </w:tr>
      <w:tr>
        <w:trPr>
          <w:cantSplit/>
        </w:trPr>
        <w:tc>
          <w:tcPr>
            <w:tcW w:type="dxa" w:w="2160"/>
            <w:vMerge/>
          </w:tcPr>
          <w:p/>
        </w:tc>
        <w:tc>
          <w:tcPr>
            <w:tcW w:type="dxa" w:w="2160"/>
          </w:tcPr>
          <w:p>
            <w:pPr>
              <w:spacing w:before="20" w:after="20"/>
              <w:jc w:val="left"/>
            </w:pPr>
            <w:r/>
            <w:r>
              <w:rPr>
                <w:rFonts w:ascii="Times New Roman" w:hAnsi="Times New Roman"/>
                <w:b w:val="0"/>
                <w:sz w:val="17"/>
              </w:rPr>
              <w:t>Medical Aid</w:t>
            </w:r>
          </w:p>
        </w:tc>
        <w:tc>
          <w:tcPr>
            <w:tcW w:type="dxa" w:w="2160"/>
          </w:tcPr>
          <w:p>
            <w:pPr>
              <w:spacing w:before="20" w:after="20"/>
              <w:jc w:val="right"/>
            </w:pPr>
            <w:r/>
            <w:r>
              <w:rPr>
                <w:rFonts w:ascii="Times New Roman" w:hAnsi="Times New Roman"/>
                <w:b w:val="0"/>
                <w:sz w:val="17"/>
              </w:rPr>
              <w:t>4,348</w:t>
            </w:r>
          </w:p>
        </w:tc>
        <w:tc>
          <w:tcPr>
            <w:tcW w:type="dxa" w:w="2160"/>
          </w:tcPr>
          <w:p>
            <w:pPr>
              <w:spacing w:before="20" w:after="20"/>
              <w:jc w:val="right"/>
            </w:pPr>
            <w:r/>
            <w:r>
              <w:rPr>
                <w:rFonts w:ascii="Times New Roman" w:hAnsi="Times New Roman"/>
                <w:b w:val="0"/>
                <w:sz w:val="17"/>
              </w:rPr>
              <w:t>7.8</w:t>
            </w:r>
          </w:p>
        </w:tc>
      </w:tr>
      <w:tr>
        <w:trPr>
          <w:cantSplit/>
        </w:trPr>
        <w:tc>
          <w:tcPr>
            <w:tcW w:type="dxa" w:w="2160"/>
            <w:vMerge w:val="restart"/>
          </w:tcPr>
          <w:p>
            <w:pPr>
              <w:spacing w:before="20" w:after="20"/>
              <w:jc w:val="left"/>
            </w:pPr>
            <w:r/>
            <w:r>
              <w:rPr>
                <w:rFonts w:ascii="Times New Roman" w:hAnsi="Times New Roman"/>
                <w:b w:val="0"/>
                <w:sz w:val="17"/>
              </w:rPr>
              <w:t>Income level</w:t>
            </w:r>
          </w:p>
        </w:tc>
        <w:tc>
          <w:tcPr>
            <w:tcW w:type="dxa" w:w="2160"/>
          </w:tcPr>
          <w:p>
            <w:pPr>
              <w:spacing w:before="20" w:after="20"/>
              <w:jc w:val="left"/>
            </w:pPr>
            <w:r/>
            <w:r>
              <w:rPr>
                <w:rFonts w:ascii="Times New Roman" w:hAnsi="Times New Roman"/>
                <w:b w:val="0"/>
                <w:sz w:val="17"/>
              </w:rPr>
              <w:t>0</w:t>
            </w:r>
          </w:p>
        </w:tc>
        <w:tc>
          <w:tcPr>
            <w:tcW w:type="dxa" w:w="2160"/>
          </w:tcPr>
          <w:p>
            <w:pPr>
              <w:spacing w:before="20" w:after="20"/>
              <w:jc w:val="right"/>
            </w:pPr>
            <w:r/>
            <w:r>
              <w:rPr>
                <w:rFonts w:ascii="Times New Roman" w:hAnsi="Times New Roman"/>
                <w:b w:val="0"/>
                <w:sz w:val="17"/>
              </w:rPr>
              <w:t>4,349</w:t>
            </w:r>
          </w:p>
        </w:tc>
        <w:tc>
          <w:tcPr>
            <w:tcW w:type="dxa" w:w="2160"/>
          </w:tcPr>
          <w:p>
            <w:pPr>
              <w:spacing w:before="20" w:after="20"/>
              <w:jc w:val="right"/>
            </w:pPr>
            <w:r/>
            <w:r>
              <w:rPr>
                <w:rFonts w:ascii="Times New Roman" w:hAnsi="Times New Roman"/>
                <w:b w:val="0"/>
                <w:sz w:val="17"/>
              </w:rPr>
              <w:t>7.8</w:t>
            </w:r>
          </w:p>
        </w:tc>
      </w:tr>
      <w:tr>
        <w:trPr>
          <w:cantSplit/>
        </w:trPr>
        <w:tc>
          <w:tcPr>
            <w:tcW w:type="dxa" w:w="2160"/>
            <w:vMerge/>
          </w:tcPr>
          <w:p/>
        </w:tc>
        <w:tc>
          <w:tcPr>
            <w:tcW w:type="dxa" w:w="2160"/>
          </w:tcPr>
          <w:p>
            <w:pPr>
              <w:spacing w:before="20" w:after="20"/>
              <w:jc w:val="left"/>
            </w:pPr>
            <w:r/>
            <w:r>
              <w:rPr>
                <w:rFonts w:ascii="Times New Roman" w:hAnsi="Times New Roman"/>
                <w:b w:val="0"/>
                <w:sz w:val="17"/>
              </w:rPr>
              <w:t>1</w:t>
            </w:r>
          </w:p>
        </w:tc>
        <w:tc>
          <w:tcPr>
            <w:tcW w:type="dxa" w:w="2160"/>
          </w:tcPr>
          <w:p>
            <w:pPr>
              <w:spacing w:before="20" w:after="20"/>
              <w:jc w:val="right"/>
            </w:pPr>
            <w:r/>
            <w:r>
              <w:rPr>
                <w:rFonts w:ascii="Times New Roman" w:hAnsi="Times New Roman"/>
                <w:b w:val="0"/>
                <w:sz w:val="17"/>
              </w:rPr>
              <w:t>8,503</w:t>
            </w:r>
          </w:p>
        </w:tc>
        <w:tc>
          <w:tcPr>
            <w:tcW w:type="dxa" w:w="2160"/>
          </w:tcPr>
          <w:p>
            <w:pPr>
              <w:spacing w:before="20" w:after="20"/>
              <w:jc w:val="right"/>
            </w:pPr>
            <w:r/>
            <w:r>
              <w:rPr>
                <w:rFonts w:ascii="Times New Roman" w:hAnsi="Times New Roman"/>
                <w:b w:val="0"/>
                <w:sz w:val="17"/>
              </w:rPr>
              <w:t>15.3</w:t>
            </w:r>
          </w:p>
        </w:tc>
      </w:tr>
      <w:tr>
        <w:trPr>
          <w:cantSplit/>
        </w:trPr>
        <w:tc>
          <w:tcPr>
            <w:tcW w:type="dxa" w:w="2160"/>
            <w:vMerge/>
          </w:tcPr>
          <w:p/>
        </w:tc>
        <w:tc>
          <w:tcPr>
            <w:tcW w:type="dxa" w:w="2160"/>
          </w:tcPr>
          <w:p>
            <w:pPr>
              <w:spacing w:before="20" w:after="20"/>
              <w:jc w:val="left"/>
            </w:pPr>
            <w:r/>
            <w:r>
              <w:rPr>
                <w:rFonts w:ascii="Times New Roman" w:hAnsi="Times New Roman"/>
                <w:b w:val="0"/>
                <w:sz w:val="17"/>
              </w:rPr>
              <w:t>2</w:t>
            </w:r>
          </w:p>
        </w:tc>
        <w:tc>
          <w:tcPr>
            <w:tcW w:type="dxa" w:w="2160"/>
          </w:tcPr>
          <w:p>
            <w:pPr>
              <w:spacing w:before="20" w:after="20"/>
              <w:jc w:val="right"/>
            </w:pPr>
            <w:r/>
            <w:r>
              <w:rPr>
                <w:rFonts w:ascii="Times New Roman" w:hAnsi="Times New Roman"/>
                <w:b w:val="0"/>
                <w:sz w:val="17"/>
              </w:rPr>
              <w:t>7,191</w:t>
            </w:r>
          </w:p>
        </w:tc>
        <w:tc>
          <w:tcPr>
            <w:tcW w:type="dxa" w:w="2160"/>
          </w:tcPr>
          <w:p>
            <w:pPr>
              <w:spacing w:before="20" w:after="20"/>
              <w:jc w:val="right"/>
            </w:pPr>
            <w:r/>
            <w:r>
              <w:rPr>
                <w:rFonts w:ascii="Times New Roman" w:hAnsi="Times New Roman"/>
                <w:b w:val="0"/>
                <w:sz w:val="17"/>
              </w:rPr>
              <w:t>12.9</w:t>
            </w:r>
          </w:p>
        </w:tc>
      </w:tr>
      <w:tr>
        <w:trPr>
          <w:cantSplit/>
        </w:trPr>
        <w:tc>
          <w:tcPr>
            <w:tcW w:type="dxa" w:w="2160"/>
            <w:vMerge/>
          </w:tcPr>
          <w:p/>
        </w:tc>
        <w:tc>
          <w:tcPr>
            <w:tcW w:type="dxa" w:w="2160"/>
          </w:tcPr>
          <w:p>
            <w:pPr>
              <w:spacing w:before="20" w:after="20"/>
              <w:jc w:val="left"/>
            </w:pPr>
            <w:r/>
            <w:r>
              <w:rPr>
                <w:rFonts w:ascii="Times New Roman" w:hAnsi="Times New Roman"/>
                <w:b w:val="0"/>
                <w:sz w:val="17"/>
              </w:rPr>
              <w:t>3</w:t>
            </w:r>
          </w:p>
        </w:tc>
        <w:tc>
          <w:tcPr>
            <w:tcW w:type="dxa" w:w="2160"/>
          </w:tcPr>
          <w:p>
            <w:pPr>
              <w:spacing w:before="20" w:after="20"/>
              <w:jc w:val="right"/>
            </w:pPr>
            <w:r/>
            <w:r>
              <w:rPr>
                <w:rFonts w:ascii="Times New Roman" w:hAnsi="Times New Roman"/>
                <w:b w:val="0"/>
                <w:sz w:val="17"/>
              </w:rPr>
              <w:t>8,940</w:t>
            </w:r>
          </w:p>
        </w:tc>
        <w:tc>
          <w:tcPr>
            <w:tcW w:type="dxa" w:w="2160"/>
          </w:tcPr>
          <w:p>
            <w:pPr>
              <w:spacing w:before="20" w:after="20"/>
              <w:jc w:val="right"/>
            </w:pPr>
            <w:r/>
            <w:r>
              <w:rPr>
                <w:rFonts w:ascii="Times New Roman" w:hAnsi="Times New Roman"/>
                <w:b w:val="0"/>
                <w:sz w:val="17"/>
              </w:rPr>
              <w:t>16.1</w:t>
            </w:r>
          </w:p>
        </w:tc>
      </w:tr>
      <w:tr>
        <w:trPr>
          <w:cantSplit/>
        </w:trPr>
        <w:tc>
          <w:tcPr>
            <w:tcW w:type="dxa" w:w="2160"/>
            <w:vMerge/>
          </w:tcPr>
          <w:p/>
        </w:tc>
        <w:tc>
          <w:tcPr>
            <w:tcW w:type="dxa" w:w="2160"/>
          </w:tcPr>
          <w:p>
            <w:pPr>
              <w:spacing w:before="20" w:after="20"/>
              <w:jc w:val="left"/>
            </w:pPr>
            <w:r/>
            <w:r>
              <w:rPr>
                <w:rFonts w:ascii="Times New Roman" w:hAnsi="Times New Roman"/>
                <w:b w:val="0"/>
                <w:sz w:val="17"/>
              </w:rPr>
              <w:t>4</w:t>
            </w:r>
          </w:p>
        </w:tc>
        <w:tc>
          <w:tcPr>
            <w:tcW w:type="dxa" w:w="2160"/>
          </w:tcPr>
          <w:p>
            <w:pPr>
              <w:spacing w:before="20" w:after="20"/>
              <w:jc w:val="right"/>
            </w:pPr>
            <w:r/>
            <w:r>
              <w:rPr>
                <w:rFonts w:ascii="Times New Roman" w:hAnsi="Times New Roman"/>
                <w:b w:val="0"/>
                <w:sz w:val="17"/>
              </w:rPr>
              <w:t>11,478</w:t>
            </w:r>
          </w:p>
        </w:tc>
        <w:tc>
          <w:tcPr>
            <w:tcW w:type="dxa" w:w="2160"/>
          </w:tcPr>
          <w:p>
            <w:pPr>
              <w:spacing w:before="20" w:after="20"/>
              <w:jc w:val="right"/>
            </w:pPr>
            <w:r/>
            <w:r>
              <w:rPr>
                <w:rFonts w:ascii="Times New Roman" w:hAnsi="Times New Roman"/>
                <w:b w:val="0"/>
                <w:sz w:val="17"/>
              </w:rPr>
              <w:t>20.6</w:t>
            </w:r>
          </w:p>
        </w:tc>
      </w:tr>
      <w:tr>
        <w:trPr>
          <w:cantSplit/>
        </w:trPr>
        <w:tc>
          <w:tcPr>
            <w:tcW w:type="dxa" w:w="2160"/>
            <w:vMerge/>
          </w:tcPr>
          <w:p/>
        </w:tc>
        <w:tc>
          <w:tcPr>
            <w:tcW w:type="dxa" w:w="2160"/>
          </w:tcPr>
          <w:p>
            <w:pPr>
              <w:spacing w:before="20" w:after="20"/>
              <w:jc w:val="left"/>
            </w:pPr>
            <w:r/>
            <w:r>
              <w:rPr>
                <w:rFonts w:ascii="Times New Roman" w:hAnsi="Times New Roman"/>
                <w:b w:val="0"/>
                <w:sz w:val="17"/>
              </w:rPr>
              <w:t>5 (highest)</w:t>
            </w:r>
          </w:p>
        </w:tc>
        <w:tc>
          <w:tcPr>
            <w:tcW w:type="dxa" w:w="2160"/>
          </w:tcPr>
          <w:p>
            <w:pPr>
              <w:spacing w:before="20" w:after="20"/>
              <w:jc w:val="right"/>
            </w:pPr>
            <w:r/>
            <w:r>
              <w:rPr>
                <w:rFonts w:ascii="Times New Roman" w:hAnsi="Times New Roman"/>
                <w:b w:val="0"/>
                <w:sz w:val="17"/>
              </w:rPr>
              <w:t>15,182</w:t>
            </w:r>
          </w:p>
        </w:tc>
        <w:tc>
          <w:tcPr>
            <w:tcW w:type="dxa" w:w="2160"/>
          </w:tcPr>
          <w:p>
            <w:pPr>
              <w:spacing w:before="20" w:after="20"/>
              <w:jc w:val="right"/>
            </w:pPr>
            <w:r/>
            <w:r>
              <w:rPr>
                <w:rFonts w:ascii="Times New Roman" w:hAnsi="Times New Roman"/>
                <w:b w:val="0"/>
                <w:sz w:val="17"/>
              </w:rPr>
              <w:t>27.3</w:t>
            </w:r>
          </w:p>
        </w:tc>
      </w:tr>
      <w:tr>
        <w:trPr>
          <w:cantSplit/>
        </w:trPr>
        <w:tc>
          <w:tcPr>
            <w:tcW w:type="dxa" w:w="2160"/>
            <w:vMerge w:val="restart"/>
          </w:tcPr>
          <w:p>
            <w:pPr>
              <w:spacing w:before="20" w:after="20"/>
              <w:jc w:val="left"/>
            </w:pPr>
            <w:r/>
            <w:r>
              <w:rPr>
                <w:rFonts w:ascii="Times New Roman" w:hAnsi="Times New Roman"/>
                <w:b w:val="0"/>
                <w:sz w:val="17"/>
              </w:rPr>
              <w:t>Region</w:t>
            </w:r>
          </w:p>
        </w:tc>
        <w:tc>
          <w:tcPr>
            <w:tcW w:type="dxa" w:w="2160"/>
          </w:tcPr>
          <w:p>
            <w:pPr>
              <w:spacing w:before="20" w:after="20"/>
              <w:jc w:val="left"/>
            </w:pPr>
            <w:r/>
            <w:r>
              <w:rPr>
                <w:rFonts w:ascii="Times New Roman" w:hAnsi="Times New Roman"/>
                <w:b w:val="0"/>
                <w:sz w:val="17"/>
              </w:rPr>
              <w:t>Capital</w:t>
            </w:r>
          </w:p>
        </w:tc>
        <w:tc>
          <w:tcPr>
            <w:tcW w:type="dxa" w:w="2160"/>
          </w:tcPr>
          <w:p>
            <w:pPr>
              <w:spacing w:before="20" w:after="20"/>
              <w:jc w:val="right"/>
            </w:pPr>
            <w:r/>
            <w:r>
              <w:rPr>
                <w:rFonts w:ascii="Times New Roman" w:hAnsi="Times New Roman"/>
                <w:b w:val="0"/>
                <w:sz w:val="17"/>
              </w:rPr>
              <w:t>31,979</w:t>
            </w:r>
          </w:p>
        </w:tc>
        <w:tc>
          <w:tcPr>
            <w:tcW w:type="dxa" w:w="2160"/>
          </w:tcPr>
          <w:p>
            <w:pPr>
              <w:spacing w:before="20" w:after="20"/>
              <w:jc w:val="right"/>
            </w:pPr>
            <w:r/>
            <w:r>
              <w:rPr>
                <w:rFonts w:ascii="Times New Roman" w:hAnsi="Times New Roman"/>
                <w:b w:val="0"/>
                <w:sz w:val="17"/>
              </w:rPr>
              <w:t>57.5</w:t>
            </w:r>
          </w:p>
        </w:tc>
      </w:tr>
      <w:tr>
        <w:trPr>
          <w:cantSplit/>
        </w:trPr>
        <w:tc>
          <w:tcPr>
            <w:tcW w:type="dxa" w:w="2160"/>
            <w:vMerge/>
          </w:tcPr>
          <w:p/>
        </w:tc>
        <w:tc>
          <w:tcPr>
            <w:tcW w:type="dxa" w:w="2160"/>
          </w:tcPr>
          <w:p>
            <w:pPr>
              <w:spacing w:before="20" w:after="20"/>
              <w:jc w:val="left"/>
            </w:pPr>
            <w:r/>
            <w:r>
              <w:rPr>
                <w:rFonts w:ascii="Times New Roman" w:hAnsi="Times New Roman"/>
                <w:b w:val="0"/>
                <w:sz w:val="17"/>
              </w:rPr>
              <w:t>Gangwon</w:t>
            </w:r>
          </w:p>
        </w:tc>
        <w:tc>
          <w:tcPr>
            <w:tcW w:type="dxa" w:w="2160"/>
          </w:tcPr>
          <w:p>
            <w:pPr>
              <w:spacing w:before="20" w:after="20"/>
              <w:jc w:val="right"/>
            </w:pPr>
            <w:r/>
            <w:r>
              <w:rPr>
                <w:rFonts w:ascii="Times New Roman" w:hAnsi="Times New Roman"/>
                <w:b w:val="0"/>
                <w:sz w:val="17"/>
              </w:rPr>
              <w:t>1,127</w:t>
            </w:r>
          </w:p>
        </w:tc>
        <w:tc>
          <w:tcPr>
            <w:tcW w:type="dxa" w:w="2160"/>
          </w:tcPr>
          <w:p>
            <w:pPr>
              <w:spacing w:before="20" w:after="20"/>
              <w:jc w:val="right"/>
            </w:pPr>
            <w:r/>
            <w:r>
              <w:rPr>
                <w:rFonts w:ascii="Times New Roman" w:hAnsi="Times New Roman"/>
                <w:b w:val="0"/>
                <w:sz w:val="17"/>
              </w:rPr>
              <w:t>2.0</w:t>
            </w:r>
          </w:p>
        </w:tc>
      </w:tr>
      <w:tr>
        <w:trPr>
          <w:cantSplit/>
        </w:trPr>
        <w:tc>
          <w:tcPr>
            <w:tcW w:type="dxa" w:w="2160"/>
            <w:vMerge/>
          </w:tcPr>
          <w:p/>
        </w:tc>
        <w:tc>
          <w:tcPr>
            <w:tcW w:type="dxa" w:w="2160"/>
          </w:tcPr>
          <w:p>
            <w:pPr>
              <w:spacing w:before="20" w:after="20"/>
              <w:jc w:val="left"/>
            </w:pPr>
            <w:r/>
            <w:r>
              <w:rPr>
                <w:rFonts w:ascii="Times New Roman" w:hAnsi="Times New Roman"/>
                <w:b w:val="0"/>
                <w:sz w:val="17"/>
              </w:rPr>
              <w:t>Daegyeong</w:t>
            </w:r>
          </w:p>
        </w:tc>
        <w:tc>
          <w:tcPr>
            <w:tcW w:type="dxa" w:w="2160"/>
          </w:tcPr>
          <w:p>
            <w:pPr>
              <w:spacing w:before="20" w:after="20"/>
              <w:jc w:val="right"/>
            </w:pPr>
            <w:r/>
            <w:r>
              <w:rPr>
                <w:rFonts w:ascii="Times New Roman" w:hAnsi="Times New Roman"/>
                <w:b w:val="0"/>
                <w:sz w:val="17"/>
              </w:rPr>
              <w:t>5,355</w:t>
            </w:r>
          </w:p>
        </w:tc>
        <w:tc>
          <w:tcPr>
            <w:tcW w:type="dxa" w:w="2160"/>
          </w:tcPr>
          <w:p>
            <w:pPr>
              <w:spacing w:before="20" w:after="20"/>
              <w:jc w:val="right"/>
            </w:pPr>
            <w:r/>
            <w:r>
              <w:rPr>
                <w:rFonts w:ascii="Times New Roman" w:hAnsi="Times New Roman"/>
                <w:b w:val="0"/>
                <w:sz w:val="17"/>
              </w:rPr>
              <w:t>9.6</w:t>
            </w:r>
          </w:p>
        </w:tc>
      </w:tr>
      <w:tr>
        <w:trPr>
          <w:cantSplit/>
        </w:trPr>
        <w:tc>
          <w:tcPr>
            <w:tcW w:type="dxa" w:w="2160"/>
            <w:vMerge/>
          </w:tcPr>
          <w:p/>
        </w:tc>
        <w:tc>
          <w:tcPr>
            <w:tcW w:type="dxa" w:w="2160"/>
          </w:tcPr>
          <w:p>
            <w:pPr>
              <w:spacing w:before="20" w:after="20"/>
              <w:jc w:val="left"/>
            </w:pPr>
            <w:r/>
            <w:r>
              <w:rPr>
                <w:rFonts w:ascii="Times New Roman" w:hAnsi="Times New Roman"/>
                <w:b w:val="0"/>
                <w:sz w:val="17"/>
              </w:rPr>
              <w:t>Dongnam</w:t>
            </w:r>
          </w:p>
        </w:tc>
        <w:tc>
          <w:tcPr>
            <w:tcW w:type="dxa" w:w="2160"/>
          </w:tcPr>
          <w:p>
            <w:pPr>
              <w:spacing w:before="20" w:after="20"/>
              <w:jc w:val="right"/>
            </w:pPr>
            <w:r/>
            <w:r>
              <w:rPr>
                <w:rFonts w:ascii="Times New Roman" w:hAnsi="Times New Roman"/>
                <w:b w:val="0"/>
                <w:sz w:val="17"/>
              </w:rPr>
              <w:t>7,964</w:t>
            </w:r>
          </w:p>
        </w:tc>
        <w:tc>
          <w:tcPr>
            <w:tcW w:type="dxa" w:w="2160"/>
          </w:tcPr>
          <w:p>
            <w:pPr>
              <w:spacing w:before="20" w:after="20"/>
              <w:jc w:val="right"/>
            </w:pPr>
            <w:r/>
            <w:r>
              <w:rPr>
                <w:rFonts w:ascii="Times New Roman" w:hAnsi="Times New Roman"/>
                <w:b w:val="0"/>
                <w:sz w:val="17"/>
              </w:rPr>
              <w:t>14.3</w:t>
            </w:r>
          </w:p>
        </w:tc>
      </w:tr>
      <w:tr>
        <w:trPr>
          <w:cantSplit/>
        </w:trPr>
        <w:tc>
          <w:tcPr>
            <w:tcW w:type="dxa" w:w="2160"/>
            <w:vMerge/>
          </w:tcPr>
          <w:p/>
        </w:tc>
        <w:tc>
          <w:tcPr>
            <w:tcW w:type="dxa" w:w="2160"/>
          </w:tcPr>
          <w:p>
            <w:pPr>
              <w:spacing w:before="20" w:after="20"/>
              <w:jc w:val="left"/>
            </w:pPr>
            <w:r/>
            <w:r>
              <w:rPr>
                <w:rFonts w:ascii="Times New Roman" w:hAnsi="Times New Roman"/>
                <w:b w:val="0"/>
                <w:sz w:val="17"/>
              </w:rPr>
              <w:t>Jeju</w:t>
            </w:r>
          </w:p>
        </w:tc>
        <w:tc>
          <w:tcPr>
            <w:tcW w:type="dxa" w:w="2160"/>
          </w:tcPr>
          <w:p>
            <w:pPr>
              <w:spacing w:before="20" w:after="20"/>
              <w:jc w:val="right"/>
            </w:pPr>
            <w:r/>
            <w:r>
              <w:rPr>
                <w:rFonts w:ascii="Times New Roman" w:hAnsi="Times New Roman"/>
                <w:b w:val="0"/>
                <w:sz w:val="17"/>
              </w:rPr>
              <w:t>325</w:t>
            </w:r>
          </w:p>
        </w:tc>
        <w:tc>
          <w:tcPr>
            <w:tcW w:type="dxa" w:w="2160"/>
          </w:tcPr>
          <w:p>
            <w:pPr>
              <w:spacing w:before="20" w:after="20"/>
              <w:jc w:val="right"/>
            </w:pPr>
            <w:r/>
            <w:r>
              <w:rPr>
                <w:rFonts w:ascii="Times New Roman" w:hAnsi="Times New Roman"/>
                <w:b w:val="0"/>
                <w:sz w:val="17"/>
              </w:rPr>
              <w:t>0.6</w:t>
            </w:r>
          </w:p>
        </w:tc>
      </w:tr>
      <w:tr>
        <w:trPr>
          <w:cantSplit/>
        </w:trPr>
        <w:tc>
          <w:tcPr>
            <w:tcW w:type="dxa" w:w="2160"/>
            <w:vMerge/>
          </w:tcPr>
          <w:p/>
        </w:tc>
        <w:tc>
          <w:tcPr>
            <w:tcW w:type="dxa" w:w="2160"/>
          </w:tcPr>
          <w:p>
            <w:pPr>
              <w:spacing w:before="20" w:after="20"/>
              <w:jc w:val="left"/>
            </w:pPr>
            <w:r/>
            <w:r>
              <w:rPr>
                <w:rFonts w:ascii="Times New Roman" w:hAnsi="Times New Roman"/>
                <w:b w:val="0"/>
                <w:sz w:val="17"/>
              </w:rPr>
              <w:t>Chungcheong</w:t>
            </w:r>
          </w:p>
        </w:tc>
        <w:tc>
          <w:tcPr>
            <w:tcW w:type="dxa" w:w="2160"/>
          </w:tcPr>
          <w:p>
            <w:pPr>
              <w:spacing w:before="20" w:after="20"/>
              <w:jc w:val="right"/>
            </w:pPr>
            <w:r/>
            <w:r>
              <w:rPr>
                <w:rFonts w:ascii="Times New Roman" w:hAnsi="Times New Roman"/>
                <w:b w:val="0"/>
                <w:sz w:val="17"/>
              </w:rPr>
              <w:t>5,114</w:t>
            </w:r>
          </w:p>
        </w:tc>
        <w:tc>
          <w:tcPr>
            <w:tcW w:type="dxa" w:w="2160"/>
          </w:tcPr>
          <w:p>
            <w:pPr>
              <w:spacing w:before="20" w:after="20"/>
              <w:jc w:val="right"/>
            </w:pPr>
            <w:r/>
            <w:r>
              <w:rPr>
                <w:rFonts w:ascii="Times New Roman" w:hAnsi="Times New Roman"/>
                <w:b w:val="0"/>
                <w:sz w:val="17"/>
              </w:rPr>
              <w:t>9.2</w:t>
            </w:r>
          </w:p>
        </w:tc>
      </w:tr>
      <w:tr>
        <w:trPr>
          <w:cantSplit/>
        </w:trPr>
        <w:tc>
          <w:tcPr>
            <w:tcW w:type="dxa" w:w="2160"/>
            <w:vMerge/>
          </w:tcPr>
          <w:p/>
        </w:tc>
        <w:tc>
          <w:tcPr>
            <w:tcW w:type="dxa" w:w="2160"/>
          </w:tcPr>
          <w:p>
            <w:pPr>
              <w:spacing w:before="20" w:after="20"/>
              <w:jc w:val="left"/>
            </w:pPr>
            <w:r/>
            <w:r>
              <w:rPr>
                <w:rFonts w:ascii="Times New Roman" w:hAnsi="Times New Roman"/>
                <w:b w:val="0"/>
                <w:sz w:val="17"/>
              </w:rPr>
              <w:t>Honam</w:t>
            </w:r>
          </w:p>
        </w:tc>
        <w:tc>
          <w:tcPr>
            <w:tcW w:type="dxa" w:w="2160"/>
          </w:tcPr>
          <w:p>
            <w:pPr>
              <w:spacing w:before="20" w:after="20"/>
              <w:jc w:val="right"/>
            </w:pPr>
            <w:r/>
            <w:r>
              <w:rPr>
                <w:rFonts w:ascii="Times New Roman" w:hAnsi="Times New Roman"/>
                <w:b w:val="0"/>
                <w:sz w:val="17"/>
              </w:rPr>
              <w:t>3,779</w:t>
            </w:r>
          </w:p>
        </w:tc>
        <w:tc>
          <w:tcPr>
            <w:tcW w:type="dxa" w:w="2160"/>
          </w:tcPr>
          <w:p>
            <w:pPr>
              <w:spacing w:before="20" w:after="20"/>
              <w:jc w:val="right"/>
            </w:pPr>
            <w:r/>
            <w:r>
              <w:rPr>
                <w:rFonts w:ascii="Times New Roman" w:hAnsi="Times New Roman"/>
                <w:b w:val="0"/>
                <w:sz w:val="17"/>
              </w:rPr>
              <w:t>6.8</w:t>
            </w:r>
          </w:p>
        </w:tc>
      </w:tr>
      <w:tr>
        <w:trPr>
          <w:cantSplit/>
        </w:trPr>
        <w:tc>
          <w:tcPr>
            <w:tcW w:type="dxa" w:w="2160"/>
            <w:vMerge w:val="restart"/>
          </w:tcPr>
          <w:p>
            <w:pPr>
              <w:spacing w:before="20" w:after="20"/>
              <w:jc w:val="left"/>
            </w:pPr>
            <w:r/>
            <w:r>
              <w:rPr>
                <w:rFonts w:ascii="Times New Roman" w:hAnsi="Times New Roman"/>
                <w:b w:val="0"/>
                <w:sz w:val="17"/>
              </w:rPr>
              <w:t>Disability</w:t>
            </w:r>
          </w:p>
        </w:tc>
        <w:tc>
          <w:tcPr>
            <w:tcW w:type="dxa" w:w="2160"/>
          </w:tcPr>
          <w:p>
            <w:pPr>
              <w:spacing w:before="20" w:after="20"/>
              <w:jc w:val="left"/>
            </w:pPr>
            <w:r/>
            <w:r>
              <w:rPr>
                <w:rFonts w:ascii="Times New Roman" w:hAnsi="Times New Roman"/>
                <w:b w:val="0"/>
                <w:sz w:val="17"/>
              </w:rPr>
              <w:t>None</w:t>
            </w:r>
          </w:p>
        </w:tc>
        <w:tc>
          <w:tcPr>
            <w:tcW w:type="dxa" w:w="2160"/>
          </w:tcPr>
          <w:p>
            <w:pPr>
              <w:spacing w:before="20" w:after="20"/>
              <w:jc w:val="right"/>
            </w:pPr>
            <w:r/>
            <w:r>
              <w:rPr>
                <w:rFonts w:ascii="Times New Roman" w:hAnsi="Times New Roman"/>
                <w:b w:val="0"/>
                <w:sz w:val="17"/>
              </w:rPr>
              <w:t>47,939</w:t>
            </w:r>
          </w:p>
        </w:tc>
        <w:tc>
          <w:tcPr>
            <w:tcW w:type="dxa" w:w="2160"/>
          </w:tcPr>
          <w:p>
            <w:pPr>
              <w:spacing w:before="20" w:after="20"/>
              <w:jc w:val="right"/>
            </w:pPr>
            <w:r/>
            <w:r>
              <w:rPr>
                <w:rFonts w:ascii="Times New Roman" w:hAnsi="Times New Roman"/>
                <w:b w:val="0"/>
                <w:sz w:val="17"/>
              </w:rPr>
              <w:t>86.2</w:t>
            </w:r>
          </w:p>
        </w:tc>
      </w:tr>
      <w:tr>
        <w:trPr>
          <w:cantSplit/>
        </w:trPr>
        <w:tc>
          <w:tcPr>
            <w:tcW w:type="dxa" w:w="2160"/>
            <w:vMerge/>
          </w:tcPr>
          <w:p/>
        </w:tc>
        <w:tc>
          <w:tcPr>
            <w:tcW w:type="dxa" w:w="2160"/>
          </w:tcPr>
          <w:p>
            <w:pPr>
              <w:spacing w:before="20" w:after="20"/>
              <w:jc w:val="left"/>
            </w:pPr>
            <w:r/>
            <w:r>
              <w:rPr>
                <w:rFonts w:ascii="Times New Roman" w:hAnsi="Times New Roman"/>
                <w:b w:val="0"/>
                <w:sz w:val="17"/>
              </w:rPr>
              <w:t>Mild</w:t>
            </w:r>
          </w:p>
        </w:tc>
        <w:tc>
          <w:tcPr>
            <w:tcW w:type="dxa" w:w="2160"/>
          </w:tcPr>
          <w:p>
            <w:pPr>
              <w:spacing w:before="20" w:after="20"/>
              <w:jc w:val="right"/>
            </w:pPr>
            <w:r/>
            <w:r>
              <w:rPr>
                <w:rFonts w:ascii="Times New Roman" w:hAnsi="Times New Roman"/>
                <w:b w:val="0"/>
                <w:sz w:val="17"/>
              </w:rPr>
              <w:t>5,139</w:t>
            </w:r>
          </w:p>
        </w:tc>
        <w:tc>
          <w:tcPr>
            <w:tcW w:type="dxa" w:w="2160"/>
          </w:tcPr>
          <w:p>
            <w:pPr>
              <w:spacing w:before="20" w:after="20"/>
              <w:jc w:val="right"/>
            </w:pPr>
            <w:r/>
            <w:r>
              <w:rPr>
                <w:rFonts w:ascii="Times New Roman" w:hAnsi="Times New Roman"/>
                <w:b w:val="0"/>
                <w:sz w:val="17"/>
              </w:rPr>
              <w:t>9.2</w:t>
            </w:r>
          </w:p>
        </w:tc>
      </w:tr>
      <w:tr>
        <w:trPr>
          <w:cantSplit/>
        </w:trPr>
        <w:tc>
          <w:tcPr>
            <w:tcW w:type="dxa" w:w="2160"/>
            <w:vMerge/>
          </w:tcPr>
          <w:p/>
        </w:tc>
        <w:tc>
          <w:tcPr>
            <w:tcW w:type="dxa" w:w="2160"/>
          </w:tcPr>
          <w:p>
            <w:pPr>
              <w:spacing w:before="20" w:after="20"/>
              <w:jc w:val="left"/>
            </w:pPr>
            <w:r/>
            <w:r>
              <w:rPr>
                <w:rFonts w:ascii="Times New Roman" w:hAnsi="Times New Roman"/>
                <w:b w:val="0"/>
                <w:sz w:val="17"/>
              </w:rPr>
              <w:t>Severe</w:t>
            </w:r>
          </w:p>
        </w:tc>
        <w:tc>
          <w:tcPr>
            <w:tcW w:type="dxa" w:w="2160"/>
          </w:tcPr>
          <w:p>
            <w:pPr>
              <w:spacing w:before="20" w:after="20"/>
              <w:jc w:val="right"/>
            </w:pPr>
            <w:r/>
            <w:r>
              <w:rPr>
                <w:rFonts w:ascii="Times New Roman" w:hAnsi="Times New Roman"/>
                <w:b w:val="0"/>
                <w:sz w:val="17"/>
              </w:rPr>
              <w:t>2,565</w:t>
            </w:r>
          </w:p>
        </w:tc>
        <w:tc>
          <w:tcPr>
            <w:tcW w:type="dxa" w:w="2160"/>
          </w:tcPr>
          <w:p>
            <w:pPr>
              <w:spacing w:before="20" w:after="20"/>
              <w:jc w:val="right"/>
            </w:pPr>
            <w:r/>
            <w:r>
              <w:rPr>
                <w:rFonts w:ascii="Times New Roman" w:hAnsi="Times New Roman"/>
                <w:b w:val="0"/>
                <w:sz w:val="17"/>
              </w:rPr>
              <w:t>4.6</w:t>
            </w:r>
          </w:p>
        </w:tc>
      </w:tr>
      <w:tr>
        <w:trPr>
          <w:cantSplit/>
        </w:trPr>
        <w:tc>
          <w:tcPr>
            <w:tcW w:type="dxa" w:w="2160"/>
            <w:vMerge w:val="restart"/>
          </w:tcPr>
          <w:p>
            <w:pPr>
              <w:spacing w:before="20" w:after="20"/>
              <w:jc w:val="left"/>
            </w:pPr>
            <w:r/>
            <w:r>
              <w:rPr>
                <w:rFonts w:ascii="Times New Roman" w:hAnsi="Times New Roman"/>
                <w:b w:val="0"/>
                <w:sz w:val="17"/>
              </w:rPr>
              <w:t>Surgery</w:t>
            </w:r>
          </w:p>
        </w:tc>
        <w:tc>
          <w:tcPr>
            <w:tcW w:type="dxa" w:w="2160"/>
          </w:tcPr>
          <w:p>
            <w:pPr>
              <w:spacing w:before="20" w:after="20"/>
              <w:jc w:val="left"/>
            </w:pPr>
            <w:r/>
            <w:r>
              <w:rPr>
                <w:rFonts w:ascii="Times New Roman" w:hAnsi="Times New Roman"/>
                <w:b w:val="0"/>
                <w:sz w:val="17"/>
              </w:rPr>
              <w:t>No</w:t>
            </w:r>
          </w:p>
        </w:tc>
        <w:tc>
          <w:tcPr>
            <w:tcW w:type="dxa" w:w="2160"/>
          </w:tcPr>
          <w:p>
            <w:pPr>
              <w:spacing w:before="20" w:after="20"/>
              <w:jc w:val="right"/>
            </w:pPr>
            <w:r/>
            <w:r>
              <w:rPr>
                <w:rFonts w:ascii="Times New Roman" w:hAnsi="Times New Roman"/>
                <w:b w:val="0"/>
                <w:sz w:val="17"/>
              </w:rPr>
              <w:t>20,132</w:t>
            </w:r>
          </w:p>
        </w:tc>
        <w:tc>
          <w:tcPr>
            <w:tcW w:type="dxa" w:w="2160"/>
          </w:tcPr>
          <w:p>
            <w:pPr>
              <w:spacing w:before="20" w:after="20"/>
              <w:jc w:val="right"/>
            </w:pPr>
            <w:r/>
            <w:r>
              <w:rPr>
                <w:rFonts w:ascii="Times New Roman" w:hAnsi="Times New Roman"/>
                <w:b w:val="0"/>
                <w:sz w:val="17"/>
              </w:rPr>
              <w:t>36.2</w:t>
            </w:r>
          </w:p>
        </w:tc>
      </w:tr>
      <w:tr>
        <w:trPr>
          <w:cantSplit/>
        </w:trPr>
        <w:tc>
          <w:tcPr>
            <w:tcW w:type="dxa" w:w="2160"/>
            <w:vMerge/>
          </w:tcPr>
          <w:p/>
        </w:tc>
        <w:tc>
          <w:tcPr>
            <w:tcW w:type="dxa" w:w="2160"/>
          </w:tcPr>
          <w:p>
            <w:pPr>
              <w:spacing w:before="20" w:after="20"/>
              <w:jc w:val="left"/>
            </w:pPr>
            <w:r/>
            <w:r>
              <w:rPr>
                <w:rFonts w:ascii="Times New Roman" w:hAnsi="Times New Roman"/>
                <w:b w:val="0"/>
                <w:sz w:val="17"/>
              </w:rPr>
              <w:t>Yes</w:t>
            </w:r>
          </w:p>
        </w:tc>
        <w:tc>
          <w:tcPr>
            <w:tcW w:type="dxa" w:w="2160"/>
          </w:tcPr>
          <w:p>
            <w:pPr>
              <w:spacing w:before="20" w:after="20"/>
              <w:jc w:val="right"/>
            </w:pPr>
            <w:r/>
            <w:r>
              <w:rPr>
                <w:rFonts w:ascii="Times New Roman" w:hAnsi="Times New Roman"/>
                <w:b w:val="0"/>
                <w:sz w:val="17"/>
              </w:rPr>
              <w:t>35,511</w:t>
            </w:r>
          </w:p>
        </w:tc>
        <w:tc>
          <w:tcPr>
            <w:tcW w:type="dxa" w:w="2160"/>
          </w:tcPr>
          <w:p>
            <w:pPr>
              <w:spacing w:before="20" w:after="20"/>
              <w:jc w:val="right"/>
            </w:pPr>
            <w:r/>
            <w:r>
              <w:rPr>
                <w:rFonts w:ascii="Times New Roman" w:hAnsi="Times New Roman"/>
                <w:b w:val="0"/>
                <w:sz w:val="17"/>
              </w:rPr>
              <w:t>63.8</w:t>
            </w:r>
          </w:p>
        </w:tc>
      </w:tr>
      <w:tr>
        <w:trPr>
          <w:cantSplit/>
        </w:trPr>
        <w:tc>
          <w:tcPr>
            <w:tcW w:type="dxa" w:w="2160"/>
            <w:vMerge w:val="restart"/>
          </w:tcPr>
          <w:p>
            <w:pPr>
              <w:spacing w:before="20" w:after="20"/>
              <w:jc w:val="left"/>
            </w:pPr>
            <w:r/>
            <w:r>
              <w:rPr>
                <w:rFonts w:ascii="Times New Roman" w:hAnsi="Times New Roman"/>
                <w:b w:val="0"/>
                <w:sz w:val="17"/>
              </w:rPr>
              <w:t>CCI</w:t>
            </w:r>
          </w:p>
        </w:tc>
        <w:tc>
          <w:tcPr>
            <w:tcW w:type="dxa" w:w="2160"/>
          </w:tcPr>
          <w:p>
            <w:pPr>
              <w:spacing w:before="20" w:after="20"/>
              <w:jc w:val="left"/>
            </w:pPr>
            <w:r/>
            <w:r>
              <w:rPr>
                <w:rFonts w:ascii="Times New Roman" w:hAnsi="Times New Roman"/>
                <w:b w:val="0"/>
                <w:sz w:val="17"/>
              </w:rPr>
              <w:t>0</w:t>
            </w:r>
          </w:p>
        </w:tc>
        <w:tc>
          <w:tcPr>
            <w:tcW w:type="dxa" w:w="2160"/>
          </w:tcPr>
          <w:p>
            <w:pPr>
              <w:spacing w:before="20" w:after="20"/>
              <w:jc w:val="right"/>
            </w:pPr>
            <w:r/>
            <w:r>
              <w:rPr>
                <w:rFonts w:ascii="Times New Roman" w:hAnsi="Times New Roman"/>
                <w:b w:val="0"/>
                <w:sz w:val="17"/>
              </w:rPr>
              <w:t>17,708</w:t>
            </w:r>
          </w:p>
        </w:tc>
        <w:tc>
          <w:tcPr>
            <w:tcW w:type="dxa" w:w="2160"/>
          </w:tcPr>
          <w:p>
            <w:pPr>
              <w:spacing w:before="20" w:after="20"/>
              <w:jc w:val="right"/>
            </w:pPr>
            <w:r/>
            <w:r>
              <w:rPr>
                <w:rFonts w:ascii="Times New Roman" w:hAnsi="Times New Roman"/>
                <w:b w:val="0"/>
                <w:sz w:val="17"/>
              </w:rPr>
              <w:t>31.8</w:t>
            </w:r>
          </w:p>
        </w:tc>
      </w:tr>
      <w:tr>
        <w:trPr>
          <w:cantSplit/>
        </w:trPr>
        <w:tc>
          <w:tcPr>
            <w:tcW w:type="dxa" w:w="2160"/>
            <w:vMerge/>
          </w:tcPr>
          <w:p/>
        </w:tc>
        <w:tc>
          <w:tcPr>
            <w:tcW w:type="dxa" w:w="2160"/>
          </w:tcPr>
          <w:p>
            <w:pPr>
              <w:spacing w:before="20" w:after="20"/>
              <w:jc w:val="left"/>
            </w:pPr>
            <w:r/>
            <w:r>
              <w:rPr>
                <w:rFonts w:ascii="Times New Roman" w:hAnsi="Times New Roman"/>
                <w:b w:val="0"/>
                <w:sz w:val="17"/>
              </w:rPr>
              <w:t>1</w:t>
            </w:r>
          </w:p>
        </w:tc>
        <w:tc>
          <w:tcPr>
            <w:tcW w:type="dxa" w:w="2160"/>
          </w:tcPr>
          <w:p>
            <w:pPr>
              <w:spacing w:before="20" w:after="20"/>
              <w:jc w:val="right"/>
            </w:pPr>
            <w:r/>
            <w:r>
              <w:rPr>
                <w:rFonts w:ascii="Times New Roman" w:hAnsi="Times New Roman"/>
                <w:b w:val="0"/>
                <w:sz w:val="17"/>
              </w:rPr>
              <w:t>10,315</w:t>
            </w:r>
          </w:p>
        </w:tc>
        <w:tc>
          <w:tcPr>
            <w:tcW w:type="dxa" w:w="2160"/>
          </w:tcPr>
          <w:p>
            <w:pPr>
              <w:spacing w:before="20" w:after="20"/>
              <w:jc w:val="right"/>
            </w:pPr>
            <w:r/>
            <w:r>
              <w:rPr>
                <w:rFonts w:ascii="Times New Roman" w:hAnsi="Times New Roman"/>
                <w:b w:val="0"/>
                <w:sz w:val="17"/>
              </w:rPr>
              <w:t>18.5</w:t>
            </w:r>
          </w:p>
        </w:tc>
      </w:tr>
      <w:tr>
        <w:trPr>
          <w:cantSplit/>
        </w:trPr>
        <w:tc>
          <w:tcPr>
            <w:tcW w:type="dxa" w:w="2160"/>
            <w:vMerge/>
          </w:tcPr>
          <w:p/>
        </w:tc>
        <w:tc>
          <w:tcPr>
            <w:tcW w:type="dxa" w:w="2160"/>
          </w:tcPr>
          <w:p>
            <w:pPr>
              <w:spacing w:before="20" w:after="20"/>
              <w:jc w:val="left"/>
            </w:pPr>
            <w:r/>
            <w:r>
              <w:rPr>
                <w:rFonts w:ascii="Times New Roman" w:hAnsi="Times New Roman"/>
                <w:b w:val="0"/>
                <w:sz w:val="17"/>
              </w:rPr>
              <w:t>2</w:t>
            </w:r>
          </w:p>
        </w:tc>
        <w:tc>
          <w:tcPr>
            <w:tcW w:type="dxa" w:w="2160"/>
          </w:tcPr>
          <w:p>
            <w:pPr>
              <w:spacing w:before="20" w:after="20"/>
              <w:jc w:val="right"/>
            </w:pPr>
            <w:r/>
            <w:r>
              <w:rPr>
                <w:rFonts w:ascii="Times New Roman" w:hAnsi="Times New Roman"/>
                <w:b w:val="0"/>
                <w:sz w:val="17"/>
              </w:rPr>
              <w:t>9,901</w:t>
            </w:r>
          </w:p>
        </w:tc>
        <w:tc>
          <w:tcPr>
            <w:tcW w:type="dxa" w:w="2160"/>
          </w:tcPr>
          <w:p>
            <w:pPr>
              <w:spacing w:before="20" w:after="20"/>
              <w:jc w:val="right"/>
            </w:pPr>
            <w:r/>
            <w:r>
              <w:rPr>
                <w:rFonts w:ascii="Times New Roman" w:hAnsi="Times New Roman"/>
                <w:b w:val="0"/>
                <w:sz w:val="17"/>
              </w:rPr>
              <w:t>17.8</w:t>
            </w:r>
          </w:p>
        </w:tc>
      </w:tr>
      <w:tr>
        <w:trPr>
          <w:cantSplit/>
        </w:trPr>
        <w:tc>
          <w:tcPr>
            <w:tcW w:type="dxa" w:w="2160"/>
            <w:vMerge/>
          </w:tcPr>
          <w:p/>
        </w:tc>
        <w:tc>
          <w:tcPr>
            <w:tcW w:type="dxa" w:w="2160"/>
          </w:tcPr>
          <w:p>
            <w:pPr>
              <w:spacing w:before="20" w:after="20"/>
              <w:jc w:val="left"/>
            </w:pPr>
            <w:r/>
            <w:r>
              <w:rPr>
                <w:rFonts w:ascii="Times New Roman" w:hAnsi="Times New Roman"/>
                <w:b w:val="0"/>
                <w:sz w:val="17"/>
              </w:rPr>
              <w:t>3+</w:t>
            </w:r>
          </w:p>
        </w:tc>
        <w:tc>
          <w:tcPr>
            <w:tcW w:type="dxa" w:w="2160"/>
          </w:tcPr>
          <w:p>
            <w:pPr>
              <w:spacing w:before="20" w:after="20"/>
              <w:jc w:val="right"/>
            </w:pPr>
            <w:r/>
            <w:r>
              <w:rPr>
                <w:rFonts w:ascii="Times New Roman" w:hAnsi="Times New Roman"/>
                <w:b w:val="0"/>
                <w:sz w:val="17"/>
              </w:rPr>
              <w:t>17,719</w:t>
            </w:r>
          </w:p>
        </w:tc>
        <w:tc>
          <w:tcPr>
            <w:tcW w:type="dxa" w:w="2160"/>
          </w:tcPr>
          <w:p>
            <w:pPr>
              <w:spacing w:before="20" w:after="20"/>
              <w:jc w:val="right"/>
            </w:pPr>
            <w:r/>
            <w:r>
              <w:rPr>
                <w:rFonts w:ascii="Times New Roman" w:hAnsi="Times New Roman"/>
                <w:b w:val="0"/>
                <w:sz w:val="17"/>
              </w:rPr>
              <w:t>31.8</w:t>
            </w:r>
          </w:p>
        </w:tc>
      </w:tr>
      <w:tr>
        <w:trPr>
          <w:cantSplit/>
        </w:trPr>
        <w:tc>
          <w:tcPr>
            <w:tcW w:type="dxa" w:w="2160"/>
            <w:vMerge w:val="restart"/>
          </w:tcPr>
          <w:p>
            <w:pPr>
              <w:spacing w:before="20" w:after="20"/>
              <w:jc w:val="left"/>
            </w:pPr>
            <w:r/>
            <w:r>
              <w:rPr>
                <w:rFonts w:ascii="Times New Roman" w:hAnsi="Times New Roman"/>
                <w:b w:val="0"/>
                <w:sz w:val="17"/>
              </w:rPr>
              <w:t>Admission year</w:t>
            </w:r>
          </w:p>
        </w:tc>
        <w:tc>
          <w:tcPr>
            <w:tcW w:type="dxa" w:w="2160"/>
          </w:tcPr>
          <w:p>
            <w:pPr>
              <w:spacing w:before="20" w:after="20"/>
              <w:jc w:val="left"/>
            </w:pPr>
            <w:r/>
            <w:r>
              <w:rPr>
                <w:rFonts w:ascii="Times New Roman" w:hAnsi="Times New Roman"/>
                <w:b w:val="0"/>
                <w:sz w:val="17"/>
              </w:rPr>
              <w:t>2015</w:t>
            </w:r>
          </w:p>
        </w:tc>
        <w:tc>
          <w:tcPr>
            <w:tcW w:type="dxa" w:w="2160"/>
          </w:tcPr>
          <w:p>
            <w:pPr>
              <w:spacing w:before="20" w:after="20"/>
              <w:jc w:val="right"/>
            </w:pPr>
            <w:r/>
            <w:r>
              <w:rPr>
                <w:rFonts w:ascii="Times New Roman" w:hAnsi="Times New Roman"/>
                <w:b w:val="0"/>
                <w:sz w:val="17"/>
              </w:rPr>
              <w:t>1,960</w:t>
            </w:r>
          </w:p>
        </w:tc>
        <w:tc>
          <w:tcPr>
            <w:tcW w:type="dxa" w:w="2160"/>
          </w:tcPr>
          <w:p>
            <w:pPr>
              <w:spacing w:before="20" w:after="20"/>
              <w:jc w:val="right"/>
            </w:pPr>
            <w:r/>
            <w:r>
              <w:rPr>
                <w:rFonts w:ascii="Times New Roman" w:hAnsi="Times New Roman"/>
                <w:b w:val="0"/>
                <w:sz w:val="17"/>
              </w:rPr>
              <w:t>3.5</w:t>
            </w:r>
          </w:p>
        </w:tc>
      </w:tr>
      <w:tr>
        <w:trPr>
          <w:cantSplit/>
        </w:trPr>
        <w:tc>
          <w:tcPr>
            <w:tcW w:type="dxa" w:w="2160"/>
            <w:vMerge/>
          </w:tcPr>
          <w:p/>
        </w:tc>
        <w:tc>
          <w:tcPr>
            <w:tcW w:type="dxa" w:w="2160"/>
          </w:tcPr>
          <w:p>
            <w:pPr>
              <w:spacing w:before="20" w:after="20"/>
              <w:jc w:val="left"/>
            </w:pPr>
            <w:r/>
            <w:r>
              <w:rPr>
                <w:rFonts w:ascii="Times New Roman" w:hAnsi="Times New Roman"/>
                <w:b w:val="0"/>
                <w:sz w:val="17"/>
              </w:rPr>
              <w:t>2016</w:t>
            </w:r>
          </w:p>
        </w:tc>
        <w:tc>
          <w:tcPr>
            <w:tcW w:type="dxa" w:w="2160"/>
          </w:tcPr>
          <w:p>
            <w:pPr>
              <w:spacing w:before="20" w:after="20"/>
              <w:jc w:val="right"/>
            </w:pPr>
            <w:r/>
            <w:r>
              <w:rPr>
                <w:rFonts w:ascii="Times New Roman" w:hAnsi="Times New Roman"/>
                <w:b w:val="0"/>
                <w:sz w:val="17"/>
              </w:rPr>
              <w:t>6,887</w:t>
            </w:r>
          </w:p>
        </w:tc>
        <w:tc>
          <w:tcPr>
            <w:tcW w:type="dxa" w:w="2160"/>
          </w:tcPr>
          <w:p>
            <w:pPr>
              <w:spacing w:before="20" w:after="20"/>
              <w:jc w:val="right"/>
            </w:pPr>
            <w:r/>
            <w:r>
              <w:rPr>
                <w:rFonts w:ascii="Times New Roman" w:hAnsi="Times New Roman"/>
                <w:b w:val="0"/>
                <w:sz w:val="17"/>
              </w:rPr>
              <w:t>12.4</w:t>
            </w:r>
          </w:p>
        </w:tc>
      </w:tr>
      <w:tr>
        <w:trPr>
          <w:cantSplit/>
        </w:trPr>
        <w:tc>
          <w:tcPr>
            <w:tcW w:type="dxa" w:w="2160"/>
            <w:vMerge/>
          </w:tcPr>
          <w:p/>
        </w:tc>
        <w:tc>
          <w:tcPr>
            <w:tcW w:type="dxa" w:w="2160"/>
          </w:tcPr>
          <w:p>
            <w:pPr>
              <w:spacing w:before="20" w:after="20"/>
              <w:jc w:val="left"/>
            </w:pPr>
            <w:r/>
            <w:r>
              <w:rPr>
                <w:rFonts w:ascii="Times New Roman" w:hAnsi="Times New Roman"/>
                <w:b w:val="0"/>
                <w:sz w:val="17"/>
              </w:rPr>
              <w:t>2017</w:t>
            </w:r>
          </w:p>
        </w:tc>
        <w:tc>
          <w:tcPr>
            <w:tcW w:type="dxa" w:w="2160"/>
          </w:tcPr>
          <w:p>
            <w:pPr>
              <w:spacing w:before="20" w:after="20"/>
              <w:jc w:val="right"/>
            </w:pPr>
            <w:r/>
            <w:r>
              <w:rPr>
                <w:rFonts w:ascii="Times New Roman" w:hAnsi="Times New Roman"/>
                <w:b w:val="0"/>
                <w:sz w:val="17"/>
              </w:rPr>
              <w:t>11,438</w:t>
            </w:r>
          </w:p>
        </w:tc>
        <w:tc>
          <w:tcPr>
            <w:tcW w:type="dxa" w:w="2160"/>
          </w:tcPr>
          <w:p>
            <w:pPr>
              <w:spacing w:before="20" w:after="20"/>
              <w:jc w:val="right"/>
            </w:pPr>
            <w:r/>
            <w:r>
              <w:rPr>
                <w:rFonts w:ascii="Times New Roman" w:hAnsi="Times New Roman"/>
                <w:b w:val="0"/>
                <w:sz w:val="17"/>
              </w:rPr>
              <w:t>20.6</w:t>
            </w:r>
          </w:p>
        </w:tc>
      </w:tr>
      <w:tr>
        <w:trPr>
          <w:cantSplit/>
        </w:trPr>
        <w:tc>
          <w:tcPr>
            <w:tcW w:type="dxa" w:w="2160"/>
            <w:vMerge/>
          </w:tcPr>
          <w:p/>
        </w:tc>
        <w:tc>
          <w:tcPr>
            <w:tcW w:type="dxa" w:w="2160"/>
          </w:tcPr>
          <w:p>
            <w:pPr>
              <w:spacing w:before="20" w:after="20"/>
              <w:jc w:val="left"/>
            </w:pPr>
            <w:r/>
            <w:r>
              <w:rPr>
                <w:rFonts w:ascii="Times New Roman" w:hAnsi="Times New Roman"/>
                <w:b w:val="0"/>
                <w:sz w:val="17"/>
              </w:rPr>
              <w:t>2018</w:t>
            </w:r>
          </w:p>
        </w:tc>
        <w:tc>
          <w:tcPr>
            <w:tcW w:type="dxa" w:w="2160"/>
          </w:tcPr>
          <w:p>
            <w:pPr>
              <w:spacing w:before="20" w:after="20"/>
              <w:jc w:val="right"/>
            </w:pPr>
            <w:r/>
            <w:r>
              <w:rPr>
                <w:rFonts w:ascii="Times New Roman" w:hAnsi="Times New Roman"/>
                <w:b w:val="0"/>
                <w:sz w:val="17"/>
              </w:rPr>
              <w:t>14,982</w:t>
            </w:r>
          </w:p>
        </w:tc>
        <w:tc>
          <w:tcPr>
            <w:tcW w:type="dxa" w:w="2160"/>
          </w:tcPr>
          <w:p>
            <w:pPr>
              <w:spacing w:before="20" w:after="20"/>
              <w:jc w:val="right"/>
            </w:pPr>
            <w:r/>
            <w:r>
              <w:rPr>
                <w:rFonts w:ascii="Times New Roman" w:hAnsi="Times New Roman"/>
                <w:b w:val="0"/>
                <w:sz w:val="17"/>
              </w:rPr>
              <w:t>26.9</w:t>
            </w:r>
          </w:p>
        </w:tc>
      </w:tr>
      <w:tr>
        <w:trPr>
          <w:cantSplit/>
        </w:trPr>
        <w:tc>
          <w:tcPr>
            <w:tcW w:type="dxa" w:w="2160"/>
            <w:vMerge/>
          </w:tcPr>
          <w:p/>
        </w:tc>
        <w:tc>
          <w:tcPr>
            <w:tcW w:type="dxa" w:w="2160"/>
          </w:tcPr>
          <w:p>
            <w:pPr>
              <w:spacing w:before="20" w:after="20"/>
              <w:jc w:val="left"/>
            </w:pPr>
            <w:r/>
            <w:r>
              <w:rPr>
                <w:rFonts w:ascii="Times New Roman" w:hAnsi="Times New Roman"/>
                <w:b w:val="0"/>
                <w:sz w:val="17"/>
              </w:rPr>
              <w:t>2019</w:t>
            </w:r>
          </w:p>
        </w:tc>
        <w:tc>
          <w:tcPr>
            <w:tcW w:type="dxa" w:w="2160"/>
          </w:tcPr>
          <w:p>
            <w:pPr>
              <w:spacing w:before="20" w:after="20"/>
              <w:jc w:val="right"/>
            </w:pPr>
            <w:r/>
            <w:r>
              <w:rPr>
                <w:rFonts w:ascii="Times New Roman" w:hAnsi="Times New Roman"/>
                <w:b w:val="0"/>
                <w:sz w:val="17"/>
              </w:rPr>
              <w:t>20,376</w:t>
            </w:r>
          </w:p>
        </w:tc>
        <w:tc>
          <w:tcPr>
            <w:tcW w:type="dxa" w:w="2160"/>
          </w:tcPr>
          <w:p>
            <w:pPr>
              <w:spacing w:before="20" w:after="20"/>
              <w:jc w:val="right"/>
            </w:pPr>
            <w:r/>
            <w:r>
              <w:rPr>
                <w:rFonts w:ascii="Times New Roman" w:hAnsi="Times New Roman"/>
                <w:b w:val="0"/>
                <w:sz w:val="17"/>
              </w:rPr>
              <w:t>36.6</w:t>
            </w:r>
          </w:p>
        </w:tc>
      </w:tr>
    </w:tbl>
    <w:p>
      <w:pPr>
        <w:spacing w:before="0" w:after="160"/>
      </w:pPr>
      <w:r>
        <w:rPr>
          <w:rFonts w:ascii="Times New Roman" w:hAnsi="Times New Roman"/>
          <w:b w:val="0"/>
          <w:i/>
          <w:color w:val="595959"/>
          <w:sz w:val="16"/>
        </w:rPr>
        <w:t>Person-years with one or more INCS inpatient days in the sample cohort DB. Income level recodes NHI premium deciles (0; 1–2; 3–4; 5–6; 7–8; 9–10) as 0–5. Percentages may not sum to 100 because of rounding.</w:t>
      </w:r>
    </w:p>
    <w:p>
      <w:pPr>
        <w:spacing w:before="200" w:after="60"/>
      </w:pPr>
      <w:r>
        <w:rPr>
          <w:rFonts w:ascii="Times New Roman" w:hAnsi="Times New Roman"/>
          <w:b/>
          <w:i w:val="0"/>
          <w:sz w:val="20"/>
        </w:rPr>
        <w:t xml:space="preserve">Table A.3. Goodness of fit of candidate statistical models</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trPr>
        <w:tc>
          <w:tcPr>
            <w:tcW w:type="dxa" w:w="1728"/>
            <w:shd w:val="clear" w:color="auto" w:fill="D9E2F3"/>
          </w:tcPr>
          <w:p>
            <w:pPr>
              <w:spacing w:before="20" w:after="20"/>
              <w:jc w:val="center"/>
            </w:pPr>
            <w:r/>
            <w:r>
              <w:rPr>
                <w:rFonts w:ascii="Times New Roman" w:hAnsi="Times New Roman"/>
                <w:b/>
                <w:sz w:val="17"/>
              </w:rPr>
              <w:t>Model</w:t>
            </w:r>
          </w:p>
        </w:tc>
        <w:tc>
          <w:tcPr>
            <w:tcW w:type="dxa" w:w="1728"/>
            <w:shd w:val="clear" w:color="auto" w:fill="D9E2F3"/>
          </w:tcPr>
          <w:p>
            <w:pPr>
              <w:spacing w:before="20" w:after="20"/>
              <w:jc w:val="center"/>
            </w:pPr>
            <w:r/>
            <w:r>
              <w:rPr>
                <w:rFonts w:ascii="Times New Roman" w:hAnsi="Times New Roman"/>
                <w:b/>
                <w:sz w:val="17"/>
              </w:rPr>
              <w:t>Pearson χ²/df</w:t>
            </w:r>
          </w:p>
        </w:tc>
        <w:tc>
          <w:tcPr>
            <w:tcW w:type="dxa" w:w="1728"/>
            <w:shd w:val="clear" w:color="auto" w:fill="D9E2F3"/>
          </w:tcPr>
          <w:p>
            <w:pPr>
              <w:spacing w:before="20" w:after="20"/>
              <w:jc w:val="center"/>
            </w:pPr>
            <w:r/>
            <w:r>
              <w:rPr>
                <w:rFonts w:ascii="Times New Roman" w:hAnsi="Times New Roman"/>
                <w:b/>
                <w:sz w:val="17"/>
              </w:rPr>
              <w:t>AIC</w:t>
            </w:r>
          </w:p>
        </w:tc>
        <w:tc>
          <w:tcPr>
            <w:tcW w:type="dxa" w:w="1728"/>
            <w:shd w:val="clear" w:color="auto" w:fill="D9E2F3"/>
          </w:tcPr>
          <w:p>
            <w:pPr>
              <w:spacing w:before="20" w:after="20"/>
              <w:jc w:val="center"/>
            </w:pPr>
            <w:r/>
            <w:r>
              <w:rPr>
                <w:rFonts w:ascii="Times New Roman" w:hAnsi="Times New Roman"/>
                <w:b/>
                <w:sz w:val="17"/>
              </w:rPr>
              <w:t>BIC</w:t>
            </w:r>
          </w:p>
        </w:tc>
        <w:tc>
          <w:tcPr>
            <w:tcW w:type="dxa" w:w="1728"/>
            <w:shd w:val="clear" w:color="auto" w:fill="D9E2F3"/>
          </w:tcPr>
          <w:p>
            <w:pPr>
              <w:spacing w:before="20" w:after="20"/>
              <w:jc w:val="center"/>
            </w:pPr>
            <w:r/>
            <w:r>
              <w:rPr>
                <w:rFonts w:ascii="Times New Roman" w:hAnsi="Times New Roman"/>
                <w:b/>
                <w:sz w:val="17"/>
              </w:rPr>
              <w:t>Assessment</w:t>
            </w:r>
          </w:p>
        </w:tc>
      </w:tr>
      <w:tr>
        <w:tc>
          <w:tcPr>
            <w:tcW w:type="dxa" w:w="1728"/>
          </w:tcPr>
          <w:p>
            <w:pPr>
              <w:spacing w:before="20" w:after="20"/>
              <w:jc w:val="left"/>
            </w:pPr>
            <w:r/>
            <w:r>
              <w:rPr>
                <w:rFonts w:ascii="Times New Roman" w:hAnsi="Times New Roman"/>
                <w:b w:val="0"/>
                <w:sz w:val="17"/>
              </w:rPr>
              <w:t>Poisson</w:t>
            </w:r>
          </w:p>
        </w:tc>
        <w:tc>
          <w:tcPr>
            <w:tcW w:type="dxa" w:w="1728"/>
          </w:tcPr>
          <w:p>
            <w:pPr>
              <w:spacing w:before="20" w:after="20"/>
              <w:jc w:val="center"/>
            </w:pPr>
            <w:r/>
            <w:r>
              <w:rPr>
                <w:rFonts w:ascii="Times New Roman" w:hAnsi="Times New Roman"/>
                <w:b w:val="0"/>
                <w:sz w:val="17"/>
              </w:rPr>
              <w:t>13.33</w:t>
            </w:r>
          </w:p>
        </w:tc>
        <w:tc>
          <w:tcPr>
            <w:tcW w:type="dxa" w:w="1728"/>
          </w:tcPr>
          <w:p>
            <w:pPr>
              <w:spacing w:before="20" w:after="20"/>
              <w:jc w:val="right"/>
            </w:pPr>
            <w:r/>
            <w:r>
              <w:rPr>
                <w:rFonts w:ascii="Times New Roman" w:hAnsi="Times New Roman"/>
                <w:b w:val="0"/>
                <w:sz w:val="17"/>
              </w:rPr>
              <w:t>4,275,352</w:t>
            </w:r>
          </w:p>
        </w:tc>
        <w:tc>
          <w:tcPr>
            <w:tcW w:type="dxa" w:w="1728"/>
          </w:tcPr>
          <w:p>
            <w:pPr>
              <w:spacing w:before="20" w:after="20"/>
              <w:jc w:val="right"/>
            </w:pPr>
            <w:r/>
            <w:r>
              <w:rPr>
                <w:rFonts w:ascii="Times New Roman" w:hAnsi="Times New Roman"/>
                <w:b w:val="0"/>
                <w:sz w:val="17"/>
              </w:rPr>
              <w:t>4,275,662</w:t>
            </w:r>
          </w:p>
        </w:tc>
        <w:tc>
          <w:tcPr>
            <w:tcW w:type="dxa" w:w="1728"/>
          </w:tcPr>
          <w:p>
            <w:pPr>
              <w:spacing w:before="20" w:after="20"/>
              <w:jc w:val="center"/>
            </w:pPr>
            <w:r/>
            <w:r>
              <w:rPr>
                <w:rFonts w:ascii="Times New Roman" w:hAnsi="Times New Roman"/>
                <w:b w:val="0"/>
                <w:sz w:val="17"/>
              </w:rPr>
              <w:t>Overdispersed</w:t>
            </w:r>
          </w:p>
        </w:tc>
      </w:tr>
      <w:tr>
        <w:tc>
          <w:tcPr>
            <w:tcW w:type="dxa" w:w="1728"/>
          </w:tcPr>
          <w:p>
            <w:pPr>
              <w:spacing w:before="20" w:after="20"/>
              <w:jc w:val="left"/>
            </w:pPr>
            <w:r/>
            <w:r>
              <w:rPr>
                <w:rFonts w:ascii="Times New Roman" w:hAnsi="Times New Roman"/>
                <w:b w:val="0"/>
                <w:sz w:val="17"/>
              </w:rPr>
              <w:t>Negative binomial (NB)</w:t>
            </w:r>
          </w:p>
        </w:tc>
        <w:tc>
          <w:tcPr>
            <w:tcW w:type="dxa" w:w="1728"/>
          </w:tcPr>
          <w:p>
            <w:pPr>
              <w:spacing w:before="20" w:after="20"/>
              <w:jc w:val="center"/>
            </w:pPr>
            <w:r/>
            <w:r>
              <w:rPr>
                <w:rFonts w:ascii="Times New Roman" w:hAnsi="Times New Roman"/>
                <w:b w:val="0"/>
                <w:sz w:val="17"/>
              </w:rPr>
              <w:t>3.77</w:t>
            </w:r>
          </w:p>
        </w:tc>
        <w:tc>
          <w:tcPr>
            <w:tcW w:type="dxa" w:w="1728"/>
          </w:tcPr>
          <w:p>
            <w:pPr>
              <w:spacing w:before="20" w:after="20"/>
              <w:jc w:val="right"/>
            </w:pPr>
            <w:r/>
            <w:r>
              <w:rPr>
                <w:rFonts w:ascii="Times New Roman" w:hAnsi="Times New Roman"/>
                <w:b w:val="0"/>
                <w:sz w:val="17"/>
              </w:rPr>
              <w:t>921,277</w:t>
            </w:r>
          </w:p>
        </w:tc>
        <w:tc>
          <w:tcPr>
            <w:tcW w:type="dxa" w:w="1728"/>
          </w:tcPr>
          <w:p>
            <w:pPr>
              <w:spacing w:before="20" w:after="20"/>
              <w:jc w:val="right"/>
            </w:pPr>
            <w:r/>
            <w:r>
              <w:rPr>
                <w:rFonts w:ascii="Times New Roman" w:hAnsi="Times New Roman"/>
                <w:b w:val="0"/>
                <w:sz w:val="17"/>
              </w:rPr>
              <w:t>921,601</w:t>
            </w:r>
          </w:p>
        </w:tc>
        <w:tc>
          <w:tcPr>
            <w:tcW w:type="dxa" w:w="1728"/>
          </w:tcPr>
          <w:p>
            <w:pPr>
              <w:spacing w:before="20" w:after="20"/>
              <w:jc w:val="center"/>
            </w:pPr>
            <w:r/>
            <w:r>
              <w:rPr>
                <w:rFonts w:ascii="Times New Roman" w:hAnsi="Times New Roman"/>
                <w:b w:val="0"/>
                <w:sz w:val="17"/>
              </w:rPr>
              <w:t>Overdispersed</w:t>
            </w:r>
          </w:p>
        </w:tc>
      </w:tr>
      <w:tr>
        <w:tc>
          <w:tcPr>
            <w:tcW w:type="dxa" w:w="1728"/>
          </w:tcPr>
          <w:p>
            <w:pPr>
              <w:spacing w:before="20" w:after="20"/>
              <w:jc w:val="left"/>
            </w:pPr>
            <w:r/>
            <w:r>
              <w:rPr>
                <w:rFonts w:ascii="Times New Roman" w:hAnsi="Times New Roman"/>
                <w:b w:val="0"/>
                <w:sz w:val="17"/>
              </w:rPr>
              <w:t>Zero-inflated Poisson (ZIP)</w:t>
            </w:r>
          </w:p>
        </w:tc>
        <w:tc>
          <w:tcPr>
            <w:tcW w:type="dxa" w:w="1728"/>
          </w:tcPr>
          <w:p>
            <w:pPr>
              <w:spacing w:before="20" w:after="20"/>
              <w:jc w:val="center"/>
            </w:pPr>
            <w:r/>
            <w:r>
              <w:rPr>
                <w:rFonts w:ascii="Times New Roman" w:hAnsi="Times New Roman"/>
                <w:b w:val="0"/>
                <w:sz w:val="17"/>
              </w:rPr>
              <w:t>1.67</w:t>
            </w:r>
          </w:p>
        </w:tc>
        <w:tc>
          <w:tcPr>
            <w:tcW w:type="dxa" w:w="1728"/>
          </w:tcPr>
          <w:p>
            <w:pPr>
              <w:spacing w:before="20" w:after="20"/>
              <w:jc w:val="right"/>
            </w:pPr>
            <w:r/>
            <w:r>
              <w:rPr>
                <w:rFonts w:ascii="Times New Roman" w:hAnsi="Times New Roman"/>
                <w:b w:val="0"/>
                <w:sz w:val="17"/>
              </w:rPr>
              <w:t>1,277,695</w:t>
            </w:r>
          </w:p>
        </w:tc>
        <w:tc>
          <w:tcPr>
            <w:tcW w:type="dxa" w:w="1728"/>
          </w:tcPr>
          <w:p>
            <w:pPr>
              <w:spacing w:before="20" w:after="20"/>
              <w:jc w:val="right"/>
            </w:pPr>
            <w:r/>
            <w:r>
              <w:rPr>
                <w:rFonts w:ascii="Times New Roman" w:hAnsi="Times New Roman"/>
                <w:b w:val="0"/>
                <w:sz w:val="17"/>
              </w:rPr>
              <w:t>1,278,315</w:t>
            </w:r>
          </w:p>
        </w:tc>
        <w:tc>
          <w:tcPr>
            <w:tcW w:type="dxa" w:w="1728"/>
          </w:tcPr>
          <w:p>
            <w:pPr>
              <w:spacing w:before="20" w:after="20"/>
              <w:jc w:val="center"/>
            </w:pPr>
            <w:r/>
            <w:r>
              <w:rPr>
                <w:rFonts w:ascii="Times New Roman" w:hAnsi="Times New Roman"/>
                <w:b w:val="0"/>
                <w:sz w:val="17"/>
              </w:rPr>
              <w:t>Inferior fit</w:t>
            </w:r>
          </w:p>
        </w:tc>
      </w:tr>
      <w:tr>
        <w:tc>
          <w:tcPr>
            <w:tcW w:type="dxa" w:w="1728"/>
          </w:tcPr>
          <w:p>
            <w:pPr>
              <w:spacing w:before="20" w:after="20"/>
              <w:jc w:val="left"/>
            </w:pPr>
            <w:r/>
            <w:r>
              <w:rPr>
                <w:rFonts w:ascii="Times New Roman" w:hAnsi="Times New Roman"/>
                <w:b w:val="0"/>
                <w:sz w:val="17"/>
              </w:rPr>
              <w:t>Zero-inflated negative binomial (ZINB)</w:t>
            </w:r>
          </w:p>
        </w:tc>
        <w:tc>
          <w:tcPr>
            <w:tcW w:type="dxa" w:w="1728"/>
          </w:tcPr>
          <w:p>
            <w:pPr>
              <w:spacing w:before="20" w:after="20"/>
              <w:jc w:val="center"/>
            </w:pPr>
            <w:r/>
            <w:r>
              <w:rPr>
                <w:rFonts w:ascii="Times New Roman" w:hAnsi="Times New Roman"/>
                <w:b w:val="0"/>
                <w:sz w:val="17"/>
              </w:rPr>
              <w:t>1.09</w:t>
            </w:r>
          </w:p>
        </w:tc>
        <w:tc>
          <w:tcPr>
            <w:tcW w:type="dxa" w:w="1728"/>
          </w:tcPr>
          <w:p>
            <w:pPr>
              <w:spacing w:before="20" w:after="20"/>
              <w:jc w:val="right"/>
            </w:pPr>
            <w:r/>
            <w:r>
              <w:rPr>
                <w:rFonts w:ascii="Times New Roman" w:hAnsi="Times New Roman"/>
                <w:b w:val="0"/>
                <w:sz w:val="17"/>
              </w:rPr>
              <w:t>811,931</w:t>
            </w:r>
          </w:p>
        </w:tc>
        <w:tc>
          <w:tcPr>
            <w:tcW w:type="dxa" w:w="1728"/>
          </w:tcPr>
          <w:p>
            <w:pPr>
              <w:spacing w:before="20" w:after="20"/>
              <w:jc w:val="right"/>
            </w:pPr>
            <w:r/>
            <w:r>
              <w:rPr>
                <w:rFonts w:ascii="Times New Roman" w:hAnsi="Times New Roman"/>
                <w:b w:val="0"/>
                <w:sz w:val="17"/>
              </w:rPr>
              <w:t>812,564</w:t>
            </w:r>
          </w:p>
        </w:tc>
        <w:tc>
          <w:tcPr>
            <w:tcW w:type="dxa" w:w="1728"/>
          </w:tcPr>
          <w:p>
            <w:pPr>
              <w:spacing w:before="20" w:after="20"/>
              <w:jc w:val="center"/>
            </w:pPr>
            <w:r/>
            <w:r>
              <w:rPr>
                <w:rFonts w:ascii="Times New Roman" w:hAnsi="Times New Roman"/>
                <w:b w:val="0"/>
                <w:sz w:val="17"/>
              </w:rPr>
              <w:t>Adopted</w:t>
            </w:r>
          </w:p>
        </w:tc>
      </w:tr>
    </w:tbl>
    <w:p>
      <w:pPr>
        <w:spacing w:before="0" w:after="160"/>
      </w:pPr>
      <w:r>
        <w:rPr>
          <w:rFonts w:ascii="Times New Roman" w:hAnsi="Times New Roman"/>
          <w:b w:val="0"/>
          <w:i/>
          <w:color w:val="595959"/>
          <w:sz w:val="16"/>
        </w:rPr>
        <w:t>Pearson χ²/df diagnoses overdispersion (closer to 1 is better); lower AIC and BIC indicate better fit. The oldest age category was collapsed to '60+' at this stage.</w:t>
      </w:r>
    </w:p>
    <w:p>
      <w:pPr>
        <w:spacing w:before="200" w:after="60"/>
      </w:pPr>
      <w:r>
        <w:rPr>
          <w:rFonts w:ascii="Times New Roman" w:hAnsi="Times New Roman"/>
          <w:b/>
          <w:i w:val="0"/>
          <w:sz w:val="20"/>
        </w:rPr>
        <w:t xml:space="preserve">Table A.4. Logistic (structural-zero) component of the ZINB model</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trPr>
        <w:tc>
          <w:tcPr>
            <w:tcW w:type="dxa" w:w="1728"/>
            <w:shd w:val="clear" w:color="auto" w:fill="D9E2F3"/>
          </w:tcPr>
          <w:p>
            <w:pPr>
              <w:spacing w:before="20" w:after="20"/>
              <w:jc w:val="center"/>
            </w:pPr>
            <w:r/>
            <w:r>
              <w:rPr>
                <w:rFonts w:ascii="Times New Roman" w:hAnsi="Times New Roman"/>
                <w:b/>
                <w:sz w:val="17"/>
              </w:rPr>
              <w:t>Variable</w:t>
            </w:r>
          </w:p>
        </w:tc>
        <w:tc>
          <w:tcPr>
            <w:tcW w:type="dxa" w:w="1728"/>
            <w:shd w:val="clear" w:color="auto" w:fill="D9E2F3"/>
          </w:tcPr>
          <w:p>
            <w:pPr>
              <w:spacing w:before="20" w:after="20"/>
              <w:jc w:val="center"/>
            </w:pPr>
            <w:r/>
            <w:r>
              <w:rPr>
                <w:rFonts w:ascii="Times New Roman" w:hAnsi="Times New Roman"/>
                <w:b/>
                <w:sz w:val="17"/>
              </w:rPr>
              <w:t>Category</w:t>
            </w:r>
          </w:p>
        </w:tc>
        <w:tc>
          <w:tcPr>
            <w:tcW w:type="dxa" w:w="1728"/>
            <w:shd w:val="clear" w:color="auto" w:fill="D9E2F3"/>
          </w:tcPr>
          <w:p>
            <w:pPr>
              <w:spacing w:before="20" w:after="20"/>
              <w:jc w:val="center"/>
            </w:pPr>
            <w:r/>
            <w:r>
              <w:rPr>
                <w:rFonts w:ascii="Times New Roman" w:hAnsi="Times New Roman"/>
                <w:b/>
                <w:sz w:val="17"/>
              </w:rPr>
              <w:t>OR</w:t>
            </w:r>
          </w:p>
        </w:tc>
        <w:tc>
          <w:tcPr>
            <w:tcW w:type="dxa" w:w="1728"/>
            <w:shd w:val="clear" w:color="auto" w:fill="D9E2F3"/>
          </w:tcPr>
          <w:p>
            <w:pPr>
              <w:spacing w:before="20" w:after="20"/>
              <w:jc w:val="center"/>
            </w:pPr>
            <w:r/>
            <w:r>
              <w:rPr>
                <w:rFonts w:ascii="Times New Roman" w:hAnsi="Times New Roman"/>
                <w:b/>
                <w:sz w:val="17"/>
              </w:rPr>
              <w:t>95% CI</w:t>
            </w:r>
          </w:p>
        </w:tc>
        <w:tc>
          <w:tcPr>
            <w:tcW w:type="dxa" w:w="1728"/>
            <w:shd w:val="clear" w:color="auto" w:fill="D9E2F3"/>
          </w:tcPr>
          <w:p>
            <w:pPr>
              <w:spacing w:before="20" w:after="20"/>
              <w:jc w:val="center"/>
            </w:pPr>
            <w:r/>
            <w:r>
              <w:rPr>
                <w:rFonts w:ascii="Times New Roman" w:hAnsi="Times New Roman"/>
                <w:b/>
                <w:sz w:val="17"/>
              </w:rPr>
              <w:t>p</w:t>
            </w:r>
          </w:p>
        </w:tc>
      </w:tr>
      <w:tr>
        <w:tc>
          <w:tcPr>
            <w:tcW w:type="dxa" w:w="1728"/>
          </w:tcPr>
          <w:p>
            <w:pPr>
              <w:spacing w:before="20" w:after="20"/>
              <w:jc w:val="left"/>
            </w:pPr>
            <w:r/>
            <w:r>
              <w:rPr>
                <w:rFonts w:ascii="Times New Roman" w:hAnsi="Times New Roman"/>
                <w:b w:val="0"/>
                <w:sz w:val="17"/>
              </w:rPr>
              <w:t>Sex (ref: male)</w:t>
            </w:r>
          </w:p>
        </w:tc>
        <w:tc>
          <w:tcPr>
            <w:tcW w:type="dxa" w:w="1728"/>
          </w:tcPr>
          <w:p>
            <w:pPr>
              <w:spacing w:before="20" w:after="20"/>
              <w:jc w:val="left"/>
            </w:pPr>
            <w:r/>
            <w:r>
              <w:rPr>
                <w:rFonts w:ascii="Times New Roman" w:hAnsi="Times New Roman"/>
                <w:b w:val="0"/>
                <w:sz w:val="17"/>
              </w:rPr>
              <w:t>Female</w:t>
            </w:r>
          </w:p>
        </w:tc>
        <w:tc>
          <w:tcPr>
            <w:tcW w:type="dxa" w:w="1728"/>
          </w:tcPr>
          <w:p>
            <w:pPr>
              <w:spacing w:before="20" w:after="20"/>
              <w:jc w:val="center"/>
            </w:pPr>
            <w:r/>
            <w:r>
              <w:rPr>
                <w:rFonts w:ascii="Times New Roman" w:hAnsi="Times New Roman"/>
                <w:b w:val="0"/>
                <w:sz w:val="17"/>
              </w:rPr>
              <w:t>0.909</w:t>
            </w:r>
          </w:p>
        </w:tc>
        <w:tc>
          <w:tcPr>
            <w:tcW w:type="dxa" w:w="1728"/>
          </w:tcPr>
          <w:p>
            <w:pPr>
              <w:spacing w:before="20" w:after="20"/>
              <w:jc w:val="center"/>
            </w:pPr>
            <w:r/>
            <w:r>
              <w:rPr>
                <w:rFonts w:ascii="Times New Roman" w:hAnsi="Times New Roman"/>
                <w:b w:val="0"/>
                <w:sz w:val="17"/>
              </w:rPr>
              <w:t>0.892–0.925</w:t>
            </w:r>
          </w:p>
        </w:tc>
        <w:tc>
          <w:tcPr>
            <w:tcW w:type="dxa" w:w="1728"/>
          </w:tcPr>
          <w:p>
            <w:pPr>
              <w:spacing w:before="20" w:after="20"/>
              <w:jc w:val="center"/>
            </w:pPr>
            <w:r/>
            <w:r>
              <w:rPr>
                <w:rFonts w:ascii="Times New Roman" w:hAnsi="Times New Roman"/>
                <w:b w:val="0"/>
                <w:sz w:val="17"/>
              </w:rPr>
              <w:t>&lt;.0001</w:t>
            </w:r>
          </w:p>
        </w:tc>
      </w:tr>
      <w:tr>
        <w:tc>
          <w:tcPr>
            <w:tcW w:type="dxa" w:w="1728"/>
            <w:vMerge w:val="restart"/>
          </w:tcPr>
          <w:p>
            <w:pPr>
              <w:spacing w:before="20" w:after="20"/>
              <w:jc w:val="left"/>
            </w:pPr>
            <w:r/>
            <w:r>
              <w:rPr>
                <w:rFonts w:ascii="Times New Roman" w:hAnsi="Times New Roman"/>
                <w:b w:val="0"/>
                <w:sz w:val="17"/>
              </w:rPr>
              <w:t>Age (ref: &lt;40)</w:t>
            </w:r>
          </w:p>
        </w:tc>
        <w:tc>
          <w:tcPr>
            <w:tcW w:type="dxa" w:w="1728"/>
          </w:tcPr>
          <w:p>
            <w:pPr>
              <w:spacing w:before="20" w:after="20"/>
              <w:jc w:val="left"/>
            </w:pPr>
            <w:r/>
            <w:r>
              <w:rPr>
                <w:rFonts w:ascii="Times New Roman" w:hAnsi="Times New Roman"/>
                <w:b w:val="0"/>
                <w:sz w:val="17"/>
              </w:rPr>
              <w:t>40s</w:t>
            </w:r>
          </w:p>
        </w:tc>
        <w:tc>
          <w:tcPr>
            <w:tcW w:type="dxa" w:w="1728"/>
          </w:tcPr>
          <w:p>
            <w:pPr>
              <w:spacing w:before="20" w:after="20"/>
              <w:jc w:val="center"/>
            </w:pPr>
            <w:r/>
            <w:r>
              <w:rPr>
                <w:rFonts w:ascii="Times New Roman" w:hAnsi="Times New Roman"/>
                <w:b w:val="0"/>
                <w:sz w:val="17"/>
              </w:rPr>
              <w:t>0.632</w:t>
            </w:r>
          </w:p>
        </w:tc>
        <w:tc>
          <w:tcPr>
            <w:tcW w:type="dxa" w:w="1728"/>
          </w:tcPr>
          <w:p>
            <w:pPr>
              <w:spacing w:before="20" w:after="20"/>
              <w:jc w:val="center"/>
            </w:pPr>
            <w:r/>
            <w:r>
              <w:rPr>
                <w:rFonts w:ascii="Times New Roman" w:hAnsi="Times New Roman"/>
                <w:b w:val="0"/>
                <w:sz w:val="17"/>
              </w:rPr>
              <w:t>0.612–0.653</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50s</w:t>
            </w:r>
          </w:p>
        </w:tc>
        <w:tc>
          <w:tcPr>
            <w:tcW w:type="dxa" w:w="1728"/>
          </w:tcPr>
          <w:p>
            <w:pPr>
              <w:spacing w:before="20" w:after="20"/>
              <w:jc w:val="center"/>
            </w:pPr>
            <w:r/>
            <w:r>
              <w:rPr>
                <w:rFonts w:ascii="Times New Roman" w:hAnsi="Times New Roman"/>
                <w:b w:val="0"/>
                <w:sz w:val="17"/>
              </w:rPr>
              <w:t>0.543</w:t>
            </w:r>
          </w:p>
        </w:tc>
        <w:tc>
          <w:tcPr>
            <w:tcW w:type="dxa" w:w="1728"/>
          </w:tcPr>
          <w:p>
            <w:pPr>
              <w:spacing w:before="20" w:after="20"/>
              <w:jc w:val="center"/>
            </w:pPr>
            <w:r/>
            <w:r>
              <w:rPr>
                <w:rFonts w:ascii="Times New Roman" w:hAnsi="Times New Roman"/>
                <w:b w:val="0"/>
                <w:sz w:val="17"/>
              </w:rPr>
              <w:t>0.527–0.560</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60s</w:t>
            </w:r>
          </w:p>
        </w:tc>
        <w:tc>
          <w:tcPr>
            <w:tcW w:type="dxa" w:w="1728"/>
          </w:tcPr>
          <w:p>
            <w:pPr>
              <w:spacing w:before="20" w:after="20"/>
              <w:jc w:val="center"/>
            </w:pPr>
            <w:r/>
            <w:r>
              <w:rPr>
                <w:rFonts w:ascii="Times New Roman" w:hAnsi="Times New Roman"/>
                <w:b w:val="0"/>
                <w:sz w:val="17"/>
              </w:rPr>
              <w:t>0.511</w:t>
            </w:r>
          </w:p>
        </w:tc>
        <w:tc>
          <w:tcPr>
            <w:tcW w:type="dxa" w:w="1728"/>
          </w:tcPr>
          <w:p>
            <w:pPr>
              <w:spacing w:before="20" w:after="20"/>
              <w:jc w:val="center"/>
            </w:pPr>
            <w:r/>
            <w:r>
              <w:rPr>
                <w:rFonts w:ascii="Times New Roman" w:hAnsi="Times New Roman"/>
                <w:b w:val="0"/>
                <w:sz w:val="17"/>
              </w:rPr>
              <w:t>0.496–0.527</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70s</w:t>
            </w:r>
          </w:p>
        </w:tc>
        <w:tc>
          <w:tcPr>
            <w:tcW w:type="dxa" w:w="1728"/>
          </w:tcPr>
          <w:p>
            <w:pPr>
              <w:spacing w:before="20" w:after="20"/>
              <w:jc w:val="center"/>
            </w:pPr>
            <w:r/>
            <w:r>
              <w:rPr>
                <w:rFonts w:ascii="Times New Roman" w:hAnsi="Times New Roman"/>
                <w:b w:val="0"/>
                <w:sz w:val="17"/>
              </w:rPr>
              <w:t>0.430</w:t>
            </w:r>
          </w:p>
        </w:tc>
        <w:tc>
          <w:tcPr>
            <w:tcW w:type="dxa" w:w="1728"/>
          </w:tcPr>
          <w:p>
            <w:pPr>
              <w:spacing w:before="20" w:after="20"/>
              <w:jc w:val="center"/>
            </w:pPr>
            <w:r/>
            <w:r>
              <w:rPr>
                <w:rFonts w:ascii="Times New Roman" w:hAnsi="Times New Roman"/>
                <w:b w:val="0"/>
                <w:sz w:val="17"/>
              </w:rPr>
              <w:t>0.417–0.444</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≥80</w:t>
            </w:r>
          </w:p>
        </w:tc>
        <w:tc>
          <w:tcPr>
            <w:tcW w:type="dxa" w:w="1728"/>
          </w:tcPr>
          <w:p>
            <w:pPr>
              <w:spacing w:before="20" w:after="20"/>
              <w:jc w:val="center"/>
            </w:pPr>
            <w:r/>
            <w:r>
              <w:rPr>
                <w:rFonts w:ascii="Times New Roman" w:hAnsi="Times New Roman"/>
                <w:b w:val="0"/>
                <w:sz w:val="17"/>
              </w:rPr>
              <w:t>0.306</w:t>
            </w:r>
          </w:p>
        </w:tc>
        <w:tc>
          <w:tcPr>
            <w:tcW w:type="dxa" w:w="1728"/>
          </w:tcPr>
          <w:p>
            <w:pPr>
              <w:spacing w:before="20" w:after="20"/>
              <w:jc w:val="center"/>
            </w:pPr>
            <w:r/>
            <w:r>
              <w:rPr>
                <w:rFonts w:ascii="Times New Roman" w:hAnsi="Times New Roman"/>
                <w:b w:val="0"/>
                <w:sz w:val="17"/>
              </w:rPr>
              <w:t>0.295–0.317</w:t>
            </w:r>
          </w:p>
        </w:tc>
        <w:tc>
          <w:tcPr>
            <w:tcW w:type="dxa" w:w="1728"/>
          </w:tcPr>
          <w:p>
            <w:pPr>
              <w:spacing w:before="20" w:after="20"/>
              <w:jc w:val="center"/>
            </w:pPr>
            <w:r/>
            <w:r>
              <w:rPr>
                <w:rFonts w:ascii="Times New Roman" w:hAnsi="Times New Roman"/>
                <w:b w:val="0"/>
                <w:sz w:val="17"/>
              </w:rPr>
              <w:t>&lt;.0001</w:t>
            </w:r>
          </w:p>
        </w:tc>
      </w:tr>
      <w:tr>
        <w:tc>
          <w:tcPr>
            <w:tcW w:type="dxa" w:w="1728"/>
            <w:vMerge w:val="restart"/>
          </w:tcPr>
          <w:p>
            <w:pPr>
              <w:spacing w:before="20" w:after="20"/>
              <w:jc w:val="left"/>
            </w:pPr>
            <w:r/>
            <w:r>
              <w:rPr>
                <w:rFonts w:ascii="Times New Roman" w:hAnsi="Times New Roman"/>
                <w:b w:val="0"/>
                <w:sz w:val="17"/>
              </w:rPr>
              <w:t>Income level (ref: 0)</w:t>
            </w:r>
          </w:p>
        </w:tc>
        <w:tc>
          <w:tcPr>
            <w:tcW w:type="dxa" w:w="1728"/>
          </w:tcPr>
          <w:p>
            <w:pPr>
              <w:spacing w:before="20" w:after="20"/>
              <w:jc w:val="left"/>
            </w:pPr>
            <w:r/>
            <w:r>
              <w:rPr>
                <w:rFonts w:ascii="Times New Roman" w:hAnsi="Times New Roman"/>
                <w:b w:val="0"/>
                <w:sz w:val="17"/>
              </w:rPr>
              <w:t>1</w:t>
            </w:r>
          </w:p>
        </w:tc>
        <w:tc>
          <w:tcPr>
            <w:tcW w:type="dxa" w:w="1728"/>
          </w:tcPr>
          <w:p>
            <w:pPr>
              <w:spacing w:before="20" w:after="20"/>
              <w:jc w:val="center"/>
            </w:pPr>
            <w:r/>
            <w:r>
              <w:rPr>
                <w:rFonts w:ascii="Times New Roman" w:hAnsi="Times New Roman"/>
                <w:b w:val="0"/>
                <w:sz w:val="17"/>
              </w:rPr>
              <w:t>1.680</w:t>
            </w:r>
          </w:p>
        </w:tc>
        <w:tc>
          <w:tcPr>
            <w:tcW w:type="dxa" w:w="1728"/>
          </w:tcPr>
          <w:p>
            <w:pPr>
              <w:spacing w:before="20" w:after="20"/>
              <w:jc w:val="center"/>
            </w:pPr>
            <w:r/>
            <w:r>
              <w:rPr>
                <w:rFonts w:ascii="Times New Roman" w:hAnsi="Times New Roman"/>
                <w:b w:val="0"/>
                <w:sz w:val="17"/>
              </w:rPr>
              <w:t>1.611–1.752</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2</w:t>
            </w:r>
          </w:p>
        </w:tc>
        <w:tc>
          <w:tcPr>
            <w:tcW w:type="dxa" w:w="1728"/>
          </w:tcPr>
          <w:p>
            <w:pPr>
              <w:spacing w:before="20" w:after="20"/>
              <w:jc w:val="center"/>
            </w:pPr>
            <w:r/>
            <w:r>
              <w:rPr>
                <w:rFonts w:ascii="Times New Roman" w:hAnsi="Times New Roman"/>
                <w:b w:val="0"/>
                <w:sz w:val="17"/>
              </w:rPr>
              <w:t>1.667</w:t>
            </w:r>
          </w:p>
        </w:tc>
        <w:tc>
          <w:tcPr>
            <w:tcW w:type="dxa" w:w="1728"/>
          </w:tcPr>
          <w:p>
            <w:pPr>
              <w:spacing w:before="20" w:after="20"/>
              <w:jc w:val="center"/>
            </w:pPr>
            <w:r/>
            <w:r>
              <w:rPr>
                <w:rFonts w:ascii="Times New Roman" w:hAnsi="Times New Roman"/>
                <w:b w:val="0"/>
                <w:sz w:val="17"/>
              </w:rPr>
              <w:t>1.596–1.741</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3</w:t>
            </w:r>
          </w:p>
        </w:tc>
        <w:tc>
          <w:tcPr>
            <w:tcW w:type="dxa" w:w="1728"/>
          </w:tcPr>
          <w:p>
            <w:pPr>
              <w:spacing w:before="20" w:after="20"/>
              <w:jc w:val="center"/>
            </w:pPr>
            <w:r/>
            <w:r>
              <w:rPr>
                <w:rFonts w:ascii="Times New Roman" w:hAnsi="Times New Roman"/>
                <w:b w:val="0"/>
                <w:sz w:val="17"/>
              </w:rPr>
              <w:t>1.687</w:t>
            </w:r>
          </w:p>
        </w:tc>
        <w:tc>
          <w:tcPr>
            <w:tcW w:type="dxa" w:w="1728"/>
          </w:tcPr>
          <w:p>
            <w:pPr>
              <w:spacing w:before="20" w:after="20"/>
              <w:jc w:val="center"/>
            </w:pPr>
            <w:r/>
            <w:r>
              <w:rPr>
                <w:rFonts w:ascii="Times New Roman" w:hAnsi="Times New Roman"/>
                <w:b w:val="0"/>
                <w:sz w:val="17"/>
              </w:rPr>
              <w:t>1.618–1.760</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4</w:t>
            </w:r>
          </w:p>
        </w:tc>
        <w:tc>
          <w:tcPr>
            <w:tcW w:type="dxa" w:w="1728"/>
          </w:tcPr>
          <w:p>
            <w:pPr>
              <w:spacing w:before="20" w:after="20"/>
              <w:jc w:val="center"/>
            </w:pPr>
            <w:r/>
            <w:r>
              <w:rPr>
                <w:rFonts w:ascii="Times New Roman" w:hAnsi="Times New Roman"/>
                <w:b w:val="0"/>
                <w:sz w:val="17"/>
              </w:rPr>
              <w:t>1.729</w:t>
            </w:r>
          </w:p>
        </w:tc>
        <w:tc>
          <w:tcPr>
            <w:tcW w:type="dxa" w:w="1728"/>
          </w:tcPr>
          <w:p>
            <w:pPr>
              <w:spacing w:before="20" w:after="20"/>
              <w:jc w:val="center"/>
            </w:pPr>
            <w:r/>
            <w:r>
              <w:rPr>
                <w:rFonts w:ascii="Times New Roman" w:hAnsi="Times New Roman"/>
                <w:b w:val="0"/>
                <w:sz w:val="17"/>
              </w:rPr>
              <w:t>1.660–1.800</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5 (highest)</w:t>
            </w:r>
          </w:p>
        </w:tc>
        <w:tc>
          <w:tcPr>
            <w:tcW w:type="dxa" w:w="1728"/>
          </w:tcPr>
          <w:p>
            <w:pPr>
              <w:spacing w:before="20" w:after="20"/>
              <w:jc w:val="center"/>
            </w:pPr>
            <w:r/>
            <w:r>
              <w:rPr>
                <w:rFonts w:ascii="Times New Roman" w:hAnsi="Times New Roman"/>
                <w:b w:val="0"/>
                <w:sz w:val="17"/>
              </w:rPr>
              <w:t>1.852</w:t>
            </w:r>
          </w:p>
        </w:tc>
        <w:tc>
          <w:tcPr>
            <w:tcW w:type="dxa" w:w="1728"/>
          </w:tcPr>
          <w:p>
            <w:pPr>
              <w:spacing w:before="20" w:after="20"/>
              <w:jc w:val="center"/>
            </w:pPr>
            <w:r/>
            <w:r>
              <w:rPr>
                <w:rFonts w:ascii="Times New Roman" w:hAnsi="Times New Roman"/>
                <w:b w:val="0"/>
                <w:sz w:val="17"/>
              </w:rPr>
              <w:t>1.780–1.926</w:t>
            </w:r>
          </w:p>
        </w:tc>
        <w:tc>
          <w:tcPr>
            <w:tcW w:type="dxa" w:w="1728"/>
          </w:tcPr>
          <w:p>
            <w:pPr>
              <w:spacing w:before="20" w:after="20"/>
              <w:jc w:val="center"/>
            </w:pPr>
            <w:r/>
            <w:r>
              <w:rPr>
                <w:rFonts w:ascii="Times New Roman" w:hAnsi="Times New Roman"/>
                <w:b w:val="0"/>
                <w:sz w:val="17"/>
              </w:rPr>
              <w:t>&lt;.0001</w:t>
            </w:r>
          </w:p>
        </w:tc>
      </w:tr>
      <w:tr>
        <w:tc>
          <w:tcPr>
            <w:tcW w:type="dxa" w:w="1728"/>
            <w:vMerge w:val="restart"/>
          </w:tcPr>
          <w:p>
            <w:pPr>
              <w:spacing w:before="20" w:after="20"/>
              <w:jc w:val="left"/>
            </w:pPr>
            <w:r/>
            <w:r>
              <w:rPr>
                <w:rFonts w:ascii="Times New Roman" w:hAnsi="Times New Roman"/>
                <w:b w:val="0"/>
                <w:sz w:val="17"/>
              </w:rPr>
              <w:t>Region (ref: Capital)</w:t>
            </w:r>
          </w:p>
        </w:tc>
        <w:tc>
          <w:tcPr>
            <w:tcW w:type="dxa" w:w="1728"/>
          </w:tcPr>
          <w:p>
            <w:pPr>
              <w:spacing w:before="20" w:after="20"/>
              <w:jc w:val="left"/>
            </w:pPr>
            <w:r/>
            <w:r>
              <w:rPr>
                <w:rFonts w:ascii="Times New Roman" w:hAnsi="Times New Roman"/>
                <w:b w:val="0"/>
                <w:sz w:val="17"/>
              </w:rPr>
              <w:t>Gangwon</w:t>
            </w:r>
          </w:p>
        </w:tc>
        <w:tc>
          <w:tcPr>
            <w:tcW w:type="dxa" w:w="1728"/>
          </w:tcPr>
          <w:p>
            <w:pPr>
              <w:spacing w:before="20" w:after="20"/>
              <w:jc w:val="center"/>
            </w:pPr>
            <w:r/>
            <w:r>
              <w:rPr>
                <w:rFonts w:ascii="Times New Roman" w:hAnsi="Times New Roman"/>
                <w:b w:val="0"/>
                <w:sz w:val="17"/>
              </w:rPr>
              <w:t>1.750</w:t>
            </w:r>
          </w:p>
        </w:tc>
        <w:tc>
          <w:tcPr>
            <w:tcW w:type="dxa" w:w="1728"/>
          </w:tcPr>
          <w:p>
            <w:pPr>
              <w:spacing w:before="20" w:after="20"/>
              <w:jc w:val="center"/>
            </w:pPr>
            <w:r/>
            <w:r>
              <w:rPr>
                <w:rFonts w:ascii="Times New Roman" w:hAnsi="Times New Roman"/>
                <w:b w:val="0"/>
                <w:sz w:val="17"/>
              </w:rPr>
              <w:t>1.636–1.871</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Daegyeong</w:t>
            </w:r>
          </w:p>
        </w:tc>
        <w:tc>
          <w:tcPr>
            <w:tcW w:type="dxa" w:w="1728"/>
          </w:tcPr>
          <w:p>
            <w:pPr>
              <w:spacing w:before="20" w:after="20"/>
              <w:jc w:val="center"/>
            </w:pPr>
            <w:r/>
            <w:r>
              <w:rPr>
                <w:rFonts w:ascii="Times New Roman" w:hAnsi="Times New Roman"/>
                <w:b w:val="0"/>
                <w:sz w:val="17"/>
              </w:rPr>
              <w:t>2.090</w:t>
            </w:r>
          </w:p>
        </w:tc>
        <w:tc>
          <w:tcPr>
            <w:tcW w:type="dxa" w:w="1728"/>
          </w:tcPr>
          <w:p>
            <w:pPr>
              <w:spacing w:before="20" w:after="20"/>
              <w:jc w:val="center"/>
            </w:pPr>
            <w:r/>
            <w:r>
              <w:rPr>
                <w:rFonts w:ascii="Times New Roman" w:hAnsi="Times New Roman"/>
                <w:b w:val="0"/>
                <w:sz w:val="17"/>
              </w:rPr>
              <w:t>1.945–2.246</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Dongnam</w:t>
            </w:r>
          </w:p>
        </w:tc>
        <w:tc>
          <w:tcPr>
            <w:tcW w:type="dxa" w:w="1728"/>
          </w:tcPr>
          <w:p>
            <w:pPr>
              <w:spacing w:before="20" w:after="20"/>
              <w:jc w:val="center"/>
            </w:pPr>
            <w:r/>
            <w:r>
              <w:rPr>
                <w:rFonts w:ascii="Times New Roman" w:hAnsi="Times New Roman"/>
                <w:b w:val="0"/>
                <w:sz w:val="17"/>
              </w:rPr>
              <w:t>2.070</w:t>
            </w:r>
          </w:p>
        </w:tc>
        <w:tc>
          <w:tcPr>
            <w:tcW w:type="dxa" w:w="1728"/>
          </w:tcPr>
          <w:p>
            <w:pPr>
              <w:spacing w:before="20" w:after="20"/>
              <w:jc w:val="center"/>
            </w:pPr>
            <w:r/>
            <w:r>
              <w:rPr>
                <w:rFonts w:ascii="Times New Roman" w:hAnsi="Times New Roman"/>
                <w:b w:val="0"/>
                <w:sz w:val="17"/>
              </w:rPr>
              <w:t>1.984–2.159</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Jeju</w:t>
            </w:r>
          </w:p>
        </w:tc>
        <w:tc>
          <w:tcPr>
            <w:tcW w:type="dxa" w:w="1728"/>
          </w:tcPr>
          <w:p>
            <w:pPr>
              <w:spacing w:before="20" w:after="20"/>
              <w:jc w:val="center"/>
            </w:pPr>
            <w:r/>
            <w:r>
              <w:rPr>
                <w:rFonts w:ascii="Times New Roman" w:hAnsi="Times New Roman"/>
                <w:b w:val="0"/>
                <w:sz w:val="17"/>
              </w:rPr>
              <w:t>3.048</w:t>
            </w:r>
          </w:p>
        </w:tc>
        <w:tc>
          <w:tcPr>
            <w:tcW w:type="dxa" w:w="1728"/>
          </w:tcPr>
          <w:p>
            <w:pPr>
              <w:spacing w:before="20" w:after="20"/>
              <w:jc w:val="center"/>
            </w:pPr>
            <w:r/>
            <w:r>
              <w:rPr>
                <w:rFonts w:ascii="Times New Roman" w:hAnsi="Times New Roman"/>
                <w:b w:val="0"/>
                <w:sz w:val="17"/>
              </w:rPr>
              <w:t>2.693–3.450</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Chungcheong</w:t>
            </w:r>
          </w:p>
        </w:tc>
        <w:tc>
          <w:tcPr>
            <w:tcW w:type="dxa" w:w="1728"/>
          </w:tcPr>
          <w:p>
            <w:pPr>
              <w:spacing w:before="20" w:after="20"/>
              <w:jc w:val="center"/>
            </w:pPr>
            <w:r/>
            <w:r>
              <w:rPr>
                <w:rFonts w:ascii="Times New Roman" w:hAnsi="Times New Roman"/>
                <w:b w:val="0"/>
                <w:sz w:val="17"/>
              </w:rPr>
              <w:t>1.320</w:t>
            </w:r>
          </w:p>
        </w:tc>
        <w:tc>
          <w:tcPr>
            <w:tcW w:type="dxa" w:w="1728"/>
          </w:tcPr>
          <w:p>
            <w:pPr>
              <w:spacing w:before="20" w:after="20"/>
              <w:jc w:val="center"/>
            </w:pPr>
            <w:r/>
            <w:r>
              <w:rPr>
                <w:rFonts w:ascii="Times New Roman" w:hAnsi="Times New Roman"/>
                <w:b w:val="0"/>
                <w:sz w:val="17"/>
              </w:rPr>
              <w:t>1.257–1.386</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Honam</w:t>
            </w:r>
          </w:p>
        </w:tc>
        <w:tc>
          <w:tcPr>
            <w:tcW w:type="dxa" w:w="1728"/>
          </w:tcPr>
          <w:p>
            <w:pPr>
              <w:spacing w:before="20" w:after="20"/>
              <w:jc w:val="center"/>
            </w:pPr>
            <w:r/>
            <w:r>
              <w:rPr>
                <w:rFonts w:ascii="Times New Roman" w:hAnsi="Times New Roman"/>
                <w:b w:val="0"/>
                <w:sz w:val="17"/>
              </w:rPr>
              <w:t>2.767</w:t>
            </w:r>
          </w:p>
        </w:tc>
        <w:tc>
          <w:tcPr>
            <w:tcW w:type="dxa" w:w="1728"/>
          </w:tcPr>
          <w:p>
            <w:pPr>
              <w:spacing w:before="20" w:after="20"/>
              <w:jc w:val="center"/>
            </w:pPr>
            <w:r/>
            <w:r>
              <w:rPr>
                <w:rFonts w:ascii="Times New Roman" w:hAnsi="Times New Roman"/>
                <w:b w:val="0"/>
                <w:sz w:val="17"/>
              </w:rPr>
              <w:t>2.591–2.955</w:t>
            </w:r>
          </w:p>
        </w:tc>
        <w:tc>
          <w:tcPr>
            <w:tcW w:type="dxa" w:w="1728"/>
          </w:tcPr>
          <w:p>
            <w:pPr>
              <w:spacing w:before="20" w:after="20"/>
              <w:jc w:val="center"/>
            </w:pPr>
            <w:r/>
            <w:r>
              <w:rPr>
                <w:rFonts w:ascii="Times New Roman" w:hAnsi="Times New Roman"/>
                <w:b w:val="0"/>
                <w:sz w:val="17"/>
              </w:rPr>
              <w:t>&lt;.0001</w:t>
            </w:r>
          </w:p>
        </w:tc>
      </w:tr>
      <w:tr>
        <w:tc>
          <w:tcPr>
            <w:tcW w:type="dxa" w:w="1728"/>
            <w:vMerge w:val="restart"/>
          </w:tcPr>
          <w:p>
            <w:pPr>
              <w:spacing w:before="20" w:after="20"/>
              <w:jc w:val="left"/>
            </w:pPr>
            <w:r/>
            <w:r>
              <w:rPr>
                <w:rFonts w:ascii="Times New Roman" w:hAnsi="Times New Roman"/>
                <w:b w:val="0"/>
                <w:sz w:val="17"/>
              </w:rPr>
              <w:t>Disability (ref: none)</w:t>
            </w:r>
          </w:p>
        </w:tc>
        <w:tc>
          <w:tcPr>
            <w:tcW w:type="dxa" w:w="1728"/>
          </w:tcPr>
          <w:p>
            <w:pPr>
              <w:spacing w:before="20" w:after="20"/>
              <w:jc w:val="left"/>
            </w:pPr>
            <w:r/>
            <w:r>
              <w:rPr>
                <w:rFonts w:ascii="Times New Roman" w:hAnsi="Times New Roman"/>
                <w:b w:val="0"/>
                <w:sz w:val="17"/>
              </w:rPr>
              <w:t>Mild</w:t>
            </w:r>
          </w:p>
        </w:tc>
        <w:tc>
          <w:tcPr>
            <w:tcW w:type="dxa" w:w="1728"/>
          </w:tcPr>
          <w:p>
            <w:pPr>
              <w:spacing w:before="20" w:after="20"/>
              <w:jc w:val="center"/>
            </w:pPr>
            <w:r/>
            <w:r>
              <w:rPr>
                <w:rFonts w:ascii="Times New Roman" w:hAnsi="Times New Roman"/>
                <w:b w:val="0"/>
                <w:sz w:val="17"/>
              </w:rPr>
              <w:t>0.863</w:t>
            </w:r>
          </w:p>
        </w:tc>
        <w:tc>
          <w:tcPr>
            <w:tcW w:type="dxa" w:w="1728"/>
          </w:tcPr>
          <w:p>
            <w:pPr>
              <w:spacing w:before="20" w:after="20"/>
              <w:jc w:val="center"/>
            </w:pPr>
            <w:r/>
            <w:r>
              <w:rPr>
                <w:rFonts w:ascii="Times New Roman" w:hAnsi="Times New Roman"/>
                <w:b w:val="0"/>
                <w:sz w:val="17"/>
              </w:rPr>
              <w:t>0.835–0.893</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Severe</w:t>
            </w:r>
          </w:p>
        </w:tc>
        <w:tc>
          <w:tcPr>
            <w:tcW w:type="dxa" w:w="1728"/>
          </w:tcPr>
          <w:p>
            <w:pPr>
              <w:spacing w:before="20" w:after="20"/>
              <w:jc w:val="center"/>
            </w:pPr>
            <w:r/>
            <w:r>
              <w:rPr>
                <w:rFonts w:ascii="Times New Roman" w:hAnsi="Times New Roman"/>
                <w:b w:val="0"/>
                <w:sz w:val="17"/>
              </w:rPr>
              <w:t>1.062</w:t>
            </w:r>
          </w:p>
        </w:tc>
        <w:tc>
          <w:tcPr>
            <w:tcW w:type="dxa" w:w="1728"/>
          </w:tcPr>
          <w:p>
            <w:pPr>
              <w:spacing w:before="20" w:after="20"/>
              <w:jc w:val="center"/>
            </w:pPr>
            <w:r/>
            <w:r>
              <w:rPr>
                <w:rFonts w:ascii="Times New Roman" w:hAnsi="Times New Roman"/>
                <w:b w:val="0"/>
                <w:sz w:val="17"/>
              </w:rPr>
              <w:t>1.015–1.111</w:t>
            </w:r>
          </w:p>
        </w:tc>
        <w:tc>
          <w:tcPr>
            <w:tcW w:type="dxa" w:w="1728"/>
          </w:tcPr>
          <w:p>
            <w:pPr>
              <w:spacing w:before="20" w:after="20"/>
              <w:jc w:val="center"/>
            </w:pPr>
            <w:r/>
            <w:r>
              <w:rPr>
                <w:rFonts w:ascii="Times New Roman" w:hAnsi="Times New Roman"/>
                <w:b w:val="0"/>
                <w:sz w:val="17"/>
              </w:rPr>
              <w:t>0.0096</w:t>
            </w:r>
          </w:p>
        </w:tc>
      </w:tr>
      <w:tr>
        <w:tc>
          <w:tcPr>
            <w:tcW w:type="dxa" w:w="1728"/>
          </w:tcPr>
          <w:p>
            <w:pPr>
              <w:spacing w:before="20" w:after="20"/>
              <w:jc w:val="left"/>
            </w:pPr>
            <w:r/>
            <w:r>
              <w:rPr>
                <w:rFonts w:ascii="Times New Roman" w:hAnsi="Times New Roman"/>
                <w:b w:val="0"/>
                <w:sz w:val="17"/>
              </w:rPr>
              <w:t>Surgery (ref: no)</w:t>
            </w:r>
          </w:p>
        </w:tc>
        <w:tc>
          <w:tcPr>
            <w:tcW w:type="dxa" w:w="1728"/>
          </w:tcPr>
          <w:p>
            <w:pPr>
              <w:spacing w:before="20" w:after="20"/>
              <w:jc w:val="left"/>
            </w:pPr>
            <w:r/>
            <w:r>
              <w:rPr>
                <w:rFonts w:ascii="Times New Roman" w:hAnsi="Times New Roman"/>
                <w:b w:val="0"/>
                <w:sz w:val="17"/>
              </w:rPr>
              <w:t>Yes</w:t>
            </w:r>
          </w:p>
        </w:tc>
        <w:tc>
          <w:tcPr>
            <w:tcW w:type="dxa" w:w="1728"/>
          </w:tcPr>
          <w:p>
            <w:pPr>
              <w:spacing w:before="20" w:after="20"/>
              <w:jc w:val="center"/>
            </w:pPr>
            <w:r/>
            <w:r>
              <w:rPr>
                <w:rFonts w:ascii="Times New Roman" w:hAnsi="Times New Roman"/>
                <w:b w:val="0"/>
                <w:sz w:val="17"/>
              </w:rPr>
              <w:t>0.054</w:t>
            </w:r>
          </w:p>
        </w:tc>
        <w:tc>
          <w:tcPr>
            <w:tcW w:type="dxa" w:w="1728"/>
          </w:tcPr>
          <w:p>
            <w:pPr>
              <w:spacing w:before="20" w:after="20"/>
              <w:jc w:val="center"/>
            </w:pPr>
            <w:r/>
            <w:r>
              <w:rPr>
                <w:rFonts w:ascii="Times New Roman" w:hAnsi="Times New Roman"/>
                <w:b w:val="0"/>
                <w:sz w:val="17"/>
              </w:rPr>
              <w:t>0.053–0.055</w:t>
            </w:r>
          </w:p>
        </w:tc>
        <w:tc>
          <w:tcPr>
            <w:tcW w:type="dxa" w:w="1728"/>
          </w:tcPr>
          <w:p>
            <w:pPr>
              <w:spacing w:before="20" w:after="20"/>
              <w:jc w:val="center"/>
            </w:pPr>
            <w:r/>
            <w:r>
              <w:rPr>
                <w:rFonts w:ascii="Times New Roman" w:hAnsi="Times New Roman"/>
                <w:b w:val="0"/>
                <w:sz w:val="17"/>
              </w:rPr>
              <w:t>&lt;.0001</w:t>
            </w:r>
          </w:p>
        </w:tc>
      </w:tr>
      <w:tr>
        <w:tc>
          <w:tcPr>
            <w:tcW w:type="dxa" w:w="1728"/>
            <w:vMerge w:val="restart"/>
          </w:tcPr>
          <w:p>
            <w:pPr>
              <w:spacing w:before="20" w:after="20"/>
              <w:jc w:val="left"/>
            </w:pPr>
            <w:r/>
            <w:r>
              <w:rPr>
                <w:rFonts w:ascii="Times New Roman" w:hAnsi="Times New Roman"/>
                <w:b w:val="0"/>
                <w:sz w:val="17"/>
              </w:rPr>
              <w:t>CCI (ref: 0)</w:t>
            </w:r>
          </w:p>
        </w:tc>
        <w:tc>
          <w:tcPr>
            <w:tcW w:type="dxa" w:w="1728"/>
          </w:tcPr>
          <w:p>
            <w:pPr>
              <w:spacing w:before="20" w:after="20"/>
              <w:jc w:val="left"/>
            </w:pPr>
            <w:r/>
            <w:r>
              <w:rPr>
                <w:rFonts w:ascii="Times New Roman" w:hAnsi="Times New Roman"/>
                <w:b w:val="0"/>
                <w:sz w:val="17"/>
              </w:rPr>
              <w:t>1</w:t>
            </w:r>
          </w:p>
        </w:tc>
        <w:tc>
          <w:tcPr>
            <w:tcW w:type="dxa" w:w="1728"/>
          </w:tcPr>
          <w:p>
            <w:pPr>
              <w:spacing w:before="20" w:after="20"/>
              <w:jc w:val="center"/>
            </w:pPr>
            <w:r/>
            <w:r>
              <w:rPr>
                <w:rFonts w:ascii="Times New Roman" w:hAnsi="Times New Roman"/>
                <w:b w:val="0"/>
                <w:sz w:val="17"/>
              </w:rPr>
              <w:t>0.666</w:t>
            </w:r>
          </w:p>
        </w:tc>
        <w:tc>
          <w:tcPr>
            <w:tcW w:type="dxa" w:w="1728"/>
          </w:tcPr>
          <w:p>
            <w:pPr>
              <w:spacing w:before="20" w:after="20"/>
              <w:jc w:val="center"/>
            </w:pPr>
            <w:r/>
            <w:r>
              <w:rPr>
                <w:rFonts w:ascii="Times New Roman" w:hAnsi="Times New Roman"/>
                <w:b w:val="0"/>
                <w:sz w:val="17"/>
              </w:rPr>
              <w:t>0.649–0.684</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2</w:t>
            </w:r>
          </w:p>
        </w:tc>
        <w:tc>
          <w:tcPr>
            <w:tcW w:type="dxa" w:w="1728"/>
          </w:tcPr>
          <w:p>
            <w:pPr>
              <w:spacing w:before="20" w:after="20"/>
              <w:jc w:val="center"/>
            </w:pPr>
            <w:r/>
            <w:r>
              <w:rPr>
                <w:rFonts w:ascii="Times New Roman" w:hAnsi="Times New Roman"/>
                <w:b w:val="0"/>
                <w:sz w:val="17"/>
              </w:rPr>
              <w:t>0.522</w:t>
            </w:r>
          </w:p>
        </w:tc>
        <w:tc>
          <w:tcPr>
            <w:tcW w:type="dxa" w:w="1728"/>
          </w:tcPr>
          <w:p>
            <w:pPr>
              <w:spacing w:before="20" w:after="20"/>
              <w:jc w:val="center"/>
            </w:pPr>
            <w:r/>
            <w:r>
              <w:rPr>
                <w:rFonts w:ascii="Times New Roman" w:hAnsi="Times New Roman"/>
                <w:b w:val="0"/>
                <w:sz w:val="17"/>
              </w:rPr>
              <w:t>0.508–0.537</w:t>
            </w:r>
          </w:p>
        </w:tc>
        <w:tc>
          <w:tcPr>
            <w:tcW w:type="dxa" w:w="1728"/>
          </w:tcPr>
          <w:p>
            <w:pPr>
              <w:spacing w:before="20" w:after="20"/>
              <w:jc w:val="center"/>
            </w:pPr>
            <w:r/>
            <w:r>
              <w:rPr>
                <w:rFonts w:ascii="Times New Roman" w:hAnsi="Times New Roman"/>
                <w:b w:val="0"/>
                <w:sz w:val="17"/>
              </w:rPr>
              <w:t>&lt;.0001</w:t>
            </w:r>
          </w:p>
        </w:tc>
      </w:tr>
      <w:tr>
        <w:tc>
          <w:tcPr>
            <w:tcW w:type="dxa" w:w="1728"/>
            <w:vMerge/>
          </w:tcPr>
          <w:p/>
        </w:tc>
        <w:tc>
          <w:tcPr>
            <w:tcW w:type="dxa" w:w="1728"/>
          </w:tcPr>
          <w:p>
            <w:pPr>
              <w:spacing w:before="20" w:after="20"/>
              <w:jc w:val="left"/>
            </w:pPr>
            <w:r/>
            <w:r>
              <w:rPr>
                <w:rFonts w:ascii="Times New Roman" w:hAnsi="Times New Roman"/>
                <w:b w:val="0"/>
                <w:sz w:val="17"/>
              </w:rPr>
              <w:t>3+</w:t>
            </w:r>
          </w:p>
        </w:tc>
        <w:tc>
          <w:tcPr>
            <w:tcW w:type="dxa" w:w="1728"/>
          </w:tcPr>
          <w:p>
            <w:pPr>
              <w:spacing w:before="20" w:after="20"/>
              <w:jc w:val="center"/>
            </w:pPr>
            <w:r/>
            <w:r>
              <w:rPr>
                <w:rFonts w:ascii="Times New Roman" w:hAnsi="Times New Roman"/>
                <w:b w:val="0"/>
                <w:sz w:val="17"/>
              </w:rPr>
              <w:t>0.392</w:t>
            </w:r>
          </w:p>
        </w:tc>
        <w:tc>
          <w:tcPr>
            <w:tcW w:type="dxa" w:w="1728"/>
          </w:tcPr>
          <w:p>
            <w:pPr>
              <w:spacing w:before="20" w:after="20"/>
              <w:jc w:val="center"/>
            </w:pPr>
            <w:r/>
            <w:r>
              <w:rPr>
                <w:rFonts w:ascii="Times New Roman" w:hAnsi="Times New Roman"/>
                <w:b w:val="0"/>
                <w:sz w:val="17"/>
              </w:rPr>
              <w:t>0.382–0.402</w:t>
            </w:r>
          </w:p>
        </w:tc>
        <w:tc>
          <w:tcPr>
            <w:tcW w:type="dxa" w:w="1728"/>
          </w:tcPr>
          <w:p>
            <w:pPr>
              <w:spacing w:before="20" w:after="20"/>
              <w:jc w:val="center"/>
            </w:pPr>
            <w:r/>
            <w:r>
              <w:rPr>
                <w:rFonts w:ascii="Times New Roman" w:hAnsi="Times New Roman"/>
                <w:b w:val="0"/>
                <w:sz w:val="17"/>
              </w:rPr>
              <w:t>&lt;.0001</w:t>
            </w:r>
          </w:p>
        </w:tc>
      </w:tr>
      <w:tr>
        <w:tc>
          <w:tcPr>
            <w:tcW w:type="dxa" w:w="1728"/>
          </w:tcPr>
          <w:p>
            <w:pPr>
              <w:spacing w:before="20" w:after="20"/>
              <w:jc w:val="left"/>
            </w:pPr>
            <w:r/>
            <w:r>
              <w:rPr>
                <w:rFonts w:ascii="Times New Roman" w:hAnsi="Times New Roman"/>
                <w:b w:val="0"/>
                <w:sz w:val="17"/>
              </w:rPr>
              <w:t>Year</w:t>
            </w:r>
          </w:p>
        </w:tc>
        <w:tc>
          <w:tcPr>
            <w:tcW w:type="dxa" w:w="1728"/>
          </w:tcPr>
          <w:p>
            <w:pPr>
              <w:spacing w:before="20" w:after="20"/>
              <w:jc w:val="left"/>
            </w:pPr>
            <w:r/>
            <w:r>
              <w:rPr>
                <w:rFonts w:ascii="Times New Roman" w:hAnsi="Times New Roman"/>
                <w:b w:val="0"/>
                <w:sz w:val="17"/>
              </w:rPr>
              <w:t>Continuous</w:t>
            </w:r>
          </w:p>
        </w:tc>
        <w:tc>
          <w:tcPr>
            <w:tcW w:type="dxa" w:w="1728"/>
          </w:tcPr>
          <w:p>
            <w:pPr>
              <w:spacing w:before="20" w:after="20"/>
              <w:jc w:val="center"/>
            </w:pPr>
            <w:r/>
            <w:r>
              <w:rPr>
                <w:rFonts w:ascii="Times New Roman" w:hAnsi="Times New Roman"/>
                <w:b w:val="0"/>
                <w:sz w:val="17"/>
              </w:rPr>
              <w:t>0.822</w:t>
            </w:r>
          </w:p>
        </w:tc>
        <w:tc>
          <w:tcPr>
            <w:tcW w:type="dxa" w:w="1728"/>
          </w:tcPr>
          <w:p>
            <w:pPr>
              <w:spacing w:before="20" w:after="20"/>
              <w:jc w:val="center"/>
            </w:pPr>
            <w:r/>
            <w:r>
              <w:rPr>
                <w:rFonts w:ascii="Times New Roman" w:hAnsi="Times New Roman"/>
                <w:b w:val="0"/>
                <w:sz w:val="17"/>
              </w:rPr>
              <w:t>0.800–0.845</w:t>
            </w:r>
          </w:p>
        </w:tc>
        <w:tc>
          <w:tcPr>
            <w:tcW w:type="dxa" w:w="1728"/>
          </w:tcPr>
          <w:p>
            <w:pPr>
              <w:spacing w:before="20" w:after="20"/>
              <w:jc w:val="center"/>
            </w:pPr>
            <w:r/>
            <w:r>
              <w:rPr>
                <w:rFonts w:ascii="Times New Roman" w:hAnsi="Times New Roman"/>
                <w:b w:val="0"/>
                <w:sz w:val="17"/>
              </w:rPr>
              <w:t>&lt;.0001</w:t>
            </w:r>
          </w:p>
        </w:tc>
      </w:tr>
      <w:tr>
        <w:tc>
          <w:tcPr>
            <w:tcW w:type="dxa" w:w="1728"/>
          </w:tcPr>
          <w:p>
            <w:pPr>
              <w:spacing w:before="20" w:after="20"/>
              <w:jc w:val="left"/>
            </w:pPr>
            <w:r/>
            <w:r>
              <w:rPr>
                <w:rFonts w:ascii="Times New Roman" w:hAnsi="Times New Roman"/>
                <w:b w:val="0"/>
                <w:sz w:val="17"/>
              </w:rPr>
              <w:t>Nurse density</w:t>
            </w:r>
          </w:p>
        </w:tc>
        <w:tc>
          <w:tcPr>
            <w:tcW w:type="dxa" w:w="1728"/>
          </w:tcPr>
          <w:p>
            <w:pPr>
              <w:spacing w:before="20" w:after="20"/>
              <w:jc w:val="left"/>
            </w:pPr>
            <w:r/>
            <w:r>
              <w:rPr>
                <w:rFonts w:ascii="Times New Roman" w:hAnsi="Times New Roman"/>
                <w:b w:val="0"/>
                <w:sz w:val="17"/>
              </w:rPr>
              <w:t>per 1,000 pop.</w:t>
            </w:r>
          </w:p>
        </w:tc>
        <w:tc>
          <w:tcPr>
            <w:tcW w:type="dxa" w:w="1728"/>
          </w:tcPr>
          <w:p>
            <w:pPr>
              <w:spacing w:before="20" w:after="20"/>
              <w:jc w:val="center"/>
            </w:pPr>
            <w:r/>
            <w:r>
              <w:rPr>
                <w:rFonts w:ascii="Times New Roman" w:hAnsi="Times New Roman"/>
                <w:b w:val="0"/>
                <w:sz w:val="17"/>
              </w:rPr>
              <w:t>1.260</w:t>
            </w:r>
          </w:p>
        </w:tc>
        <w:tc>
          <w:tcPr>
            <w:tcW w:type="dxa" w:w="1728"/>
          </w:tcPr>
          <w:p>
            <w:pPr>
              <w:spacing w:before="20" w:after="20"/>
              <w:jc w:val="center"/>
            </w:pPr>
            <w:r/>
            <w:r>
              <w:rPr>
                <w:rFonts w:ascii="Times New Roman" w:hAnsi="Times New Roman"/>
                <w:b w:val="0"/>
                <w:sz w:val="17"/>
              </w:rPr>
              <w:t>1.129–1.407</w:t>
            </w:r>
          </w:p>
        </w:tc>
        <w:tc>
          <w:tcPr>
            <w:tcW w:type="dxa" w:w="1728"/>
          </w:tcPr>
          <w:p>
            <w:pPr>
              <w:spacing w:before="20" w:after="20"/>
              <w:jc w:val="center"/>
            </w:pPr>
            <w:r/>
            <w:r>
              <w:rPr>
                <w:rFonts w:ascii="Times New Roman" w:hAnsi="Times New Roman"/>
                <w:b w:val="0"/>
                <w:sz w:val="17"/>
              </w:rPr>
              <w:t>&lt;.0001</w:t>
            </w:r>
          </w:p>
        </w:tc>
      </w:tr>
      <w:tr>
        <w:tc>
          <w:tcPr>
            <w:tcW w:type="dxa" w:w="1728"/>
          </w:tcPr>
          <w:p>
            <w:pPr>
              <w:spacing w:before="20" w:after="20"/>
              <w:jc w:val="left"/>
            </w:pPr>
            <w:r/>
            <w:r>
              <w:rPr>
                <w:rFonts w:ascii="Times New Roman" w:hAnsi="Times New Roman"/>
                <w:b w:val="0"/>
                <w:sz w:val="17"/>
              </w:rPr>
              <w:t>Nurse-aide density</w:t>
            </w:r>
          </w:p>
        </w:tc>
        <w:tc>
          <w:tcPr>
            <w:tcW w:type="dxa" w:w="1728"/>
          </w:tcPr>
          <w:p>
            <w:pPr>
              <w:spacing w:before="20" w:after="20"/>
              <w:jc w:val="left"/>
            </w:pPr>
            <w:r/>
            <w:r>
              <w:rPr>
                <w:rFonts w:ascii="Times New Roman" w:hAnsi="Times New Roman"/>
                <w:b w:val="0"/>
                <w:sz w:val="17"/>
              </w:rPr>
              <w:t>per 1,000 pop.</w:t>
            </w:r>
          </w:p>
        </w:tc>
        <w:tc>
          <w:tcPr>
            <w:tcW w:type="dxa" w:w="1728"/>
          </w:tcPr>
          <w:p>
            <w:pPr>
              <w:spacing w:before="20" w:after="20"/>
              <w:jc w:val="center"/>
            </w:pPr>
            <w:r/>
            <w:r>
              <w:rPr>
                <w:rFonts w:ascii="Times New Roman" w:hAnsi="Times New Roman"/>
                <w:b w:val="0"/>
                <w:sz w:val="17"/>
              </w:rPr>
              <w:t>21.650</w:t>
            </w:r>
          </w:p>
        </w:tc>
        <w:tc>
          <w:tcPr>
            <w:tcW w:type="dxa" w:w="1728"/>
          </w:tcPr>
          <w:p>
            <w:pPr>
              <w:spacing w:before="20" w:after="20"/>
              <w:jc w:val="center"/>
            </w:pPr>
            <w:r/>
            <w:r>
              <w:rPr>
                <w:rFonts w:ascii="Times New Roman" w:hAnsi="Times New Roman"/>
                <w:b w:val="0"/>
                <w:sz w:val="17"/>
              </w:rPr>
              <w:t>10.950–42.807</w:t>
            </w:r>
          </w:p>
        </w:tc>
        <w:tc>
          <w:tcPr>
            <w:tcW w:type="dxa" w:w="1728"/>
          </w:tcPr>
          <w:p>
            <w:pPr>
              <w:spacing w:before="20" w:after="20"/>
              <w:jc w:val="center"/>
            </w:pPr>
            <w:r/>
            <w:r>
              <w:rPr>
                <w:rFonts w:ascii="Times New Roman" w:hAnsi="Times New Roman"/>
                <w:b w:val="0"/>
                <w:sz w:val="17"/>
              </w:rPr>
              <w:t>&lt;.0001</w:t>
            </w:r>
          </w:p>
        </w:tc>
      </w:tr>
      <w:tr>
        <w:tc>
          <w:tcPr>
            <w:tcW w:type="dxa" w:w="1728"/>
          </w:tcPr>
          <w:p>
            <w:pPr>
              <w:spacing w:before="20" w:after="20"/>
              <w:jc w:val="left"/>
            </w:pPr>
            <w:r/>
            <w:r>
              <w:rPr>
                <w:rFonts w:ascii="Times New Roman" w:hAnsi="Times New Roman"/>
                <w:b w:val="0"/>
                <w:sz w:val="17"/>
              </w:rPr>
              <w:t>Bed density</w:t>
            </w:r>
          </w:p>
        </w:tc>
        <w:tc>
          <w:tcPr>
            <w:tcW w:type="dxa" w:w="1728"/>
          </w:tcPr>
          <w:p>
            <w:pPr>
              <w:spacing w:before="20" w:after="20"/>
              <w:jc w:val="left"/>
            </w:pPr>
            <w:r/>
            <w:r>
              <w:rPr>
                <w:rFonts w:ascii="Times New Roman" w:hAnsi="Times New Roman"/>
                <w:b w:val="0"/>
                <w:sz w:val="17"/>
              </w:rPr>
              <w:t>per 1,000 pop.</w:t>
            </w:r>
          </w:p>
        </w:tc>
        <w:tc>
          <w:tcPr>
            <w:tcW w:type="dxa" w:w="1728"/>
          </w:tcPr>
          <w:p>
            <w:pPr>
              <w:spacing w:before="20" w:after="20"/>
              <w:jc w:val="center"/>
            </w:pPr>
            <w:r/>
            <w:r>
              <w:rPr>
                <w:rFonts w:ascii="Times New Roman" w:hAnsi="Times New Roman"/>
                <w:b w:val="0"/>
                <w:sz w:val="17"/>
              </w:rPr>
              <w:t>0.335</w:t>
            </w:r>
          </w:p>
        </w:tc>
        <w:tc>
          <w:tcPr>
            <w:tcW w:type="dxa" w:w="1728"/>
          </w:tcPr>
          <w:p>
            <w:pPr>
              <w:spacing w:before="20" w:after="20"/>
              <w:jc w:val="center"/>
            </w:pPr>
            <w:r/>
            <w:r>
              <w:rPr>
                <w:rFonts w:ascii="Times New Roman" w:hAnsi="Times New Roman"/>
                <w:b w:val="0"/>
                <w:sz w:val="17"/>
              </w:rPr>
              <w:t>0.294–0.381</w:t>
            </w:r>
          </w:p>
        </w:tc>
        <w:tc>
          <w:tcPr>
            <w:tcW w:type="dxa" w:w="1728"/>
          </w:tcPr>
          <w:p>
            <w:pPr>
              <w:spacing w:before="20" w:after="20"/>
              <w:jc w:val="center"/>
            </w:pPr>
            <w:r/>
            <w:r>
              <w:rPr>
                <w:rFonts w:ascii="Times New Roman" w:hAnsi="Times New Roman"/>
                <w:b w:val="0"/>
                <w:sz w:val="17"/>
              </w:rPr>
              <w:t>&lt;.0001</w:t>
            </w:r>
          </w:p>
        </w:tc>
      </w:tr>
    </w:tbl>
    <w:p>
      <w:pPr>
        <w:spacing w:before="0" w:after="160"/>
      </w:pPr>
      <w:r>
        <w:rPr>
          <w:rFonts w:ascii="Times New Roman" w:hAnsi="Times New Roman"/>
          <w:b w:val="0"/>
          <w:i/>
          <w:color w:val="595959"/>
          <w:sz w:val="16"/>
        </w:rPr>
        <w:t xml:space="preserve">ORs refer to the odds of belonging to the structural-zero (non-use) latent class: OR &lt; 1 indicates lower, and OR &gt; 1 higher, odds of structural-zero membership. Observed zeros include both structural zeros and zeros from the count process, so these ORs do not refer to the observed probability of non-use. Confidence intervals are model-based estimates that do not adjust for repeated observations within individuals.</w:t>
      </w:r>
    </w:p>
    <w:p>
      <w:pPr>
        <w:spacing w:before="200" w:after="60"/>
      </w:pPr>
      <w:r>
        <w:rPr>
          <w:rFonts w:ascii="Times New Roman" w:hAnsi="Times New Roman"/>
          <w:b/>
          <w:i w:val="0"/>
          <w:sz w:val="20"/>
        </w:rPr>
        <w:t xml:space="preserve">Table A.5. Evaluation of candidate prediction models against 2020–2023</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trPr>
        <w:tc>
          <w:tcPr>
            <w:tcW w:type="dxa" w:w="1440"/>
            <w:shd w:val="clear" w:color="auto" w:fill="D9E2F3"/>
          </w:tcPr>
          <w:p>
            <w:pPr>
              <w:spacing w:before="20" w:after="20"/>
              <w:jc w:val="center"/>
            </w:pPr>
            <w:r/>
            <w:r>
              <w:rPr>
                <w:rFonts w:ascii="Times New Roman" w:hAnsi="Times New Roman"/>
                <w:b/>
                <w:sz w:val="17"/>
              </w:rPr>
              <w:t>Model</w:t>
            </w:r>
          </w:p>
        </w:tc>
        <w:tc>
          <w:tcPr>
            <w:tcW w:type="dxa" w:w="1440"/>
            <w:shd w:val="clear" w:color="auto" w:fill="D9E2F3"/>
          </w:tcPr>
          <w:p>
            <w:pPr>
              <w:spacing w:before="20" w:after="20"/>
              <w:jc w:val="center"/>
            </w:pPr>
            <w:r/>
            <w:r>
              <w:rPr>
                <w:rFonts w:ascii="Times New Roman" w:hAnsi="Times New Roman"/>
                <w:b/>
                <w:sz w:val="17"/>
              </w:rPr>
              <w:t>Supply-factor placement</w:t>
            </w:r>
          </w:p>
        </w:tc>
        <w:tc>
          <w:tcPr>
            <w:tcW w:type="dxa" w:w="1440"/>
            <w:shd w:val="clear" w:color="auto" w:fill="D9E2F3"/>
          </w:tcPr>
          <w:p>
            <w:pPr>
              <w:spacing w:before="20" w:after="20"/>
              <w:jc w:val="center"/>
            </w:pPr>
            <w:r/>
            <w:r>
              <w:rPr>
                <w:rFonts w:ascii="Times New Roman" w:hAnsi="Times New Roman"/>
                <w:b/>
                <w:sz w:val="17"/>
              </w:rPr>
              <w:t>MAPE (%)</w:t>
            </w:r>
          </w:p>
        </w:tc>
        <w:tc>
          <w:tcPr>
            <w:tcW w:type="dxa" w:w="1440"/>
            <w:shd w:val="clear" w:color="auto" w:fill="D9E2F3"/>
          </w:tcPr>
          <w:p>
            <w:pPr>
              <w:spacing w:before="20" w:after="20"/>
              <w:jc w:val="center"/>
            </w:pPr>
            <w:r/>
            <w:r>
              <w:rPr>
                <w:rFonts w:ascii="Times New Roman" w:hAnsi="Times New Roman"/>
                <w:b/>
                <w:sz w:val="17"/>
              </w:rPr>
              <w:t>2023 absolute error (days)</w:t>
            </w:r>
          </w:p>
        </w:tc>
        <w:tc>
          <w:tcPr>
            <w:tcW w:type="dxa" w:w="1440"/>
            <w:shd w:val="clear" w:color="auto" w:fill="D9E2F3"/>
          </w:tcPr>
          <w:p>
            <w:pPr>
              <w:spacing w:before="20" w:after="20"/>
              <w:jc w:val="center"/>
            </w:pPr>
            <w:r/>
            <w:r>
              <w:rPr>
                <w:rFonts w:ascii="Times New Roman" w:hAnsi="Times New Roman"/>
                <w:b/>
                <w:sz w:val="17"/>
              </w:rPr>
              <w:t>Signed error (days)</w:t>
            </w:r>
          </w:p>
        </w:tc>
        <w:tc>
          <w:tcPr>
            <w:tcW w:type="dxa" w:w="1440"/>
            <w:shd w:val="clear" w:color="auto" w:fill="D9E2F3"/>
          </w:tcPr>
          <w:p>
            <w:pPr>
              <w:spacing w:before="20" w:after="20"/>
              <w:jc w:val="center"/>
            </w:pPr>
            <w:r/>
            <w:r>
              <w:rPr>
                <w:rFonts w:ascii="Times New Roman" w:hAnsi="Times New Roman"/>
                <w:b/>
                <w:sz w:val="17"/>
              </w:rPr>
              <w:t>Assessment</w:t>
            </w:r>
          </w:p>
        </w:tc>
      </w:tr>
      <w:tr>
        <w:tc>
          <w:tcPr>
            <w:tcW w:type="dxa" w:w="1440"/>
          </w:tcPr>
          <w:p>
            <w:pPr>
              <w:spacing w:before="20" w:after="20"/>
              <w:jc w:val="center"/>
            </w:pPr>
            <w:r/>
            <w:r>
              <w:rPr>
                <w:rFonts w:ascii="Times New Roman" w:hAnsi="Times New Roman"/>
                <w:b w:val="0"/>
                <w:sz w:val="17"/>
              </w:rPr>
              <w:t>Model 1</w:t>
            </w:r>
          </w:p>
        </w:tc>
        <w:tc>
          <w:tcPr>
            <w:tcW w:type="dxa" w:w="1440"/>
          </w:tcPr>
          <w:p>
            <w:pPr>
              <w:spacing w:before="20" w:after="20"/>
              <w:jc w:val="left"/>
            </w:pPr>
            <w:r/>
            <w:r>
              <w:rPr>
                <w:rFonts w:ascii="Times New Roman" w:hAnsi="Times New Roman"/>
                <w:b w:val="0"/>
                <w:sz w:val="17"/>
              </w:rPr>
              <w:t>Supply factors excluded</w:t>
            </w:r>
          </w:p>
        </w:tc>
        <w:tc>
          <w:tcPr>
            <w:tcW w:type="dxa" w:w="1440"/>
          </w:tcPr>
          <w:p>
            <w:pPr>
              <w:spacing w:before="20" w:after="20"/>
              <w:jc w:val="center"/>
            </w:pPr>
            <w:r/>
            <w:r>
              <w:rPr>
                <w:rFonts w:ascii="Times New Roman" w:hAnsi="Times New Roman"/>
                <w:b w:val="0"/>
                <w:sz w:val="17"/>
              </w:rPr>
              <w:t>60.3</w:t>
            </w:r>
          </w:p>
        </w:tc>
        <w:tc>
          <w:tcPr>
            <w:tcW w:type="dxa" w:w="1440"/>
          </w:tcPr>
          <w:p>
            <w:pPr>
              <w:spacing w:before="20" w:after="20"/>
              <w:jc w:val="right"/>
            </w:pPr>
            <w:r/>
            <w:r>
              <w:rPr>
                <w:rFonts w:ascii="Times New Roman" w:hAnsi="Times New Roman"/>
                <w:b w:val="0"/>
                <w:sz w:val="17"/>
              </w:rPr>
              <w:t>23,973,411</w:t>
            </w:r>
          </w:p>
        </w:tc>
        <w:tc>
          <w:tcPr>
            <w:tcW w:type="dxa" w:w="1440"/>
          </w:tcPr>
          <w:p>
            <w:pPr>
              <w:spacing w:before="20" w:after="20"/>
              <w:jc w:val="right"/>
            </w:pPr>
            <w:r/>
            <w:r>
              <w:rPr>
                <w:rFonts w:ascii="Times New Roman" w:hAnsi="Times New Roman"/>
                <w:b w:val="0"/>
                <w:sz w:val="17"/>
              </w:rPr>
              <w:t>+23,973,411</w:t>
            </w:r>
          </w:p>
        </w:tc>
        <w:tc>
          <w:tcPr>
            <w:tcW w:type="dxa" w:w="1440"/>
          </w:tcPr>
          <w:p>
            <w:pPr>
              <w:spacing w:before="20" w:after="20"/>
              <w:jc w:val="center"/>
            </w:pPr>
            <w:r/>
            <w:r>
              <w:rPr>
                <w:rFonts w:ascii="Times New Roman" w:hAnsi="Times New Roman"/>
                <w:b w:val="0"/>
                <w:sz w:val="17"/>
              </w:rPr>
              <w:t>Overprediction</w:t>
            </w:r>
          </w:p>
        </w:tc>
      </w:tr>
      <w:tr>
        <w:tc>
          <w:tcPr>
            <w:tcW w:type="dxa" w:w="1440"/>
          </w:tcPr>
          <w:p>
            <w:pPr>
              <w:spacing w:before="20" w:after="20"/>
              <w:jc w:val="center"/>
            </w:pPr>
            <w:r/>
            <w:r>
              <w:rPr>
                <w:rFonts w:ascii="Times New Roman" w:hAnsi="Times New Roman"/>
                <w:b w:val="0"/>
                <w:sz w:val="17"/>
              </w:rPr>
              <w:t>Model 2</w:t>
            </w:r>
          </w:p>
        </w:tc>
        <w:tc>
          <w:tcPr>
            <w:tcW w:type="dxa" w:w="1440"/>
          </w:tcPr>
          <w:p>
            <w:pPr>
              <w:spacing w:before="20" w:after="20"/>
              <w:jc w:val="left"/>
            </w:pPr>
            <w:r/>
            <w:r>
              <w:rPr>
                <w:rFonts w:ascii="Times New Roman" w:hAnsi="Times New Roman"/>
                <w:b w:val="0"/>
                <w:sz w:val="17"/>
              </w:rPr>
              <w:t>In both components</w:t>
            </w:r>
          </w:p>
        </w:tc>
        <w:tc>
          <w:tcPr>
            <w:tcW w:type="dxa" w:w="1440"/>
          </w:tcPr>
          <w:p>
            <w:pPr>
              <w:spacing w:before="20" w:after="20"/>
              <w:jc w:val="center"/>
            </w:pPr>
            <w:r/>
            <w:r>
              <w:rPr>
                <w:rFonts w:ascii="Times New Roman" w:hAnsi="Times New Roman"/>
                <w:b w:val="0"/>
                <w:sz w:val="17"/>
              </w:rPr>
              <w:t>15.0</w:t>
            </w:r>
          </w:p>
        </w:tc>
        <w:tc>
          <w:tcPr>
            <w:tcW w:type="dxa" w:w="1440"/>
          </w:tcPr>
          <w:p>
            <w:pPr>
              <w:spacing w:before="20" w:after="20"/>
              <w:jc w:val="right"/>
            </w:pPr>
            <w:r/>
            <w:r>
              <w:rPr>
                <w:rFonts w:ascii="Times New Roman" w:hAnsi="Times New Roman"/>
                <w:b w:val="0"/>
                <w:sz w:val="17"/>
              </w:rPr>
              <w:t>740,337</w:t>
            </w:r>
          </w:p>
        </w:tc>
        <w:tc>
          <w:tcPr>
            <w:tcW w:type="dxa" w:w="1440"/>
          </w:tcPr>
          <w:p>
            <w:pPr>
              <w:spacing w:before="20" w:after="20"/>
              <w:jc w:val="right"/>
            </w:pPr>
            <w:r/>
            <w:r>
              <w:rPr>
                <w:rFonts w:ascii="Times New Roman" w:hAnsi="Times New Roman"/>
                <w:b w:val="0"/>
                <w:sz w:val="17"/>
              </w:rPr>
              <w:t>−740,337</w:t>
            </w:r>
          </w:p>
        </w:tc>
        <w:tc>
          <w:tcPr>
            <w:tcW w:type="dxa" w:w="1440"/>
          </w:tcPr>
          <w:p>
            <w:pPr>
              <w:spacing w:before="20" w:after="20"/>
              <w:jc w:val="center"/>
            </w:pPr>
            <w:r/>
            <w:r>
              <w:rPr>
                <w:rFonts w:ascii="Times New Roman" w:hAnsi="Times New Roman"/>
                <w:b w:val="0"/>
                <w:sz w:val="17"/>
              </w:rPr>
              <w:t>Adopted</w:t>
            </w:r>
          </w:p>
        </w:tc>
      </w:tr>
      <w:tr>
        <w:tc>
          <w:tcPr>
            <w:tcW w:type="dxa" w:w="1440"/>
          </w:tcPr>
          <w:p>
            <w:pPr>
              <w:spacing w:before="20" w:after="20"/>
              <w:jc w:val="center"/>
            </w:pPr>
            <w:r/>
            <w:r>
              <w:rPr>
                <w:rFonts w:ascii="Times New Roman" w:hAnsi="Times New Roman"/>
                <w:b w:val="0"/>
                <w:sz w:val="17"/>
              </w:rPr>
              <w:t>Model 3</w:t>
            </w:r>
          </w:p>
        </w:tc>
        <w:tc>
          <w:tcPr>
            <w:tcW w:type="dxa" w:w="1440"/>
          </w:tcPr>
          <w:p>
            <w:pPr>
              <w:spacing w:before="20" w:after="20"/>
              <w:jc w:val="left"/>
            </w:pPr>
            <w:r/>
            <w:r>
              <w:rPr>
                <w:rFonts w:ascii="Times New Roman" w:hAnsi="Times New Roman"/>
                <w:b w:val="0"/>
                <w:sz w:val="17"/>
              </w:rPr>
              <w:t>Logistic component only</w:t>
            </w:r>
          </w:p>
        </w:tc>
        <w:tc>
          <w:tcPr>
            <w:tcW w:type="dxa" w:w="1440"/>
          </w:tcPr>
          <w:p>
            <w:pPr>
              <w:spacing w:before="20" w:after="20"/>
              <w:jc w:val="center"/>
            </w:pPr>
            <w:r/>
            <w:r>
              <w:rPr>
                <w:rFonts w:ascii="Times New Roman" w:hAnsi="Times New Roman"/>
                <w:b w:val="0"/>
                <w:sz w:val="17"/>
              </w:rPr>
              <w:t>23.2</w:t>
            </w:r>
          </w:p>
        </w:tc>
        <w:tc>
          <w:tcPr>
            <w:tcW w:type="dxa" w:w="1440"/>
          </w:tcPr>
          <w:p>
            <w:pPr>
              <w:spacing w:before="20" w:after="20"/>
              <w:jc w:val="right"/>
            </w:pPr>
            <w:r/>
            <w:r>
              <w:rPr>
                <w:rFonts w:ascii="Times New Roman" w:hAnsi="Times New Roman"/>
                <w:b w:val="0"/>
                <w:sz w:val="17"/>
              </w:rPr>
              <w:t>3,231,439</w:t>
            </w:r>
          </w:p>
        </w:tc>
        <w:tc>
          <w:tcPr>
            <w:tcW w:type="dxa" w:w="1440"/>
          </w:tcPr>
          <w:p>
            <w:pPr>
              <w:spacing w:before="20" w:after="20"/>
              <w:jc w:val="right"/>
            </w:pPr>
            <w:r/>
            <w:r>
              <w:rPr>
                <w:rFonts w:ascii="Times New Roman" w:hAnsi="Times New Roman"/>
                <w:b w:val="0"/>
                <w:sz w:val="17"/>
              </w:rPr>
              <w:t>−3,231,439</w:t>
            </w:r>
          </w:p>
        </w:tc>
        <w:tc>
          <w:tcPr>
            <w:tcW w:type="dxa" w:w="1440"/>
          </w:tcPr>
          <w:p>
            <w:pPr>
              <w:spacing w:before="20" w:after="20"/>
              <w:jc w:val="center"/>
            </w:pPr>
            <w:r/>
            <w:r>
              <w:rPr>
                <w:rFonts w:ascii="Times New Roman" w:hAnsi="Times New Roman"/>
                <w:b w:val="0"/>
                <w:sz w:val="17"/>
              </w:rPr>
              <w:t>Underprediction</w:t>
            </w:r>
          </w:p>
        </w:tc>
      </w:tr>
      <w:tr>
        <w:tc>
          <w:tcPr>
            <w:tcW w:type="dxa" w:w="1440"/>
          </w:tcPr>
          <w:p>
            <w:pPr>
              <w:spacing w:before="20" w:after="20"/>
              <w:jc w:val="center"/>
            </w:pPr>
            <w:r/>
            <w:r>
              <w:rPr>
                <w:rFonts w:ascii="Times New Roman" w:hAnsi="Times New Roman"/>
                <w:b w:val="0"/>
                <w:sz w:val="17"/>
              </w:rPr>
              <w:t>Model 4</w:t>
            </w:r>
          </w:p>
        </w:tc>
        <w:tc>
          <w:tcPr>
            <w:tcW w:type="dxa" w:w="1440"/>
          </w:tcPr>
          <w:p>
            <w:pPr>
              <w:spacing w:before="20" w:after="20"/>
              <w:jc w:val="left"/>
            </w:pPr>
            <w:r/>
            <w:r>
              <w:rPr>
                <w:rFonts w:ascii="Times New Roman" w:hAnsi="Times New Roman"/>
                <w:b w:val="0"/>
                <w:sz w:val="17"/>
              </w:rPr>
              <w:t>Count component only</w:t>
            </w:r>
          </w:p>
        </w:tc>
        <w:tc>
          <w:tcPr>
            <w:tcW w:type="dxa" w:w="1440"/>
          </w:tcPr>
          <w:p>
            <w:pPr>
              <w:spacing w:before="20" w:after="20"/>
              <w:jc w:val="center"/>
            </w:pPr>
            <w:r/>
            <w:r>
              <w:rPr>
                <w:rFonts w:ascii="Times New Roman" w:hAnsi="Times New Roman"/>
                <w:b w:val="0"/>
                <w:sz w:val="17"/>
              </w:rPr>
              <w:t>54.5</w:t>
            </w:r>
          </w:p>
        </w:tc>
        <w:tc>
          <w:tcPr>
            <w:tcW w:type="dxa" w:w="1440"/>
          </w:tcPr>
          <w:p>
            <w:pPr>
              <w:spacing w:before="20" w:after="20"/>
              <w:jc w:val="right"/>
            </w:pPr>
            <w:r/>
            <w:r>
              <w:rPr>
                <w:rFonts w:ascii="Times New Roman" w:hAnsi="Times New Roman"/>
                <w:b w:val="0"/>
                <w:sz w:val="17"/>
              </w:rPr>
              <w:t>21,780,545</w:t>
            </w:r>
          </w:p>
        </w:tc>
        <w:tc>
          <w:tcPr>
            <w:tcW w:type="dxa" w:w="1440"/>
          </w:tcPr>
          <w:p>
            <w:pPr>
              <w:spacing w:before="20" w:after="20"/>
              <w:jc w:val="right"/>
            </w:pPr>
            <w:r/>
            <w:r>
              <w:rPr>
                <w:rFonts w:ascii="Times New Roman" w:hAnsi="Times New Roman"/>
                <w:b w:val="0"/>
                <w:sz w:val="17"/>
              </w:rPr>
              <w:t>+21,780,545</w:t>
            </w:r>
          </w:p>
        </w:tc>
        <w:tc>
          <w:tcPr>
            <w:tcW w:type="dxa" w:w="1440"/>
          </w:tcPr>
          <w:p>
            <w:pPr>
              <w:spacing w:before="20" w:after="20"/>
              <w:jc w:val="center"/>
            </w:pPr>
            <w:r/>
            <w:r>
              <w:rPr>
                <w:rFonts w:ascii="Times New Roman" w:hAnsi="Times New Roman"/>
                <w:b w:val="0"/>
                <w:sz w:val="17"/>
              </w:rPr>
              <w:t>Overprediction</w:t>
            </w:r>
          </w:p>
        </w:tc>
      </w:tr>
    </w:tbl>
    <w:p>
      <w:pPr>
        <w:spacing w:before="0" w:after="160"/>
      </w:pPr>
      <w:r>
        <w:rPr>
          <w:rFonts w:ascii="Times New Roman" w:hAnsi="Times New Roman"/>
          <w:b w:val="0"/>
          <w:i/>
          <w:color w:val="595959"/>
          <w:sz w:val="16"/>
        </w:rPr>
        <w:t xml:space="preserve">MAPE, mean absolute percentage error over 2020–2023. Signed error = predicted − observed (2023). The four models differ only in the placement of the supply factors; the oldest age category was split into 60s, 70s, and ≥80 at this stage.</w:t>
      </w:r>
    </w:p>
    <w:p>
      <w:pPr>
        <w:spacing w:before="200" w:after="60"/>
      </w:pPr>
      <w:r>
        <w:rPr>
          <w:rFonts w:ascii="Times New Roman" w:hAnsi="Times New Roman"/>
          <w:b/>
          <w:i w:val="0"/>
          <w:sz w:val="20"/>
        </w:rPr>
        <w:t xml:space="preserve">Table A.6. Annual absolute percentage error of the final prediction model (Model 2), 2020–2023</w:t>
      </w:r>
    </w:p>
    <w:tbl>
      <w:tblPr>
        <w:tblStyle w:val="TableGrid"/>
        <w:tblW w:type="auto" w:w="0"/>
        <w:jc w:val="center"/>
        <w:tblLook w:firstColumn="1" w:firstRow="1" w:lastColumn="0" w:lastRow="0" w:noHBand="0" w:noVBand="1" w:val="04A0"/>
      </w:tblPr>
      <w:tblGrid>
        <w:gridCol w:w="4320"/>
        <w:gridCol w:w="4320"/>
      </w:tblGrid>
      <w:tr>
        <w:trPr>
          <w:tblHeader/>
        </w:trPr>
        <w:tc>
          <w:tcPr>
            <w:tcW w:type="dxa" w:w="4320"/>
            <w:shd w:val="clear" w:color="auto" w:fill="D9E2F3"/>
          </w:tcPr>
          <w:p>
            <w:pPr>
              <w:spacing w:before="20" w:after="20"/>
              <w:jc w:val="center"/>
            </w:pPr>
            <w:r/>
            <w:r>
              <w:rPr>
                <w:rFonts w:ascii="Times New Roman" w:hAnsi="Times New Roman"/>
                <w:b/>
                <w:sz w:val="17"/>
              </w:rPr>
              <w:t>Year</w:t>
            </w:r>
          </w:p>
        </w:tc>
        <w:tc>
          <w:tcPr>
            <w:tcW w:type="dxa" w:w="4320"/>
            <w:shd w:val="clear" w:color="auto" w:fill="D9E2F3"/>
          </w:tcPr>
          <w:p>
            <w:pPr>
              <w:spacing w:before="20" w:after="20"/>
              <w:jc w:val="center"/>
            </w:pPr>
            <w:r/>
            <w:r>
              <w:rPr>
                <w:rFonts w:ascii="Times New Roman" w:hAnsi="Times New Roman"/>
                <w:b/>
                <w:sz w:val="17"/>
              </w:rPr>
              <w:t>Absolute percentage error (%)</w:t>
            </w:r>
          </w:p>
        </w:tc>
      </w:tr>
      <w:tr>
        <w:tc>
          <w:tcPr>
            <w:tcW w:type="dxa" w:w="4320"/>
          </w:tcPr>
          <w:p>
            <w:pPr>
              <w:spacing w:before="20" w:after="20"/>
              <w:jc w:val="center"/>
            </w:pPr>
            <w:r/>
            <w:r>
              <w:rPr>
                <w:rFonts w:ascii="Times New Roman" w:hAnsi="Times New Roman"/>
                <w:b w:val="0"/>
                <w:sz w:val="17"/>
              </w:rPr>
              <w:t>2020</w:t>
            </w:r>
          </w:p>
        </w:tc>
        <w:tc>
          <w:tcPr>
            <w:tcW w:type="dxa" w:w="4320"/>
          </w:tcPr>
          <w:p>
            <w:pPr>
              <w:spacing w:before="20" w:after="20"/>
              <w:jc w:val="center"/>
            </w:pPr>
            <w:r/>
            <w:r>
              <w:rPr>
                <w:rFonts w:ascii="Times New Roman" w:hAnsi="Times New Roman"/>
                <w:b w:val="0"/>
                <w:sz w:val="17"/>
              </w:rPr>
              <w:t>24.7</w:t>
            </w:r>
          </w:p>
        </w:tc>
      </w:tr>
      <w:tr>
        <w:tc>
          <w:tcPr>
            <w:tcW w:type="dxa" w:w="4320"/>
          </w:tcPr>
          <w:p>
            <w:pPr>
              <w:spacing w:before="20" w:after="20"/>
              <w:jc w:val="center"/>
            </w:pPr>
            <w:r/>
            <w:r>
              <w:rPr>
                <w:rFonts w:ascii="Times New Roman" w:hAnsi="Times New Roman"/>
                <w:b w:val="0"/>
                <w:sz w:val="17"/>
              </w:rPr>
              <w:t>2021</w:t>
            </w:r>
          </w:p>
        </w:tc>
        <w:tc>
          <w:tcPr>
            <w:tcW w:type="dxa" w:w="4320"/>
          </w:tcPr>
          <w:p>
            <w:pPr>
              <w:spacing w:before="20" w:after="20"/>
              <w:jc w:val="center"/>
            </w:pPr>
            <w:r/>
            <w:r>
              <w:rPr>
                <w:rFonts w:ascii="Times New Roman" w:hAnsi="Times New Roman"/>
                <w:b w:val="0"/>
                <w:sz w:val="17"/>
              </w:rPr>
              <w:t>22.9</w:t>
            </w:r>
          </w:p>
        </w:tc>
      </w:tr>
      <w:tr>
        <w:tc>
          <w:tcPr>
            <w:tcW w:type="dxa" w:w="4320"/>
          </w:tcPr>
          <w:p>
            <w:pPr>
              <w:spacing w:before="20" w:after="20"/>
              <w:jc w:val="center"/>
            </w:pPr>
            <w:r/>
            <w:r>
              <w:rPr>
                <w:rFonts w:ascii="Times New Roman" w:hAnsi="Times New Roman"/>
                <w:b w:val="0"/>
                <w:sz w:val="17"/>
              </w:rPr>
              <w:t>2022</w:t>
            </w:r>
          </w:p>
        </w:tc>
        <w:tc>
          <w:tcPr>
            <w:tcW w:type="dxa" w:w="4320"/>
          </w:tcPr>
          <w:p>
            <w:pPr>
              <w:spacing w:before="20" w:after="20"/>
              <w:jc w:val="center"/>
            </w:pPr>
            <w:r/>
            <w:r>
              <w:rPr>
                <w:rFonts w:ascii="Times New Roman" w:hAnsi="Times New Roman"/>
                <w:b w:val="0"/>
                <w:sz w:val="17"/>
              </w:rPr>
              <w:t>9.0</w:t>
            </w:r>
          </w:p>
        </w:tc>
      </w:tr>
      <w:tr>
        <w:tc>
          <w:tcPr>
            <w:tcW w:type="dxa" w:w="4320"/>
          </w:tcPr>
          <w:p>
            <w:pPr>
              <w:spacing w:before="20" w:after="20"/>
              <w:jc w:val="center"/>
            </w:pPr>
            <w:r/>
            <w:r>
              <w:rPr>
                <w:rFonts w:ascii="Times New Roman" w:hAnsi="Times New Roman"/>
                <w:b w:val="0"/>
                <w:sz w:val="17"/>
              </w:rPr>
              <w:t>2023</w:t>
            </w:r>
          </w:p>
        </w:tc>
        <w:tc>
          <w:tcPr>
            <w:tcW w:type="dxa" w:w="4320"/>
          </w:tcPr>
          <w:p>
            <w:pPr>
              <w:spacing w:before="20" w:after="20"/>
              <w:jc w:val="center"/>
            </w:pPr>
            <w:r/>
            <w:r>
              <w:rPr>
                <w:rFonts w:ascii="Times New Roman" w:hAnsi="Times New Roman"/>
                <w:b w:val="0"/>
                <w:sz w:val="17"/>
              </w:rPr>
              <w:t>3.5</w:t>
            </w:r>
          </w:p>
        </w:tc>
      </w:tr>
    </w:tbl>
    <w:p>
      <w:pPr>
        <w:spacing w:before="0" w:after="160"/>
      </w:pPr>
      <w:r>
        <w:rPr>
          <w:rFonts w:ascii="Times New Roman" w:hAnsi="Times New Roman"/>
          <w:b w:val="0"/>
          <w:i/>
          <w:color w:val="595959"/>
          <w:sz w:val="16"/>
        </w:rPr>
        <w:t>|Predicted − observed| ÷ observed × 100 by year. The signed error in 2023 was −740,337 days (underprediction). The largest errors were concentrated in 2020–2021.</w:t>
      </w:r>
    </w:p>
    <w:p>
      <w:pPr>
        <w:pageBreakBefore/>
        <w:spacing w:before="200" w:after="60"/>
      </w:pPr>
      <w:r>
        <w:rPr>
          <w:rFonts w:ascii="Times New Roman" w:hAnsi="Times New Roman"/>
          <w:b/>
          <w:i w:val="0"/>
          <w:sz w:val="20"/>
        </w:rPr>
        <w:t xml:space="preserve">Table A.7. Annual public-payer payments, fiscal-burden ratio, and NHI revenue under the three representative scenarios, 2025–2050 (billion KRW)</w:t>
      </w:r>
    </w:p>
    <w:tbl>
      <w:tblPr>
        <w:tblStyle w:val="TableGrid"/>
        <w:tblW w:type="auto" w:w="0"/>
        <w:jc w:val="center"/>
        <w:tblLook w:firstColumn="1" w:firstRow="1" w:lastColumn="0" w:lastRow="0" w:noHBand="0" w:noVBand="1" w:val="04A0"/>
      </w:tblPr>
      <w:tblGrid>
        <w:gridCol w:w="1080"/>
        <w:gridCol w:w="1080"/>
        <w:gridCol w:w="1080"/>
        <w:gridCol w:w="1080"/>
        <w:gridCol w:w="1080"/>
        <w:gridCol w:w="1080"/>
        <w:gridCol w:w="1080"/>
        <w:gridCol w:w="1080"/>
      </w:tblGrid>
      <w:tr>
        <w:trPr>
          <w:cantSplit/>
          <w:tblHeader/>
        </w:trPr>
        <w:tc>
          <w:tcPr>
            <w:tcW w:type="dxa" w:w="1080"/>
            <w:shd w:val="clear" w:color="auto" w:fill="D9E2F3"/>
          </w:tcPr>
          <w:p>
            <w:pPr>
              <w:spacing w:before="20" w:after="20"/>
              <w:jc w:val="center"/>
            </w:pPr>
            <w:r/>
            <w:r>
              <w:rPr>
                <w:rFonts w:ascii="Times New Roman" w:hAnsi="Times New Roman"/>
                <w:b/>
                <w:sz w:val="15"/>
              </w:rPr>
              <w:t>Year</w:t>
            </w:r>
          </w:p>
        </w:tc>
        <w:tc>
          <w:tcPr>
            <w:tcW w:type="dxa" w:w="1080"/>
            <w:shd w:val="clear" w:color="auto" w:fill="D9E2F3"/>
          </w:tcPr>
          <w:p>
            <w:pPr>
              <w:spacing w:before="20" w:after="20"/>
              <w:jc w:val="center"/>
            </w:pPr>
            <w:r/>
            <w:r>
              <w:rPr>
                <w:rFonts w:ascii="Times New Roman" w:hAnsi="Times New Roman"/>
                <w:b/>
                <w:sz w:val="15"/>
              </w:rPr>
              <w:t>Maximum</w:t>
              <w:br/>
              <w:t>payments</w:t>
            </w:r>
          </w:p>
        </w:tc>
        <w:tc>
          <w:tcPr>
            <w:tcW w:type="dxa" w:w="1080"/>
            <w:shd w:val="clear" w:color="auto" w:fill="D9E2F3"/>
          </w:tcPr>
          <w:p>
            <w:pPr>
              <w:spacing w:before="20" w:after="20"/>
              <w:jc w:val="center"/>
            </w:pPr>
            <w:r/>
            <w:r>
              <w:rPr>
                <w:rFonts w:ascii="Times New Roman" w:hAnsi="Times New Roman"/>
                <w:b/>
                <w:sz w:val="15"/>
              </w:rPr>
              <w:t>Maximum</w:t>
              <w:br/>
              <w:t>ratio (%)</w:t>
            </w:r>
          </w:p>
        </w:tc>
        <w:tc>
          <w:tcPr>
            <w:tcW w:type="dxa" w:w="1080"/>
            <w:shd w:val="clear" w:color="auto" w:fill="D9E2F3"/>
          </w:tcPr>
          <w:p>
            <w:pPr>
              <w:spacing w:before="20" w:after="20"/>
              <w:jc w:val="center"/>
            </w:pPr>
            <w:r/>
            <w:r>
              <w:rPr>
                <w:rFonts w:ascii="Times New Roman" w:hAnsi="Times New Roman"/>
                <w:b/>
                <w:sz w:val="15"/>
              </w:rPr>
              <w:t>Baseline</w:t>
              <w:br/>
              <w:t>payments</w:t>
            </w:r>
          </w:p>
        </w:tc>
        <w:tc>
          <w:tcPr>
            <w:tcW w:type="dxa" w:w="1080"/>
            <w:shd w:val="clear" w:color="auto" w:fill="D9E2F3"/>
          </w:tcPr>
          <w:p>
            <w:pPr>
              <w:spacing w:before="20" w:after="20"/>
              <w:jc w:val="center"/>
            </w:pPr>
            <w:r/>
            <w:r>
              <w:rPr>
                <w:rFonts w:ascii="Times New Roman" w:hAnsi="Times New Roman"/>
                <w:b/>
                <w:sz w:val="15"/>
              </w:rPr>
              <w:t>Baseline</w:t>
              <w:br/>
              <w:t>ratio (%)</w:t>
            </w:r>
          </w:p>
        </w:tc>
        <w:tc>
          <w:tcPr>
            <w:tcW w:type="dxa" w:w="1080"/>
            <w:shd w:val="clear" w:color="auto" w:fill="D9E2F3"/>
          </w:tcPr>
          <w:p>
            <w:pPr>
              <w:spacing w:before="20" w:after="20"/>
              <w:jc w:val="center"/>
            </w:pPr>
            <w:r/>
            <w:r>
              <w:rPr>
                <w:rFonts w:ascii="Times New Roman" w:hAnsi="Times New Roman"/>
                <w:b/>
                <w:sz w:val="15"/>
              </w:rPr>
              <w:t>Minimum</w:t>
              <w:br/>
              <w:t>payments</w:t>
            </w:r>
          </w:p>
        </w:tc>
        <w:tc>
          <w:tcPr>
            <w:tcW w:type="dxa" w:w="1080"/>
            <w:shd w:val="clear" w:color="auto" w:fill="D9E2F3"/>
          </w:tcPr>
          <w:p>
            <w:pPr>
              <w:spacing w:before="20" w:after="20"/>
              <w:jc w:val="center"/>
            </w:pPr>
            <w:r/>
            <w:r>
              <w:rPr>
                <w:rFonts w:ascii="Times New Roman" w:hAnsi="Times New Roman"/>
                <w:b/>
                <w:sz w:val="15"/>
              </w:rPr>
              <w:t>Minimum</w:t>
              <w:br/>
              <w:t>ratio (%)</w:t>
            </w:r>
          </w:p>
        </w:tc>
        <w:tc>
          <w:tcPr>
            <w:tcW w:type="dxa" w:w="1080"/>
            <w:shd w:val="clear" w:color="auto" w:fill="D9E2F3"/>
          </w:tcPr>
          <w:p>
            <w:pPr>
              <w:spacing w:before="20" w:after="20"/>
              <w:jc w:val="center"/>
            </w:pPr>
            <w:r/>
            <w:r>
              <w:rPr>
                <w:rFonts w:ascii="Times New Roman" w:hAnsi="Times New Roman"/>
                <w:b/>
                <w:sz w:val="15"/>
              </w:rPr>
              <w:t>NHI</w:t>
              <w:br/>
              <w:t>revenue</w:t>
            </w:r>
          </w:p>
        </w:tc>
      </w:tr>
      <w:tr>
        <w:trPr>
          <w:cantSplit/>
        </w:trPr>
        <w:tc>
          <w:tcPr>
            <w:tcW w:type="dxa" w:w="1080"/>
          </w:tcPr>
          <w:p>
            <w:pPr>
              <w:spacing w:before="20" w:after="20"/>
              <w:jc w:val="center"/>
            </w:pPr>
            <w:r/>
            <w:r>
              <w:rPr>
                <w:rFonts w:ascii="Times New Roman" w:hAnsi="Times New Roman"/>
                <w:b w:val="0"/>
                <w:sz w:val="15"/>
              </w:rPr>
              <w:t>2025</w:t>
            </w:r>
          </w:p>
        </w:tc>
        <w:tc>
          <w:tcPr>
            <w:tcW w:type="dxa" w:w="1080"/>
          </w:tcPr>
          <w:p>
            <w:pPr>
              <w:spacing w:before="20" w:after="20"/>
              <w:jc w:val="right"/>
            </w:pPr>
            <w:r/>
            <w:r>
              <w:rPr>
                <w:rFonts w:ascii="Times New Roman" w:hAnsi="Times New Roman"/>
                <w:b w:val="0"/>
                <w:sz w:val="15"/>
              </w:rPr>
              <w:t>14,455</w:t>
            </w:r>
          </w:p>
        </w:tc>
        <w:tc>
          <w:tcPr>
            <w:tcW w:type="dxa" w:w="1080"/>
          </w:tcPr>
          <w:p>
            <w:pPr>
              <w:spacing w:before="20" w:after="20"/>
              <w:jc w:val="right"/>
            </w:pPr>
            <w:r/>
            <w:r>
              <w:rPr>
                <w:rFonts w:ascii="Times New Roman" w:hAnsi="Times New Roman"/>
                <w:b w:val="0"/>
                <w:sz w:val="15"/>
              </w:rPr>
              <w:t>13.6</w:t>
            </w:r>
          </w:p>
        </w:tc>
        <w:tc>
          <w:tcPr>
            <w:tcW w:type="dxa" w:w="1080"/>
          </w:tcPr>
          <w:p>
            <w:pPr>
              <w:spacing w:before="20" w:after="20"/>
              <w:jc w:val="right"/>
            </w:pPr>
            <w:r/>
            <w:r>
              <w:rPr>
                <w:rFonts w:ascii="Times New Roman" w:hAnsi="Times New Roman"/>
                <w:b w:val="0"/>
                <w:sz w:val="15"/>
              </w:rPr>
              <w:t>12,742</w:t>
            </w:r>
          </w:p>
        </w:tc>
        <w:tc>
          <w:tcPr>
            <w:tcW w:type="dxa" w:w="1080"/>
          </w:tcPr>
          <w:p>
            <w:pPr>
              <w:spacing w:before="20" w:after="20"/>
              <w:jc w:val="right"/>
            </w:pPr>
            <w:r/>
            <w:r>
              <w:rPr>
                <w:rFonts w:ascii="Times New Roman" w:hAnsi="Times New Roman"/>
                <w:b w:val="0"/>
                <w:sz w:val="15"/>
              </w:rPr>
              <w:t>12.0</w:t>
            </w:r>
          </w:p>
        </w:tc>
        <w:tc>
          <w:tcPr>
            <w:tcW w:type="dxa" w:w="1080"/>
          </w:tcPr>
          <w:p>
            <w:pPr>
              <w:spacing w:before="20" w:after="20"/>
              <w:jc w:val="right"/>
            </w:pPr>
            <w:r/>
            <w:r>
              <w:rPr>
                <w:rFonts w:ascii="Times New Roman" w:hAnsi="Times New Roman"/>
                <w:b w:val="0"/>
                <w:sz w:val="15"/>
              </w:rPr>
              <w:t>11,036</w:t>
            </w:r>
          </w:p>
        </w:tc>
        <w:tc>
          <w:tcPr>
            <w:tcW w:type="dxa" w:w="1080"/>
          </w:tcPr>
          <w:p>
            <w:pPr>
              <w:spacing w:before="20" w:after="20"/>
              <w:jc w:val="right"/>
            </w:pPr>
            <w:r/>
            <w:r>
              <w:rPr>
                <w:rFonts w:ascii="Times New Roman" w:hAnsi="Times New Roman"/>
                <w:b w:val="0"/>
                <w:sz w:val="15"/>
              </w:rPr>
              <w:t>10.4</w:t>
            </w:r>
          </w:p>
        </w:tc>
        <w:tc>
          <w:tcPr>
            <w:tcW w:type="dxa" w:w="1080"/>
          </w:tcPr>
          <w:p>
            <w:pPr>
              <w:spacing w:before="20" w:after="20"/>
              <w:jc w:val="right"/>
            </w:pPr>
            <w:r/>
            <w:r>
              <w:rPr>
                <w:rFonts w:ascii="Times New Roman" w:hAnsi="Times New Roman"/>
                <w:b w:val="0"/>
                <w:sz w:val="15"/>
              </w:rPr>
              <w:t>106,119</w:t>
            </w:r>
          </w:p>
        </w:tc>
      </w:tr>
      <w:tr>
        <w:trPr>
          <w:cantSplit/>
        </w:trPr>
        <w:tc>
          <w:tcPr>
            <w:tcW w:type="dxa" w:w="1080"/>
          </w:tcPr>
          <w:p>
            <w:pPr>
              <w:spacing w:before="20" w:after="20"/>
              <w:jc w:val="center"/>
            </w:pPr>
            <w:r/>
            <w:r>
              <w:rPr>
                <w:rFonts w:ascii="Times New Roman" w:hAnsi="Times New Roman"/>
                <w:b w:val="0"/>
                <w:sz w:val="15"/>
              </w:rPr>
              <w:t>2026</w:t>
            </w:r>
          </w:p>
        </w:tc>
        <w:tc>
          <w:tcPr>
            <w:tcW w:type="dxa" w:w="1080"/>
          </w:tcPr>
          <w:p>
            <w:pPr>
              <w:spacing w:before="20" w:after="20"/>
              <w:jc w:val="right"/>
            </w:pPr>
            <w:r/>
            <w:r>
              <w:rPr>
                <w:rFonts w:ascii="Times New Roman" w:hAnsi="Times New Roman"/>
                <w:b w:val="0"/>
                <w:sz w:val="15"/>
              </w:rPr>
              <w:t>18,622</w:t>
            </w:r>
          </w:p>
        </w:tc>
        <w:tc>
          <w:tcPr>
            <w:tcW w:type="dxa" w:w="1080"/>
          </w:tcPr>
          <w:p>
            <w:pPr>
              <w:spacing w:before="20" w:after="20"/>
              <w:jc w:val="right"/>
            </w:pPr>
            <w:r/>
            <w:r>
              <w:rPr>
                <w:rFonts w:ascii="Times New Roman" w:hAnsi="Times New Roman"/>
                <w:b w:val="0"/>
                <w:sz w:val="15"/>
              </w:rPr>
              <w:t>16.5</w:t>
            </w:r>
          </w:p>
        </w:tc>
        <w:tc>
          <w:tcPr>
            <w:tcW w:type="dxa" w:w="1080"/>
          </w:tcPr>
          <w:p>
            <w:pPr>
              <w:spacing w:before="20" w:after="20"/>
              <w:jc w:val="right"/>
            </w:pPr>
            <w:r/>
            <w:r>
              <w:rPr>
                <w:rFonts w:ascii="Times New Roman" w:hAnsi="Times New Roman"/>
                <w:b w:val="0"/>
                <w:sz w:val="15"/>
              </w:rPr>
              <w:t>15,430</w:t>
            </w:r>
          </w:p>
        </w:tc>
        <w:tc>
          <w:tcPr>
            <w:tcW w:type="dxa" w:w="1080"/>
          </w:tcPr>
          <w:p>
            <w:pPr>
              <w:spacing w:before="20" w:after="20"/>
              <w:jc w:val="right"/>
            </w:pPr>
            <w:r/>
            <w:r>
              <w:rPr>
                <w:rFonts w:ascii="Times New Roman" w:hAnsi="Times New Roman"/>
                <w:b w:val="0"/>
                <w:sz w:val="15"/>
              </w:rPr>
              <w:t>13.7</w:t>
            </w:r>
          </w:p>
        </w:tc>
        <w:tc>
          <w:tcPr>
            <w:tcW w:type="dxa" w:w="1080"/>
          </w:tcPr>
          <w:p>
            <w:pPr>
              <w:spacing w:before="20" w:after="20"/>
              <w:jc w:val="right"/>
            </w:pPr>
            <w:r/>
            <w:r>
              <w:rPr>
                <w:rFonts w:ascii="Times New Roman" w:hAnsi="Times New Roman"/>
                <w:b w:val="0"/>
                <w:sz w:val="15"/>
              </w:rPr>
              <w:t>12,457</w:t>
            </w:r>
          </w:p>
        </w:tc>
        <w:tc>
          <w:tcPr>
            <w:tcW w:type="dxa" w:w="1080"/>
          </w:tcPr>
          <w:p>
            <w:pPr>
              <w:spacing w:before="20" w:after="20"/>
              <w:jc w:val="right"/>
            </w:pPr>
            <w:r/>
            <w:r>
              <w:rPr>
                <w:rFonts w:ascii="Times New Roman" w:hAnsi="Times New Roman"/>
                <w:b w:val="0"/>
                <w:sz w:val="15"/>
              </w:rPr>
              <w:t>11.1</w:t>
            </w:r>
          </w:p>
        </w:tc>
        <w:tc>
          <w:tcPr>
            <w:tcW w:type="dxa" w:w="1080"/>
          </w:tcPr>
          <w:p>
            <w:pPr>
              <w:spacing w:before="20" w:after="20"/>
              <w:jc w:val="right"/>
            </w:pPr>
            <w:r/>
            <w:r>
              <w:rPr>
                <w:rFonts w:ascii="Times New Roman" w:hAnsi="Times New Roman"/>
                <w:b w:val="0"/>
                <w:sz w:val="15"/>
              </w:rPr>
              <w:t>112,543</w:t>
            </w:r>
          </w:p>
        </w:tc>
      </w:tr>
      <w:tr>
        <w:trPr>
          <w:cantSplit/>
        </w:trPr>
        <w:tc>
          <w:tcPr>
            <w:tcW w:type="dxa" w:w="1080"/>
          </w:tcPr>
          <w:p>
            <w:pPr>
              <w:spacing w:before="20" w:after="20"/>
              <w:jc w:val="center"/>
            </w:pPr>
            <w:r/>
            <w:r>
              <w:rPr>
                <w:rFonts w:ascii="Times New Roman" w:hAnsi="Times New Roman"/>
                <w:b w:val="0"/>
                <w:sz w:val="15"/>
              </w:rPr>
              <w:t>2027</w:t>
            </w:r>
          </w:p>
        </w:tc>
        <w:tc>
          <w:tcPr>
            <w:tcW w:type="dxa" w:w="1080"/>
          </w:tcPr>
          <w:p>
            <w:pPr>
              <w:spacing w:before="20" w:after="20"/>
              <w:jc w:val="right"/>
            </w:pPr>
            <w:r/>
            <w:r>
              <w:rPr>
                <w:rFonts w:ascii="Times New Roman" w:hAnsi="Times New Roman"/>
                <w:b w:val="0"/>
                <w:sz w:val="15"/>
              </w:rPr>
              <w:t>24,005</w:t>
            </w:r>
          </w:p>
        </w:tc>
        <w:tc>
          <w:tcPr>
            <w:tcW w:type="dxa" w:w="1080"/>
          </w:tcPr>
          <w:p>
            <w:pPr>
              <w:spacing w:before="20" w:after="20"/>
              <w:jc w:val="right"/>
            </w:pPr>
            <w:r/>
            <w:r>
              <w:rPr>
                <w:rFonts w:ascii="Times New Roman" w:hAnsi="Times New Roman"/>
                <w:b w:val="0"/>
                <w:sz w:val="15"/>
              </w:rPr>
              <w:t>20.1</w:t>
            </w:r>
          </w:p>
        </w:tc>
        <w:tc>
          <w:tcPr>
            <w:tcW w:type="dxa" w:w="1080"/>
          </w:tcPr>
          <w:p>
            <w:pPr>
              <w:spacing w:before="20" w:after="20"/>
              <w:jc w:val="right"/>
            </w:pPr>
            <w:r/>
            <w:r>
              <w:rPr>
                <w:rFonts w:ascii="Times New Roman" w:hAnsi="Times New Roman"/>
                <w:b w:val="0"/>
                <w:sz w:val="15"/>
              </w:rPr>
              <w:t>18,703</w:t>
            </w:r>
          </w:p>
        </w:tc>
        <w:tc>
          <w:tcPr>
            <w:tcW w:type="dxa" w:w="1080"/>
          </w:tcPr>
          <w:p>
            <w:pPr>
              <w:spacing w:before="20" w:after="20"/>
              <w:jc w:val="right"/>
            </w:pPr>
            <w:r/>
            <w:r>
              <w:rPr>
                <w:rFonts w:ascii="Times New Roman" w:hAnsi="Times New Roman"/>
                <w:b w:val="0"/>
                <w:sz w:val="15"/>
              </w:rPr>
              <w:t>15.7</w:t>
            </w:r>
          </w:p>
        </w:tc>
        <w:tc>
          <w:tcPr>
            <w:tcW w:type="dxa" w:w="1080"/>
          </w:tcPr>
          <w:p>
            <w:pPr>
              <w:spacing w:before="20" w:after="20"/>
              <w:jc w:val="right"/>
            </w:pPr>
            <w:r/>
            <w:r>
              <w:rPr>
                <w:rFonts w:ascii="Times New Roman" w:hAnsi="Times New Roman"/>
                <w:b w:val="0"/>
                <w:sz w:val="15"/>
              </w:rPr>
              <w:t>14,088</w:t>
            </w:r>
          </w:p>
        </w:tc>
        <w:tc>
          <w:tcPr>
            <w:tcW w:type="dxa" w:w="1080"/>
          </w:tcPr>
          <w:p>
            <w:pPr>
              <w:spacing w:before="20" w:after="20"/>
              <w:jc w:val="right"/>
            </w:pPr>
            <w:r/>
            <w:r>
              <w:rPr>
                <w:rFonts w:ascii="Times New Roman" w:hAnsi="Times New Roman"/>
                <w:b w:val="0"/>
                <w:sz w:val="15"/>
              </w:rPr>
              <w:t>11.8</w:t>
            </w:r>
          </w:p>
        </w:tc>
        <w:tc>
          <w:tcPr>
            <w:tcW w:type="dxa" w:w="1080"/>
          </w:tcPr>
          <w:p>
            <w:pPr>
              <w:spacing w:before="20" w:after="20"/>
              <w:jc w:val="right"/>
            </w:pPr>
            <w:r/>
            <w:r>
              <w:rPr>
                <w:rFonts w:ascii="Times New Roman" w:hAnsi="Times New Roman"/>
                <w:b w:val="0"/>
                <w:sz w:val="15"/>
              </w:rPr>
              <w:t>119,212</w:t>
            </w:r>
          </w:p>
        </w:tc>
      </w:tr>
      <w:tr>
        <w:trPr>
          <w:cantSplit/>
        </w:trPr>
        <w:tc>
          <w:tcPr>
            <w:tcW w:type="dxa" w:w="1080"/>
          </w:tcPr>
          <w:p>
            <w:pPr>
              <w:spacing w:before="20" w:after="20"/>
              <w:jc w:val="center"/>
            </w:pPr>
            <w:r/>
            <w:r>
              <w:rPr>
                <w:rFonts w:ascii="Times New Roman" w:hAnsi="Times New Roman"/>
                <w:b w:val="0"/>
                <w:sz w:val="15"/>
              </w:rPr>
              <w:t>2028</w:t>
            </w:r>
          </w:p>
        </w:tc>
        <w:tc>
          <w:tcPr>
            <w:tcW w:type="dxa" w:w="1080"/>
          </w:tcPr>
          <w:p>
            <w:pPr>
              <w:spacing w:before="20" w:after="20"/>
              <w:jc w:val="right"/>
            </w:pPr>
            <w:r/>
            <w:r>
              <w:rPr>
                <w:rFonts w:ascii="Times New Roman" w:hAnsi="Times New Roman"/>
                <w:b w:val="0"/>
                <w:sz w:val="15"/>
              </w:rPr>
              <w:t>30,820</w:t>
            </w:r>
          </w:p>
        </w:tc>
        <w:tc>
          <w:tcPr>
            <w:tcW w:type="dxa" w:w="1080"/>
          </w:tcPr>
          <w:p>
            <w:pPr>
              <w:spacing w:before="20" w:after="20"/>
              <w:jc w:val="right"/>
            </w:pPr>
            <w:r/>
            <w:r>
              <w:rPr>
                <w:rFonts w:ascii="Times New Roman" w:hAnsi="Times New Roman"/>
                <w:b w:val="0"/>
                <w:sz w:val="15"/>
              </w:rPr>
              <w:t>24.4</w:t>
            </w:r>
          </w:p>
        </w:tc>
        <w:tc>
          <w:tcPr>
            <w:tcW w:type="dxa" w:w="1080"/>
          </w:tcPr>
          <w:p>
            <w:pPr>
              <w:spacing w:before="20" w:after="20"/>
              <w:jc w:val="right"/>
            </w:pPr>
            <w:r/>
            <w:r>
              <w:rPr>
                <w:rFonts w:ascii="Times New Roman" w:hAnsi="Times New Roman"/>
                <w:b w:val="0"/>
                <w:sz w:val="15"/>
              </w:rPr>
              <w:t>22,569</w:t>
            </w:r>
          </w:p>
        </w:tc>
        <w:tc>
          <w:tcPr>
            <w:tcW w:type="dxa" w:w="1080"/>
          </w:tcPr>
          <w:p>
            <w:pPr>
              <w:spacing w:before="20" w:after="20"/>
              <w:jc w:val="right"/>
            </w:pPr>
            <w:r/>
            <w:r>
              <w:rPr>
                <w:rFonts w:ascii="Times New Roman" w:hAnsi="Times New Roman"/>
                <w:b w:val="0"/>
                <w:sz w:val="15"/>
              </w:rPr>
              <w:t>17.9</w:t>
            </w:r>
          </w:p>
        </w:tc>
        <w:tc>
          <w:tcPr>
            <w:tcW w:type="dxa" w:w="1080"/>
          </w:tcPr>
          <w:p>
            <w:pPr>
              <w:spacing w:before="20" w:after="20"/>
              <w:jc w:val="right"/>
            </w:pPr>
            <w:r/>
            <w:r>
              <w:rPr>
                <w:rFonts w:ascii="Times New Roman" w:hAnsi="Times New Roman"/>
                <w:b w:val="0"/>
                <w:sz w:val="15"/>
              </w:rPr>
              <w:t>15,871</w:t>
            </w:r>
          </w:p>
        </w:tc>
        <w:tc>
          <w:tcPr>
            <w:tcW w:type="dxa" w:w="1080"/>
          </w:tcPr>
          <w:p>
            <w:pPr>
              <w:spacing w:before="20" w:after="20"/>
              <w:jc w:val="right"/>
            </w:pPr>
            <w:r/>
            <w:r>
              <w:rPr>
                <w:rFonts w:ascii="Times New Roman" w:hAnsi="Times New Roman"/>
                <w:b w:val="0"/>
                <w:sz w:val="15"/>
              </w:rPr>
              <w:t>12.6</w:t>
            </w:r>
          </w:p>
        </w:tc>
        <w:tc>
          <w:tcPr>
            <w:tcW w:type="dxa" w:w="1080"/>
          </w:tcPr>
          <w:p>
            <w:pPr>
              <w:spacing w:before="20" w:after="20"/>
              <w:jc w:val="right"/>
            </w:pPr>
            <w:r/>
            <w:r>
              <w:rPr>
                <w:rFonts w:ascii="Times New Roman" w:hAnsi="Times New Roman"/>
                <w:b w:val="0"/>
                <w:sz w:val="15"/>
              </w:rPr>
              <w:t>126,133</w:t>
            </w:r>
          </w:p>
        </w:tc>
      </w:tr>
      <w:tr>
        <w:trPr>
          <w:cantSplit/>
        </w:trPr>
        <w:tc>
          <w:tcPr>
            <w:tcW w:type="dxa" w:w="1080"/>
          </w:tcPr>
          <w:p>
            <w:pPr>
              <w:spacing w:before="20" w:after="20"/>
              <w:jc w:val="center"/>
            </w:pPr>
            <w:r/>
            <w:r>
              <w:rPr>
                <w:rFonts w:ascii="Times New Roman" w:hAnsi="Times New Roman"/>
                <w:b w:val="0"/>
                <w:sz w:val="15"/>
              </w:rPr>
              <w:t>2029</w:t>
            </w:r>
          </w:p>
        </w:tc>
        <w:tc>
          <w:tcPr>
            <w:tcW w:type="dxa" w:w="1080"/>
          </w:tcPr>
          <w:p>
            <w:pPr>
              <w:spacing w:before="20" w:after="20"/>
              <w:jc w:val="right"/>
            </w:pPr>
            <w:r/>
            <w:r>
              <w:rPr>
                <w:rFonts w:ascii="Times New Roman" w:hAnsi="Times New Roman"/>
                <w:b w:val="0"/>
                <w:sz w:val="15"/>
              </w:rPr>
              <w:t>39,455</w:t>
            </w:r>
          </w:p>
        </w:tc>
        <w:tc>
          <w:tcPr>
            <w:tcW w:type="dxa" w:w="1080"/>
          </w:tcPr>
          <w:p>
            <w:pPr>
              <w:spacing w:before="20" w:after="20"/>
              <w:jc w:val="right"/>
            </w:pPr>
            <w:r/>
            <w:r>
              <w:rPr>
                <w:rFonts w:ascii="Times New Roman" w:hAnsi="Times New Roman"/>
                <w:b w:val="0"/>
                <w:sz w:val="15"/>
              </w:rPr>
              <w:t>30.1</w:t>
            </w:r>
          </w:p>
        </w:tc>
        <w:tc>
          <w:tcPr>
            <w:tcW w:type="dxa" w:w="1080"/>
          </w:tcPr>
          <w:p>
            <w:pPr>
              <w:spacing w:before="20" w:after="20"/>
              <w:jc w:val="right"/>
            </w:pPr>
            <w:r/>
            <w:r>
              <w:rPr>
                <w:rFonts w:ascii="Times New Roman" w:hAnsi="Times New Roman"/>
                <w:b w:val="0"/>
                <w:sz w:val="15"/>
              </w:rPr>
              <w:t>27,126</w:t>
            </w:r>
          </w:p>
        </w:tc>
        <w:tc>
          <w:tcPr>
            <w:tcW w:type="dxa" w:w="1080"/>
          </w:tcPr>
          <w:p>
            <w:pPr>
              <w:spacing w:before="20" w:after="20"/>
              <w:jc w:val="right"/>
            </w:pPr>
            <w:r/>
            <w:r>
              <w:rPr>
                <w:rFonts w:ascii="Times New Roman" w:hAnsi="Times New Roman"/>
                <w:b w:val="0"/>
                <w:sz w:val="15"/>
              </w:rPr>
              <w:t>20.7</w:t>
            </w:r>
          </w:p>
        </w:tc>
        <w:tc>
          <w:tcPr>
            <w:tcW w:type="dxa" w:w="1080"/>
          </w:tcPr>
          <w:p>
            <w:pPr>
              <w:spacing w:before="20" w:after="20"/>
              <w:jc w:val="right"/>
            </w:pPr>
            <w:r/>
            <w:r>
              <w:rPr>
                <w:rFonts w:ascii="Times New Roman" w:hAnsi="Times New Roman"/>
                <w:b w:val="0"/>
                <w:sz w:val="15"/>
              </w:rPr>
              <w:t>17,807</w:t>
            </w:r>
          </w:p>
        </w:tc>
        <w:tc>
          <w:tcPr>
            <w:tcW w:type="dxa" w:w="1080"/>
          </w:tcPr>
          <w:p>
            <w:pPr>
              <w:spacing w:before="20" w:after="20"/>
              <w:jc w:val="right"/>
            </w:pPr>
            <w:r/>
            <w:r>
              <w:rPr>
                <w:rFonts w:ascii="Times New Roman" w:hAnsi="Times New Roman"/>
                <w:b w:val="0"/>
                <w:sz w:val="15"/>
              </w:rPr>
              <w:t>13.6</w:t>
            </w:r>
          </w:p>
        </w:tc>
        <w:tc>
          <w:tcPr>
            <w:tcW w:type="dxa" w:w="1080"/>
          </w:tcPr>
          <w:p>
            <w:pPr>
              <w:spacing w:before="20" w:after="20"/>
              <w:jc w:val="right"/>
            </w:pPr>
            <w:r/>
            <w:r>
              <w:rPr>
                <w:rFonts w:ascii="Times New Roman" w:hAnsi="Times New Roman"/>
                <w:b w:val="0"/>
                <w:sz w:val="15"/>
              </w:rPr>
              <w:t>131,084</w:t>
            </w:r>
          </w:p>
        </w:tc>
      </w:tr>
      <w:tr>
        <w:trPr>
          <w:cantSplit/>
        </w:trPr>
        <w:tc>
          <w:tcPr>
            <w:tcW w:type="dxa" w:w="1080"/>
          </w:tcPr>
          <w:p>
            <w:pPr>
              <w:spacing w:before="20" w:after="20"/>
              <w:jc w:val="center"/>
            </w:pPr>
            <w:r/>
            <w:r>
              <w:rPr>
                <w:rFonts w:ascii="Times New Roman" w:hAnsi="Times New Roman"/>
                <w:b w:val="0"/>
                <w:sz w:val="15"/>
              </w:rPr>
              <w:t>2030</w:t>
            </w:r>
          </w:p>
        </w:tc>
        <w:tc>
          <w:tcPr>
            <w:tcW w:type="dxa" w:w="1080"/>
          </w:tcPr>
          <w:p>
            <w:pPr>
              <w:spacing w:before="20" w:after="20"/>
              <w:jc w:val="right"/>
            </w:pPr>
            <w:r/>
            <w:r>
              <w:rPr>
                <w:rFonts w:ascii="Times New Roman" w:hAnsi="Times New Roman"/>
                <w:b w:val="0"/>
                <w:sz w:val="15"/>
              </w:rPr>
              <w:t>50,463</w:t>
            </w:r>
          </w:p>
        </w:tc>
        <w:tc>
          <w:tcPr>
            <w:tcW w:type="dxa" w:w="1080"/>
          </w:tcPr>
          <w:p>
            <w:pPr>
              <w:spacing w:before="20" w:after="20"/>
              <w:jc w:val="right"/>
            </w:pPr>
            <w:r/>
            <w:r>
              <w:rPr>
                <w:rFonts w:ascii="Times New Roman" w:hAnsi="Times New Roman"/>
                <w:b w:val="0"/>
                <w:sz w:val="15"/>
              </w:rPr>
              <w:t>37.2</w:t>
            </w:r>
          </w:p>
        </w:tc>
        <w:tc>
          <w:tcPr>
            <w:tcW w:type="dxa" w:w="1080"/>
          </w:tcPr>
          <w:p>
            <w:pPr>
              <w:spacing w:before="20" w:after="20"/>
              <w:jc w:val="right"/>
            </w:pPr>
            <w:r/>
            <w:r>
              <w:rPr>
                <w:rFonts w:ascii="Times New Roman" w:hAnsi="Times New Roman"/>
                <w:b w:val="0"/>
                <w:sz w:val="15"/>
              </w:rPr>
              <w:t>32,520</w:t>
            </w:r>
          </w:p>
        </w:tc>
        <w:tc>
          <w:tcPr>
            <w:tcW w:type="dxa" w:w="1080"/>
          </w:tcPr>
          <w:p>
            <w:pPr>
              <w:spacing w:before="20" w:after="20"/>
              <w:jc w:val="right"/>
            </w:pPr>
            <w:r/>
            <w:r>
              <w:rPr>
                <w:rFonts w:ascii="Times New Roman" w:hAnsi="Times New Roman"/>
                <w:b w:val="0"/>
                <w:sz w:val="15"/>
              </w:rPr>
              <w:t>24.0</w:t>
            </w:r>
          </w:p>
        </w:tc>
        <w:tc>
          <w:tcPr>
            <w:tcW w:type="dxa" w:w="1080"/>
          </w:tcPr>
          <w:p>
            <w:pPr>
              <w:spacing w:before="20" w:after="20"/>
              <w:jc w:val="right"/>
            </w:pPr>
            <w:r/>
            <w:r>
              <w:rPr>
                <w:rFonts w:ascii="Times New Roman" w:hAnsi="Times New Roman"/>
                <w:b w:val="0"/>
                <w:sz w:val="15"/>
              </w:rPr>
              <w:t>19,923</w:t>
            </w:r>
          </w:p>
        </w:tc>
        <w:tc>
          <w:tcPr>
            <w:tcW w:type="dxa" w:w="1080"/>
          </w:tcPr>
          <w:p>
            <w:pPr>
              <w:spacing w:before="20" w:after="20"/>
              <w:jc w:val="right"/>
            </w:pPr>
            <w:r/>
            <w:r>
              <w:rPr>
                <w:rFonts w:ascii="Times New Roman" w:hAnsi="Times New Roman"/>
                <w:b w:val="0"/>
                <w:sz w:val="15"/>
              </w:rPr>
              <w:t>14.7</w:t>
            </w:r>
          </w:p>
        </w:tc>
        <w:tc>
          <w:tcPr>
            <w:tcW w:type="dxa" w:w="1080"/>
          </w:tcPr>
          <w:p>
            <w:pPr>
              <w:spacing w:before="20" w:after="20"/>
              <w:jc w:val="right"/>
            </w:pPr>
            <w:r/>
            <w:r>
              <w:rPr>
                <w:rFonts w:ascii="Times New Roman" w:hAnsi="Times New Roman"/>
                <w:b w:val="0"/>
                <w:sz w:val="15"/>
              </w:rPr>
              <w:t>135,692</w:t>
            </w:r>
          </w:p>
        </w:tc>
      </w:tr>
      <w:tr>
        <w:trPr>
          <w:cantSplit/>
        </w:trPr>
        <w:tc>
          <w:tcPr>
            <w:tcW w:type="dxa" w:w="1080"/>
          </w:tcPr>
          <w:p>
            <w:pPr>
              <w:spacing w:before="20" w:after="20"/>
              <w:jc w:val="center"/>
            </w:pPr>
            <w:r/>
            <w:r>
              <w:rPr>
                <w:rFonts w:ascii="Times New Roman" w:hAnsi="Times New Roman"/>
                <w:b w:val="0"/>
                <w:sz w:val="15"/>
              </w:rPr>
              <w:t>2031</w:t>
            </w:r>
          </w:p>
        </w:tc>
        <w:tc>
          <w:tcPr>
            <w:tcW w:type="dxa" w:w="1080"/>
          </w:tcPr>
          <w:p>
            <w:pPr>
              <w:spacing w:before="20" w:after="20"/>
              <w:jc w:val="right"/>
            </w:pPr>
            <w:r/>
            <w:r>
              <w:rPr>
                <w:rFonts w:ascii="Times New Roman" w:hAnsi="Times New Roman"/>
                <w:b w:val="0"/>
                <w:sz w:val="15"/>
              </w:rPr>
              <w:t>59,822</w:t>
            </w:r>
          </w:p>
        </w:tc>
        <w:tc>
          <w:tcPr>
            <w:tcW w:type="dxa" w:w="1080"/>
          </w:tcPr>
          <w:p>
            <w:pPr>
              <w:spacing w:before="20" w:after="20"/>
              <w:jc w:val="right"/>
            </w:pPr>
            <w:r/>
            <w:r>
              <w:rPr>
                <w:rFonts w:ascii="Times New Roman" w:hAnsi="Times New Roman"/>
                <w:b w:val="0"/>
                <w:sz w:val="15"/>
              </w:rPr>
              <w:t>42.6</w:t>
            </w:r>
          </w:p>
        </w:tc>
        <w:tc>
          <w:tcPr>
            <w:tcW w:type="dxa" w:w="1080"/>
          </w:tcPr>
          <w:p>
            <w:pPr>
              <w:spacing w:before="20" w:after="20"/>
              <w:jc w:val="right"/>
            </w:pPr>
            <w:r/>
            <w:r>
              <w:rPr>
                <w:rFonts w:ascii="Times New Roman" w:hAnsi="Times New Roman"/>
                <w:b w:val="0"/>
                <w:sz w:val="15"/>
              </w:rPr>
              <w:t>38,783</w:t>
            </w:r>
          </w:p>
        </w:tc>
        <w:tc>
          <w:tcPr>
            <w:tcW w:type="dxa" w:w="1080"/>
          </w:tcPr>
          <w:p>
            <w:pPr>
              <w:spacing w:before="20" w:after="20"/>
              <w:jc w:val="right"/>
            </w:pPr>
            <w:r/>
            <w:r>
              <w:rPr>
                <w:rFonts w:ascii="Times New Roman" w:hAnsi="Times New Roman"/>
                <w:b w:val="0"/>
                <w:sz w:val="15"/>
              </w:rPr>
              <w:t>27.6</w:t>
            </w:r>
          </w:p>
        </w:tc>
        <w:tc>
          <w:tcPr>
            <w:tcW w:type="dxa" w:w="1080"/>
          </w:tcPr>
          <w:p>
            <w:pPr>
              <w:spacing w:before="20" w:after="20"/>
              <w:jc w:val="right"/>
            </w:pPr>
            <w:r/>
            <w:r>
              <w:rPr>
                <w:rFonts w:ascii="Times New Roman" w:hAnsi="Times New Roman"/>
                <w:b w:val="0"/>
                <w:sz w:val="15"/>
              </w:rPr>
              <w:t>23,838</w:t>
            </w:r>
          </w:p>
        </w:tc>
        <w:tc>
          <w:tcPr>
            <w:tcW w:type="dxa" w:w="1080"/>
          </w:tcPr>
          <w:p>
            <w:pPr>
              <w:spacing w:before="20" w:after="20"/>
              <w:jc w:val="right"/>
            </w:pPr>
            <w:r/>
            <w:r>
              <w:rPr>
                <w:rFonts w:ascii="Times New Roman" w:hAnsi="Times New Roman"/>
                <w:b w:val="0"/>
                <w:sz w:val="15"/>
              </w:rPr>
              <w:t>17.0</w:t>
            </w:r>
          </w:p>
        </w:tc>
        <w:tc>
          <w:tcPr>
            <w:tcW w:type="dxa" w:w="1080"/>
          </w:tcPr>
          <w:p>
            <w:pPr>
              <w:spacing w:before="20" w:after="20"/>
              <w:jc w:val="right"/>
            </w:pPr>
            <w:r/>
            <w:r>
              <w:rPr>
                <w:rFonts w:ascii="Times New Roman" w:hAnsi="Times New Roman"/>
                <w:b w:val="0"/>
                <w:sz w:val="15"/>
              </w:rPr>
              <w:t>140,384</w:t>
            </w:r>
          </w:p>
        </w:tc>
      </w:tr>
      <w:tr>
        <w:trPr>
          <w:cantSplit/>
        </w:trPr>
        <w:tc>
          <w:tcPr>
            <w:tcW w:type="dxa" w:w="1080"/>
          </w:tcPr>
          <w:p>
            <w:pPr>
              <w:spacing w:before="20" w:after="20"/>
              <w:jc w:val="center"/>
            </w:pPr>
            <w:r/>
            <w:r>
              <w:rPr>
                <w:rFonts w:ascii="Times New Roman" w:hAnsi="Times New Roman"/>
                <w:b w:val="0"/>
                <w:sz w:val="15"/>
              </w:rPr>
              <w:t>2032</w:t>
            </w:r>
          </w:p>
        </w:tc>
        <w:tc>
          <w:tcPr>
            <w:tcW w:type="dxa" w:w="1080"/>
          </w:tcPr>
          <w:p>
            <w:pPr>
              <w:spacing w:before="20" w:after="20"/>
              <w:jc w:val="right"/>
            </w:pPr>
            <w:r/>
            <w:r>
              <w:rPr>
                <w:rFonts w:ascii="Times New Roman" w:hAnsi="Times New Roman"/>
                <w:b w:val="0"/>
                <w:sz w:val="15"/>
              </w:rPr>
              <w:t>70,927</w:t>
            </w:r>
          </w:p>
        </w:tc>
        <w:tc>
          <w:tcPr>
            <w:tcW w:type="dxa" w:w="1080"/>
          </w:tcPr>
          <w:p>
            <w:pPr>
              <w:spacing w:before="20" w:after="20"/>
              <w:jc w:val="right"/>
            </w:pPr>
            <w:r/>
            <w:r>
              <w:rPr>
                <w:rFonts w:ascii="Times New Roman" w:hAnsi="Times New Roman"/>
                <w:b w:val="0"/>
                <w:sz w:val="15"/>
              </w:rPr>
              <w:t>48.8</w:t>
            </w:r>
          </w:p>
        </w:tc>
        <w:tc>
          <w:tcPr>
            <w:tcW w:type="dxa" w:w="1080"/>
          </w:tcPr>
          <w:p>
            <w:pPr>
              <w:spacing w:before="20" w:after="20"/>
              <w:jc w:val="right"/>
            </w:pPr>
            <w:r/>
            <w:r>
              <w:rPr>
                <w:rFonts w:ascii="Times New Roman" w:hAnsi="Times New Roman"/>
                <w:b w:val="0"/>
                <w:sz w:val="15"/>
              </w:rPr>
              <w:t>46,247</w:t>
            </w:r>
          </w:p>
        </w:tc>
        <w:tc>
          <w:tcPr>
            <w:tcW w:type="dxa" w:w="1080"/>
          </w:tcPr>
          <w:p>
            <w:pPr>
              <w:spacing w:before="20" w:after="20"/>
              <w:jc w:val="right"/>
            </w:pPr>
            <w:r/>
            <w:r>
              <w:rPr>
                <w:rFonts w:ascii="Times New Roman" w:hAnsi="Times New Roman"/>
                <w:b w:val="0"/>
                <w:sz w:val="15"/>
              </w:rPr>
              <w:t>31.8</w:t>
            </w:r>
          </w:p>
        </w:tc>
        <w:tc>
          <w:tcPr>
            <w:tcW w:type="dxa" w:w="1080"/>
          </w:tcPr>
          <w:p>
            <w:pPr>
              <w:spacing w:before="20" w:after="20"/>
              <w:jc w:val="right"/>
            </w:pPr>
            <w:r/>
            <w:r>
              <w:rPr>
                <w:rFonts w:ascii="Times New Roman" w:hAnsi="Times New Roman"/>
                <w:b w:val="0"/>
                <w:sz w:val="15"/>
              </w:rPr>
              <w:t>28,470</w:t>
            </w:r>
          </w:p>
        </w:tc>
        <w:tc>
          <w:tcPr>
            <w:tcW w:type="dxa" w:w="1080"/>
          </w:tcPr>
          <w:p>
            <w:pPr>
              <w:spacing w:before="20" w:after="20"/>
              <w:jc w:val="right"/>
            </w:pPr>
            <w:r/>
            <w:r>
              <w:rPr>
                <w:rFonts w:ascii="Times New Roman" w:hAnsi="Times New Roman"/>
                <w:b w:val="0"/>
                <w:sz w:val="15"/>
              </w:rPr>
              <w:t>19.6</w:t>
            </w:r>
          </w:p>
        </w:tc>
        <w:tc>
          <w:tcPr>
            <w:tcW w:type="dxa" w:w="1080"/>
          </w:tcPr>
          <w:p>
            <w:pPr>
              <w:spacing w:before="20" w:after="20"/>
              <w:jc w:val="right"/>
            </w:pPr>
            <w:r/>
            <w:r>
              <w:rPr>
                <w:rFonts w:ascii="Times New Roman" w:hAnsi="Times New Roman"/>
                <w:b w:val="0"/>
                <w:sz w:val="15"/>
              </w:rPr>
              <w:t>145,367</w:t>
            </w:r>
          </w:p>
        </w:tc>
      </w:tr>
      <w:tr>
        <w:trPr>
          <w:cantSplit/>
        </w:trPr>
        <w:tc>
          <w:tcPr>
            <w:tcW w:type="dxa" w:w="1080"/>
          </w:tcPr>
          <w:p>
            <w:pPr>
              <w:spacing w:before="20" w:after="20"/>
              <w:jc w:val="center"/>
            </w:pPr>
            <w:r/>
            <w:r>
              <w:rPr>
                <w:rFonts w:ascii="Times New Roman" w:hAnsi="Times New Roman"/>
                <w:b w:val="0"/>
                <w:sz w:val="15"/>
              </w:rPr>
              <w:t>2033</w:t>
            </w:r>
          </w:p>
        </w:tc>
        <w:tc>
          <w:tcPr>
            <w:tcW w:type="dxa" w:w="1080"/>
          </w:tcPr>
          <w:p>
            <w:pPr>
              <w:spacing w:before="20" w:after="20"/>
              <w:jc w:val="right"/>
            </w:pPr>
            <w:r/>
            <w:r>
              <w:rPr>
                <w:rFonts w:ascii="Times New Roman" w:hAnsi="Times New Roman"/>
                <w:b w:val="0"/>
                <w:sz w:val="15"/>
              </w:rPr>
              <w:t>83,854</w:t>
            </w:r>
          </w:p>
        </w:tc>
        <w:tc>
          <w:tcPr>
            <w:tcW w:type="dxa" w:w="1080"/>
          </w:tcPr>
          <w:p>
            <w:pPr>
              <w:spacing w:before="20" w:after="20"/>
              <w:jc w:val="right"/>
            </w:pPr>
            <w:r/>
            <w:r>
              <w:rPr>
                <w:rFonts w:ascii="Times New Roman" w:hAnsi="Times New Roman"/>
                <w:b w:val="0"/>
                <w:sz w:val="15"/>
              </w:rPr>
              <w:t>55.7</w:t>
            </w:r>
          </w:p>
        </w:tc>
        <w:tc>
          <w:tcPr>
            <w:tcW w:type="dxa" w:w="1080"/>
          </w:tcPr>
          <w:p>
            <w:pPr>
              <w:spacing w:before="20" w:after="20"/>
              <w:jc w:val="right"/>
            </w:pPr>
            <w:r/>
            <w:r>
              <w:rPr>
                <w:rFonts w:ascii="Times New Roman" w:hAnsi="Times New Roman"/>
                <w:b w:val="0"/>
                <w:sz w:val="15"/>
              </w:rPr>
              <w:t>54,997</w:t>
            </w:r>
          </w:p>
        </w:tc>
        <w:tc>
          <w:tcPr>
            <w:tcW w:type="dxa" w:w="1080"/>
          </w:tcPr>
          <w:p>
            <w:pPr>
              <w:spacing w:before="20" w:after="20"/>
              <w:jc w:val="right"/>
            </w:pPr>
            <w:r/>
            <w:r>
              <w:rPr>
                <w:rFonts w:ascii="Times New Roman" w:hAnsi="Times New Roman"/>
                <w:b w:val="0"/>
                <w:sz w:val="15"/>
              </w:rPr>
              <w:t>36.6</w:t>
            </w:r>
          </w:p>
        </w:tc>
        <w:tc>
          <w:tcPr>
            <w:tcW w:type="dxa" w:w="1080"/>
          </w:tcPr>
          <w:p>
            <w:pPr>
              <w:spacing w:before="20" w:after="20"/>
              <w:jc w:val="right"/>
            </w:pPr>
            <w:r/>
            <w:r>
              <w:rPr>
                <w:rFonts w:ascii="Times New Roman" w:hAnsi="Times New Roman"/>
                <w:b w:val="0"/>
                <w:sz w:val="15"/>
              </w:rPr>
              <w:t>33,848</w:t>
            </w:r>
          </w:p>
        </w:tc>
        <w:tc>
          <w:tcPr>
            <w:tcW w:type="dxa" w:w="1080"/>
          </w:tcPr>
          <w:p>
            <w:pPr>
              <w:spacing w:before="20" w:after="20"/>
              <w:jc w:val="right"/>
            </w:pPr>
            <w:r/>
            <w:r>
              <w:rPr>
                <w:rFonts w:ascii="Times New Roman" w:hAnsi="Times New Roman"/>
                <w:b w:val="0"/>
                <w:sz w:val="15"/>
              </w:rPr>
              <w:t>22.5</w:t>
            </w:r>
          </w:p>
        </w:tc>
        <w:tc>
          <w:tcPr>
            <w:tcW w:type="dxa" w:w="1080"/>
          </w:tcPr>
          <w:p>
            <w:pPr>
              <w:spacing w:before="20" w:after="20"/>
              <w:jc w:val="right"/>
            </w:pPr>
            <w:r/>
            <w:r>
              <w:rPr>
                <w:rFonts w:ascii="Times New Roman" w:hAnsi="Times New Roman"/>
                <w:b w:val="0"/>
                <w:sz w:val="15"/>
              </w:rPr>
              <w:t>150,420</w:t>
            </w:r>
          </w:p>
        </w:tc>
      </w:tr>
      <w:tr>
        <w:trPr>
          <w:cantSplit/>
        </w:trPr>
        <w:tc>
          <w:tcPr>
            <w:tcW w:type="dxa" w:w="1080"/>
          </w:tcPr>
          <w:p>
            <w:pPr>
              <w:spacing w:before="20" w:after="20"/>
              <w:jc w:val="center"/>
            </w:pPr>
            <w:r/>
            <w:r>
              <w:rPr>
                <w:rFonts w:ascii="Times New Roman" w:hAnsi="Times New Roman"/>
                <w:b w:val="0"/>
                <w:sz w:val="15"/>
              </w:rPr>
              <w:t>2034</w:t>
            </w:r>
          </w:p>
        </w:tc>
        <w:tc>
          <w:tcPr>
            <w:tcW w:type="dxa" w:w="1080"/>
          </w:tcPr>
          <w:p>
            <w:pPr>
              <w:spacing w:before="20" w:after="20"/>
              <w:jc w:val="right"/>
            </w:pPr>
            <w:r/>
            <w:r>
              <w:rPr>
                <w:rFonts w:ascii="Times New Roman" w:hAnsi="Times New Roman"/>
                <w:b w:val="0"/>
                <w:sz w:val="15"/>
              </w:rPr>
              <w:t>98,703</w:t>
            </w:r>
          </w:p>
        </w:tc>
        <w:tc>
          <w:tcPr>
            <w:tcW w:type="dxa" w:w="1080"/>
          </w:tcPr>
          <w:p>
            <w:pPr>
              <w:spacing w:before="20" w:after="20"/>
              <w:jc w:val="right"/>
            </w:pPr>
            <w:r/>
            <w:r>
              <w:rPr>
                <w:rFonts w:ascii="Times New Roman" w:hAnsi="Times New Roman"/>
                <w:b w:val="0"/>
                <w:sz w:val="15"/>
              </w:rPr>
              <w:t>63.4</w:t>
            </w:r>
          </w:p>
        </w:tc>
        <w:tc>
          <w:tcPr>
            <w:tcW w:type="dxa" w:w="1080"/>
          </w:tcPr>
          <w:p>
            <w:pPr>
              <w:spacing w:before="20" w:after="20"/>
              <w:jc w:val="right"/>
            </w:pPr>
            <w:r/>
            <w:r>
              <w:rPr>
                <w:rFonts w:ascii="Times New Roman" w:hAnsi="Times New Roman"/>
                <w:b w:val="0"/>
                <w:sz w:val="15"/>
              </w:rPr>
              <w:t>65,152</w:t>
            </w:r>
          </w:p>
        </w:tc>
        <w:tc>
          <w:tcPr>
            <w:tcW w:type="dxa" w:w="1080"/>
          </w:tcPr>
          <w:p>
            <w:pPr>
              <w:spacing w:before="20" w:after="20"/>
              <w:jc w:val="right"/>
            </w:pPr>
            <w:r/>
            <w:r>
              <w:rPr>
                <w:rFonts w:ascii="Times New Roman" w:hAnsi="Times New Roman"/>
                <w:b w:val="0"/>
                <w:sz w:val="15"/>
              </w:rPr>
              <w:t>41.9</w:t>
            </w:r>
          </w:p>
        </w:tc>
        <w:tc>
          <w:tcPr>
            <w:tcW w:type="dxa" w:w="1080"/>
          </w:tcPr>
          <w:p>
            <w:pPr>
              <w:spacing w:before="20" w:after="20"/>
              <w:jc w:val="right"/>
            </w:pPr>
            <w:r/>
            <w:r>
              <w:rPr>
                <w:rFonts w:ascii="Times New Roman" w:hAnsi="Times New Roman"/>
                <w:b w:val="0"/>
                <w:sz w:val="15"/>
              </w:rPr>
              <w:t>40,029</w:t>
            </w:r>
          </w:p>
        </w:tc>
        <w:tc>
          <w:tcPr>
            <w:tcW w:type="dxa" w:w="1080"/>
          </w:tcPr>
          <w:p>
            <w:pPr>
              <w:spacing w:before="20" w:after="20"/>
              <w:jc w:val="right"/>
            </w:pPr>
            <w:r/>
            <w:r>
              <w:rPr>
                <w:rFonts w:ascii="Times New Roman" w:hAnsi="Times New Roman"/>
                <w:b w:val="0"/>
                <w:sz w:val="15"/>
              </w:rPr>
              <w:t>25.7</w:t>
            </w:r>
          </w:p>
        </w:tc>
        <w:tc>
          <w:tcPr>
            <w:tcW w:type="dxa" w:w="1080"/>
          </w:tcPr>
          <w:p>
            <w:pPr>
              <w:spacing w:before="20" w:after="20"/>
              <w:jc w:val="right"/>
            </w:pPr>
            <w:r/>
            <w:r>
              <w:rPr>
                <w:rFonts w:ascii="Times New Roman" w:hAnsi="Times New Roman"/>
                <w:b w:val="0"/>
                <w:sz w:val="15"/>
              </w:rPr>
              <w:t>155,665</w:t>
            </w:r>
          </w:p>
        </w:tc>
      </w:tr>
      <w:tr>
        <w:trPr>
          <w:cantSplit/>
        </w:trPr>
        <w:tc>
          <w:tcPr>
            <w:tcW w:type="dxa" w:w="1080"/>
          </w:tcPr>
          <w:p>
            <w:pPr>
              <w:spacing w:before="20" w:after="20"/>
              <w:jc w:val="center"/>
            </w:pPr>
            <w:r/>
            <w:r>
              <w:rPr>
                <w:rFonts w:ascii="Times New Roman" w:hAnsi="Times New Roman"/>
                <w:b w:val="0"/>
                <w:sz w:val="15"/>
              </w:rPr>
              <w:t>2035</w:t>
            </w:r>
          </w:p>
        </w:tc>
        <w:tc>
          <w:tcPr>
            <w:tcW w:type="dxa" w:w="1080"/>
          </w:tcPr>
          <w:p>
            <w:pPr>
              <w:spacing w:before="20" w:after="20"/>
              <w:jc w:val="right"/>
            </w:pPr>
            <w:r/>
            <w:r>
              <w:rPr>
                <w:rFonts w:ascii="Times New Roman" w:hAnsi="Times New Roman"/>
                <w:b w:val="0"/>
                <w:sz w:val="15"/>
              </w:rPr>
              <w:t>116,315</w:t>
            </w:r>
          </w:p>
        </w:tc>
        <w:tc>
          <w:tcPr>
            <w:tcW w:type="dxa" w:w="1080"/>
          </w:tcPr>
          <w:p>
            <w:pPr>
              <w:spacing w:before="20" w:after="20"/>
              <w:jc w:val="right"/>
            </w:pPr>
            <w:r/>
            <w:r>
              <w:rPr>
                <w:rFonts w:ascii="Times New Roman" w:hAnsi="Times New Roman"/>
                <w:b w:val="0"/>
                <w:sz w:val="15"/>
              </w:rPr>
              <w:t>72.3</w:t>
            </w:r>
          </w:p>
        </w:tc>
        <w:tc>
          <w:tcPr>
            <w:tcW w:type="dxa" w:w="1080"/>
          </w:tcPr>
          <w:p>
            <w:pPr>
              <w:spacing w:before="20" w:after="20"/>
              <w:jc w:val="right"/>
            </w:pPr>
            <w:r/>
            <w:r>
              <w:rPr>
                <w:rFonts w:ascii="Times New Roman" w:hAnsi="Times New Roman"/>
                <w:b w:val="0"/>
                <w:sz w:val="15"/>
              </w:rPr>
              <w:t>77,360</w:t>
            </w:r>
          </w:p>
        </w:tc>
        <w:tc>
          <w:tcPr>
            <w:tcW w:type="dxa" w:w="1080"/>
          </w:tcPr>
          <w:p>
            <w:pPr>
              <w:spacing w:before="20" w:after="20"/>
              <w:jc w:val="right"/>
            </w:pPr>
            <w:r/>
            <w:r>
              <w:rPr>
                <w:rFonts w:ascii="Times New Roman" w:hAnsi="Times New Roman"/>
                <w:b w:val="0"/>
                <w:sz w:val="15"/>
              </w:rPr>
              <w:t>48.1</w:t>
            </w:r>
          </w:p>
        </w:tc>
        <w:tc>
          <w:tcPr>
            <w:tcW w:type="dxa" w:w="1080"/>
          </w:tcPr>
          <w:p>
            <w:pPr>
              <w:spacing w:before="20" w:after="20"/>
              <w:jc w:val="right"/>
            </w:pPr>
            <w:r/>
            <w:r>
              <w:rPr>
                <w:rFonts w:ascii="Times New Roman" w:hAnsi="Times New Roman"/>
                <w:b w:val="0"/>
                <w:sz w:val="15"/>
              </w:rPr>
              <w:t>47,406</w:t>
            </w:r>
          </w:p>
        </w:tc>
        <w:tc>
          <w:tcPr>
            <w:tcW w:type="dxa" w:w="1080"/>
          </w:tcPr>
          <w:p>
            <w:pPr>
              <w:spacing w:before="20" w:after="20"/>
              <w:jc w:val="right"/>
            </w:pPr>
            <w:r/>
            <w:r>
              <w:rPr>
                <w:rFonts w:ascii="Times New Roman" w:hAnsi="Times New Roman"/>
                <w:b w:val="0"/>
                <w:sz w:val="15"/>
              </w:rPr>
              <w:t>29.5</w:t>
            </w:r>
          </w:p>
        </w:tc>
        <w:tc>
          <w:tcPr>
            <w:tcW w:type="dxa" w:w="1080"/>
          </w:tcPr>
          <w:p>
            <w:pPr>
              <w:spacing w:before="20" w:after="20"/>
              <w:jc w:val="right"/>
            </w:pPr>
            <w:r/>
            <w:r>
              <w:rPr>
                <w:rFonts w:ascii="Times New Roman" w:hAnsi="Times New Roman"/>
                <w:b w:val="0"/>
                <w:sz w:val="15"/>
              </w:rPr>
              <w:t>160,930</w:t>
            </w:r>
          </w:p>
        </w:tc>
      </w:tr>
      <w:tr>
        <w:trPr>
          <w:cantSplit/>
        </w:trPr>
        <w:tc>
          <w:tcPr>
            <w:tcW w:type="dxa" w:w="1080"/>
          </w:tcPr>
          <w:p>
            <w:pPr>
              <w:spacing w:before="20" w:after="20"/>
              <w:jc w:val="center"/>
            </w:pPr>
            <w:r/>
            <w:r>
              <w:rPr>
                <w:rFonts w:ascii="Times New Roman" w:hAnsi="Times New Roman"/>
                <w:b w:val="0"/>
                <w:sz w:val="15"/>
              </w:rPr>
              <w:t>2036</w:t>
            </w:r>
          </w:p>
        </w:tc>
        <w:tc>
          <w:tcPr>
            <w:tcW w:type="dxa" w:w="1080"/>
          </w:tcPr>
          <w:p>
            <w:pPr>
              <w:spacing w:before="20" w:after="20"/>
              <w:jc w:val="right"/>
            </w:pPr>
            <w:r/>
            <w:r>
              <w:rPr>
                <w:rFonts w:ascii="Times New Roman" w:hAnsi="Times New Roman"/>
                <w:b w:val="0"/>
                <w:sz w:val="15"/>
              </w:rPr>
              <w:t>136,263</w:t>
            </w:r>
          </w:p>
        </w:tc>
        <w:tc>
          <w:tcPr>
            <w:tcW w:type="dxa" w:w="1080"/>
          </w:tcPr>
          <w:p>
            <w:pPr>
              <w:spacing w:before="20" w:after="20"/>
              <w:jc w:val="right"/>
            </w:pPr>
            <w:r/>
            <w:r>
              <w:rPr>
                <w:rFonts w:ascii="Times New Roman" w:hAnsi="Times New Roman"/>
                <w:b w:val="0"/>
                <w:sz w:val="15"/>
              </w:rPr>
              <w:t>81.9</w:t>
            </w:r>
          </w:p>
        </w:tc>
        <w:tc>
          <w:tcPr>
            <w:tcW w:type="dxa" w:w="1080"/>
          </w:tcPr>
          <w:p>
            <w:pPr>
              <w:spacing w:before="20" w:after="20"/>
              <w:jc w:val="right"/>
            </w:pPr>
            <w:r/>
            <w:r>
              <w:rPr>
                <w:rFonts w:ascii="Times New Roman" w:hAnsi="Times New Roman"/>
                <w:b w:val="0"/>
                <w:sz w:val="15"/>
              </w:rPr>
              <w:t>91,433</w:t>
            </w:r>
          </w:p>
        </w:tc>
        <w:tc>
          <w:tcPr>
            <w:tcW w:type="dxa" w:w="1080"/>
          </w:tcPr>
          <w:p>
            <w:pPr>
              <w:spacing w:before="20" w:after="20"/>
              <w:jc w:val="right"/>
            </w:pPr>
            <w:r/>
            <w:r>
              <w:rPr>
                <w:rFonts w:ascii="Times New Roman" w:hAnsi="Times New Roman"/>
                <w:b w:val="0"/>
                <w:sz w:val="15"/>
              </w:rPr>
              <w:t>54.9</w:t>
            </w:r>
          </w:p>
        </w:tc>
        <w:tc>
          <w:tcPr>
            <w:tcW w:type="dxa" w:w="1080"/>
          </w:tcPr>
          <w:p>
            <w:pPr>
              <w:spacing w:before="20" w:after="20"/>
              <w:jc w:val="right"/>
            </w:pPr>
            <w:r/>
            <w:r>
              <w:rPr>
                <w:rFonts w:ascii="Times New Roman" w:hAnsi="Times New Roman"/>
                <w:b w:val="0"/>
                <w:sz w:val="15"/>
              </w:rPr>
              <w:t>55,860</w:t>
            </w:r>
          </w:p>
        </w:tc>
        <w:tc>
          <w:tcPr>
            <w:tcW w:type="dxa" w:w="1080"/>
          </w:tcPr>
          <w:p>
            <w:pPr>
              <w:spacing w:before="20" w:after="20"/>
              <w:jc w:val="right"/>
            </w:pPr>
            <w:r/>
            <w:r>
              <w:rPr>
                <w:rFonts w:ascii="Times New Roman" w:hAnsi="Times New Roman"/>
                <w:b w:val="0"/>
                <w:sz w:val="15"/>
              </w:rPr>
              <w:t>33.6</w:t>
            </w:r>
          </w:p>
        </w:tc>
        <w:tc>
          <w:tcPr>
            <w:tcW w:type="dxa" w:w="1080"/>
          </w:tcPr>
          <w:p>
            <w:pPr>
              <w:spacing w:before="20" w:after="20"/>
              <w:jc w:val="right"/>
            </w:pPr>
            <w:r/>
            <w:r>
              <w:rPr>
                <w:rFonts w:ascii="Times New Roman" w:hAnsi="Times New Roman"/>
                <w:b w:val="0"/>
                <w:sz w:val="15"/>
              </w:rPr>
              <w:t>166,407</w:t>
            </w:r>
          </w:p>
        </w:tc>
      </w:tr>
      <w:tr>
        <w:trPr>
          <w:cantSplit/>
        </w:trPr>
        <w:tc>
          <w:tcPr>
            <w:tcW w:type="dxa" w:w="1080"/>
          </w:tcPr>
          <w:p>
            <w:pPr>
              <w:spacing w:before="20" w:after="20"/>
              <w:jc w:val="center"/>
            </w:pPr>
            <w:r/>
            <w:r>
              <w:rPr>
                <w:rFonts w:ascii="Times New Roman" w:hAnsi="Times New Roman"/>
                <w:b w:val="0"/>
                <w:sz w:val="15"/>
              </w:rPr>
              <w:t>2037</w:t>
            </w:r>
          </w:p>
        </w:tc>
        <w:tc>
          <w:tcPr>
            <w:tcW w:type="dxa" w:w="1080"/>
          </w:tcPr>
          <w:p>
            <w:pPr>
              <w:spacing w:before="20" w:after="20"/>
              <w:jc w:val="right"/>
            </w:pPr>
            <w:r/>
            <w:r>
              <w:rPr>
                <w:rFonts w:ascii="Times New Roman" w:hAnsi="Times New Roman"/>
                <w:b w:val="0"/>
                <w:sz w:val="15"/>
              </w:rPr>
              <w:t>158,942</w:t>
            </w:r>
          </w:p>
        </w:tc>
        <w:tc>
          <w:tcPr>
            <w:tcW w:type="dxa" w:w="1080"/>
          </w:tcPr>
          <w:p>
            <w:pPr>
              <w:spacing w:before="20" w:after="20"/>
              <w:jc w:val="right"/>
            </w:pPr>
            <w:r/>
            <w:r>
              <w:rPr>
                <w:rFonts w:ascii="Times New Roman" w:hAnsi="Times New Roman"/>
                <w:b w:val="0"/>
                <w:sz w:val="15"/>
              </w:rPr>
              <w:t>92.4</w:t>
            </w:r>
          </w:p>
        </w:tc>
        <w:tc>
          <w:tcPr>
            <w:tcW w:type="dxa" w:w="1080"/>
          </w:tcPr>
          <w:p>
            <w:pPr>
              <w:spacing w:before="20" w:after="20"/>
              <w:jc w:val="right"/>
            </w:pPr>
            <w:r/>
            <w:r>
              <w:rPr>
                <w:rFonts w:ascii="Times New Roman" w:hAnsi="Times New Roman"/>
                <w:b w:val="0"/>
                <w:sz w:val="15"/>
              </w:rPr>
              <w:t>107,771</w:t>
            </w:r>
          </w:p>
        </w:tc>
        <w:tc>
          <w:tcPr>
            <w:tcW w:type="dxa" w:w="1080"/>
          </w:tcPr>
          <w:p>
            <w:pPr>
              <w:spacing w:before="20" w:after="20"/>
              <w:jc w:val="right"/>
            </w:pPr>
            <w:r/>
            <w:r>
              <w:rPr>
                <w:rFonts w:ascii="Times New Roman" w:hAnsi="Times New Roman"/>
                <w:b w:val="0"/>
                <w:sz w:val="15"/>
              </w:rPr>
              <w:t>62.6</w:t>
            </w:r>
          </w:p>
        </w:tc>
        <w:tc>
          <w:tcPr>
            <w:tcW w:type="dxa" w:w="1080"/>
          </w:tcPr>
          <w:p>
            <w:pPr>
              <w:spacing w:before="20" w:after="20"/>
              <w:jc w:val="right"/>
            </w:pPr>
            <w:r/>
            <w:r>
              <w:rPr>
                <w:rFonts w:ascii="Times New Roman" w:hAnsi="Times New Roman"/>
                <w:b w:val="0"/>
                <w:sz w:val="15"/>
              </w:rPr>
              <w:t>65,662</w:t>
            </w:r>
          </w:p>
        </w:tc>
        <w:tc>
          <w:tcPr>
            <w:tcW w:type="dxa" w:w="1080"/>
          </w:tcPr>
          <w:p>
            <w:pPr>
              <w:spacing w:before="20" w:after="20"/>
              <w:jc w:val="right"/>
            </w:pPr>
            <w:r/>
            <w:r>
              <w:rPr>
                <w:rFonts w:ascii="Times New Roman" w:hAnsi="Times New Roman"/>
                <w:b w:val="0"/>
                <w:sz w:val="15"/>
              </w:rPr>
              <w:t>38.2</w:t>
            </w:r>
          </w:p>
        </w:tc>
        <w:tc>
          <w:tcPr>
            <w:tcW w:type="dxa" w:w="1080"/>
          </w:tcPr>
          <w:p>
            <w:pPr>
              <w:spacing w:before="20" w:after="20"/>
              <w:jc w:val="right"/>
            </w:pPr>
            <w:r/>
            <w:r>
              <w:rPr>
                <w:rFonts w:ascii="Times New Roman" w:hAnsi="Times New Roman"/>
                <w:b w:val="0"/>
                <w:sz w:val="15"/>
              </w:rPr>
              <w:t>172,072</w:t>
            </w:r>
          </w:p>
        </w:tc>
      </w:tr>
      <w:tr>
        <w:trPr>
          <w:cantSplit/>
        </w:trPr>
        <w:tc>
          <w:tcPr>
            <w:tcW w:type="dxa" w:w="1080"/>
          </w:tcPr>
          <w:p>
            <w:pPr>
              <w:spacing w:before="20" w:after="20"/>
              <w:jc w:val="center"/>
            </w:pPr>
            <w:r/>
            <w:r>
              <w:rPr>
                <w:rFonts w:ascii="Times New Roman" w:hAnsi="Times New Roman"/>
                <w:b w:val="0"/>
                <w:sz w:val="15"/>
              </w:rPr>
              <w:t>2038</w:t>
            </w:r>
          </w:p>
        </w:tc>
        <w:tc>
          <w:tcPr>
            <w:tcW w:type="dxa" w:w="1080"/>
          </w:tcPr>
          <w:p>
            <w:pPr>
              <w:spacing w:before="20" w:after="20"/>
              <w:jc w:val="right"/>
            </w:pPr>
            <w:r/>
            <w:r>
              <w:rPr>
                <w:rFonts w:ascii="Times New Roman" w:hAnsi="Times New Roman"/>
                <w:b w:val="0"/>
                <w:sz w:val="15"/>
              </w:rPr>
              <w:t>184,573</w:t>
            </w:r>
          </w:p>
        </w:tc>
        <w:tc>
          <w:tcPr>
            <w:tcW w:type="dxa" w:w="1080"/>
          </w:tcPr>
          <w:p>
            <w:pPr>
              <w:spacing w:before="20" w:after="20"/>
              <w:jc w:val="right"/>
            </w:pPr>
            <w:r/>
            <w:r>
              <w:rPr>
                <w:rFonts w:ascii="Times New Roman" w:hAnsi="Times New Roman"/>
                <w:b w:val="0"/>
                <w:sz w:val="15"/>
              </w:rPr>
              <w:t>103.8</w:t>
            </w:r>
          </w:p>
        </w:tc>
        <w:tc>
          <w:tcPr>
            <w:tcW w:type="dxa" w:w="1080"/>
          </w:tcPr>
          <w:p>
            <w:pPr>
              <w:spacing w:before="20" w:after="20"/>
              <w:jc w:val="right"/>
            </w:pPr>
            <w:r/>
            <w:r>
              <w:rPr>
                <w:rFonts w:ascii="Times New Roman" w:hAnsi="Times New Roman"/>
                <w:b w:val="0"/>
                <w:sz w:val="15"/>
              </w:rPr>
              <w:t>126,681</w:t>
            </w:r>
          </w:p>
        </w:tc>
        <w:tc>
          <w:tcPr>
            <w:tcW w:type="dxa" w:w="1080"/>
          </w:tcPr>
          <w:p>
            <w:pPr>
              <w:spacing w:before="20" w:after="20"/>
              <w:jc w:val="right"/>
            </w:pPr>
            <w:r/>
            <w:r>
              <w:rPr>
                <w:rFonts w:ascii="Times New Roman" w:hAnsi="Times New Roman"/>
                <w:b w:val="0"/>
                <w:sz w:val="15"/>
              </w:rPr>
              <w:t>71.2</w:t>
            </w:r>
          </w:p>
        </w:tc>
        <w:tc>
          <w:tcPr>
            <w:tcW w:type="dxa" w:w="1080"/>
          </w:tcPr>
          <w:p>
            <w:pPr>
              <w:spacing w:before="20" w:after="20"/>
              <w:jc w:val="right"/>
            </w:pPr>
            <w:r/>
            <w:r>
              <w:rPr>
                <w:rFonts w:ascii="Times New Roman" w:hAnsi="Times New Roman"/>
                <w:b w:val="0"/>
                <w:sz w:val="15"/>
              </w:rPr>
              <w:t>77,053</w:t>
            </w:r>
          </w:p>
        </w:tc>
        <w:tc>
          <w:tcPr>
            <w:tcW w:type="dxa" w:w="1080"/>
          </w:tcPr>
          <w:p>
            <w:pPr>
              <w:spacing w:before="20" w:after="20"/>
              <w:jc w:val="right"/>
            </w:pPr>
            <w:r/>
            <w:r>
              <w:rPr>
                <w:rFonts w:ascii="Times New Roman" w:hAnsi="Times New Roman"/>
                <w:b w:val="0"/>
                <w:sz w:val="15"/>
              </w:rPr>
              <w:t>43.3</w:t>
            </w:r>
          </w:p>
        </w:tc>
        <w:tc>
          <w:tcPr>
            <w:tcW w:type="dxa" w:w="1080"/>
          </w:tcPr>
          <w:p>
            <w:pPr>
              <w:spacing w:before="20" w:after="20"/>
              <w:jc w:val="right"/>
            </w:pPr>
            <w:r/>
            <w:r>
              <w:rPr>
                <w:rFonts w:ascii="Times New Roman" w:hAnsi="Times New Roman"/>
                <w:b w:val="0"/>
                <w:sz w:val="15"/>
              </w:rPr>
              <w:t>177,831</w:t>
            </w:r>
          </w:p>
        </w:tc>
      </w:tr>
      <w:tr>
        <w:trPr>
          <w:cantSplit/>
        </w:trPr>
        <w:tc>
          <w:tcPr>
            <w:tcW w:type="dxa" w:w="1080"/>
          </w:tcPr>
          <w:p>
            <w:pPr>
              <w:spacing w:before="20" w:after="20"/>
              <w:jc w:val="center"/>
            </w:pPr>
            <w:r/>
            <w:r>
              <w:rPr>
                <w:rFonts w:ascii="Times New Roman" w:hAnsi="Times New Roman"/>
                <w:b w:val="0"/>
                <w:sz w:val="15"/>
              </w:rPr>
              <w:t>2039</w:t>
            </w:r>
          </w:p>
        </w:tc>
        <w:tc>
          <w:tcPr>
            <w:tcW w:type="dxa" w:w="1080"/>
          </w:tcPr>
          <w:p>
            <w:pPr>
              <w:spacing w:before="20" w:after="20"/>
              <w:jc w:val="right"/>
            </w:pPr>
            <w:r/>
            <w:r>
              <w:rPr>
                <w:rFonts w:ascii="Times New Roman" w:hAnsi="Times New Roman"/>
                <w:b w:val="0"/>
                <w:sz w:val="15"/>
              </w:rPr>
              <w:t>213,305</w:t>
            </w:r>
          </w:p>
        </w:tc>
        <w:tc>
          <w:tcPr>
            <w:tcW w:type="dxa" w:w="1080"/>
          </w:tcPr>
          <w:p>
            <w:pPr>
              <w:spacing w:before="20" w:after="20"/>
              <w:jc w:val="right"/>
            </w:pPr>
            <w:r/>
            <w:r>
              <w:rPr>
                <w:rFonts w:ascii="Times New Roman" w:hAnsi="Times New Roman"/>
                <w:b w:val="0"/>
                <w:sz w:val="15"/>
              </w:rPr>
              <w:t>116.2</w:t>
            </w:r>
          </w:p>
        </w:tc>
        <w:tc>
          <w:tcPr>
            <w:tcW w:type="dxa" w:w="1080"/>
          </w:tcPr>
          <w:p>
            <w:pPr>
              <w:spacing w:before="20" w:after="20"/>
              <w:jc w:val="right"/>
            </w:pPr>
            <w:r/>
            <w:r>
              <w:rPr>
                <w:rFonts w:ascii="Times New Roman" w:hAnsi="Times New Roman"/>
                <w:b w:val="0"/>
                <w:sz w:val="15"/>
              </w:rPr>
              <w:t>148,440</w:t>
            </w:r>
          </w:p>
        </w:tc>
        <w:tc>
          <w:tcPr>
            <w:tcW w:type="dxa" w:w="1080"/>
          </w:tcPr>
          <w:p>
            <w:pPr>
              <w:spacing w:before="20" w:after="20"/>
              <w:jc w:val="right"/>
            </w:pPr>
            <w:r/>
            <w:r>
              <w:rPr>
                <w:rFonts w:ascii="Times New Roman" w:hAnsi="Times New Roman"/>
                <w:b w:val="0"/>
                <w:sz w:val="15"/>
              </w:rPr>
              <w:t>80.9</w:t>
            </w:r>
          </w:p>
        </w:tc>
        <w:tc>
          <w:tcPr>
            <w:tcW w:type="dxa" w:w="1080"/>
          </w:tcPr>
          <w:p>
            <w:pPr>
              <w:spacing w:before="20" w:after="20"/>
              <w:jc w:val="right"/>
            </w:pPr>
            <w:r/>
            <w:r>
              <w:rPr>
                <w:rFonts w:ascii="Times New Roman" w:hAnsi="Times New Roman"/>
                <w:b w:val="0"/>
                <w:sz w:val="15"/>
              </w:rPr>
              <w:t>90,288</w:t>
            </w:r>
          </w:p>
        </w:tc>
        <w:tc>
          <w:tcPr>
            <w:tcW w:type="dxa" w:w="1080"/>
          </w:tcPr>
          <w:p>
            <w:pPr>
              <w:spacing w:before="20" w:after="20"/>
              <w:jc w:val="right"/>
            </w:pPr>
            <w:r/>
            <w:r>
              <w:rPr>
                <w:rFonts w:ascii="Times New Roman" w:hAnsi="Times New Roman"/>
                <w:b w:val="0"/>
                <w:sz w:val="15"/>
              </w:rPr>
              <w:t>49.2</w:t>
            </w:r>
          </w:p>
        </w:tc>
        <w:tc>
          <w:tcPr>
            <w:tcW w:type="dxa" w:w="1080"/>
          </w:tcPr>
          <w:p>
            <w:pPr>
              <w:spacing w:before="20" w:after="20"/>
              <w:jc w:val="right"/>
            </w:pPr>
            <w:r/>
            <w:r>
              <w:rPr>
                <w:rFonts w:ascii="Times New Roman" w:hAnsi="Times New Roman"/>
                <w:b w:val="0"/>
                <w:sz w:val="15"/>
              </w:rPr>
              <w:t>183,562</w:t>
            </w:r>
          </w:p>
        </w:tc>
      </w:tr>
      <w:tr>
        <w:trPr>
          <w:cantSplit/>
        </w:trPr>
        <w:tc>
          <w:tcPr>
            <w:tcW w:type="dxa" w:w="1080"/>
          </w:tcPr>
          <w:p>
            <w:pPr>
              <w:spacing w:before="20" w:after="20"/>
              <w:jc w:val="center"/>
            </w:pPr>
            <w:r/>
            <w:r>
              <w:rPr>
                <w:rFonts w:ascii="Times New Roman" w:hAnsi="Times New Roman"/>
                <w:b w:val="0"/>
                <w:sz w:val="15"/>
              </w:rPr>
              <w:t>2040</w:t>
            </w:r>
          </w:p>
        </w:tc>
        <w:tc>
          <w:tcPr>
            <w:tcW w:type="dxa" w:w="1080"/>
          </w:tcPr>
          <w:p>
            <w:pPr>
              <w:spacing w:before="20" w:after="20"/>
              <w:jc w:val="right"/>
            </w:pPr>
            <w:r/>
            <w:r>
              <w:rPr>
                <w:rFonts w:ascii="Times New Roman" w:hAnsi="Times New Roman"/>
                <w:b w:val="0"/>
                <w:sz w:val="15"/>
              </w:rPr>
              <w:t>245,396</w:t>
            </w:r>
          </w:p>
        </w:tc>
        <w:tc>
          <w:tcPr>
            <w:tcW w:type="dxa" w:w="1080"/>
          </w:tcPr>
          <w:p>
            <w:pPr>
              <w:spacing w:before="20" w:after="20"/>
              <w:jc w:val="right"/>
            </w:pPr>
            <w:r/>
            <w:r>
              <w:rPr>
                <w:rFonts w:ascii="Times New Roman" w:hAnsi="Times New Roman"/>
                <w:b w:val="0"/>
                <w:sz w:val="15"/>
              </w:rPr>
              <w:t>129.6</w:t>
            </w:r>
          </w:p>
        </w:tc>
        <w:tc>
          <w:tcPr>
            <w:tcW w:type="dxa" w:w="1080"/>
          </w:tcPr>
          <w:p>
            <w:pPr>
              <w:spacing w:before="20" w:after="20"/>
              <w:jc w:val="right"/>
            </w:pPr>
            <w:r/>
            <w:r>
              <w:rPr>
                <w:rFonts w:ascii="Times New Roman" w:hAnsi="Times New Roman"/>
                <w:b w:val="0"/>
                <w:sz w:val="15"/>
              </w:rPr>
              <w:t>173,421</w:t>
            </w:r>
          </w:p>
        </w:tc>
        <w:tc>
          <w:tcPr>
            <w:tcW w:type="dxa" w:w="1080"/>
          </w:tcPr>
          <w:p>
            <w:pPr>
              <w:spacing w:before="20" w:after="20"/>
              <w:jc w:val="right"/>
            </w:pPr>
            <w:r/>
            <w:r>
              <w:rPr>
                <w:rFonts w:ascii="Times New Roman" w:hAnsi="Times New Roman"/>
                <w:b w:val="0"/>
                <w:sz w:val="15"/>
              </w:rPr>
              <w:t>91.6</w:t>
            </w:r>
          </w:p>
        </w:tc>
        <w:tc>
          <w:tcPr>
            <w:tcW w:type="dxa" w:w="1080"/>
          </w:tcPr>
          <w:p>
            <w:pPr>
              <w:spacing w:before="20" w:after="20"/>
              <w:jc w:val="right"/>
            </w:pPr>
            <w:r/>
            <w:r>
              <w:rPr>
                <w:rFonts w:ascii="Times New Roman" w:hAnsi="Times New Roman"/>
                <w:b w:val="0"/>
                <w:sz w:val="15"/>
              </w:rPr>
              <w:t>105,727</w:t>
            </w:r>
          </w:p>
        </w:tc>
        <w:tc>
          <w:tcPr>
            <w:tcW w:type="dxa" w:w="1080"/>
          </w:tcPr>
          <w:p>
            <w:pPr>
              <w:spacing w:before="20" w:after="20"/>
              <w:jc w:val="right"/>
            </w:pPr>
            <w:r/>
            <w:r>
              <w:rPr>
                <w:rFonts w:ascii="Times New Roman" w:hAnsi="Times New Roman"/>
                <w:b w:val="0"/>
                <w:sz w:val="15"/>
              </w:rPr>
              <w:t>55.8</w:t>
            </w:r>
          </w:p>
        </w:tc>
        <w:tc>
          <w:tcPr>
            <w:tcW w:type="dxa" w:w="1080"/>
          </w:tcPr>
          <w:p>
            <w:pPr>
              <w:spacing w:before="20" w:after="20"/>
              <w:jc w:val="right"/>
            </w:pPr>
            <w:r/>
            <w:r>
              <w:rPr>
                <w:rFonts w:ascii="Times New Roman" w:hAnsi="Times New Roman"/>
                <w:b w:val="0"/>
                <w:sz w:val="15"/>
              </w:rPr>
              <w:t>189,375</w:t>
            </w:r>
          </w:p>
        </w:tc>
      </w:tr>
      <w:tr>
        <w:trPr>
          <w:cantSplit/>
        </w:trPr>
        <w:tc>
          <w:tcPr>
            <w:tcW w:type="dxa" w:w="1080"/>
          </w:tcPr>
          <w:p>
            <w:pPr>
              <w:spacing w:before="20" w:after="20"/>
              <w:jc w:val="center"/>
            </w:pPr>
            <w:r/>
            <w:r>
              <w:rPr>
                <w:rFonts w:ascii="Times New Roman" w:hAnsi="Times New Roman"/>
                <w:b w:val="0"/>
                <w:sz w:val="15"/>
              </w:rPr>
              <w:t>2041</w:t>
            </w:r>
          </w:p>
        </w:tc>
        <w:tc>
          <w:tcPr>
            <w:tcW w:type="dxa" w:w="1080"/>
          </w:tcPr>
          <w:p>
            <w:pPr>
              <w:spacing w:before="20" w:after="20"/>
              <w:jc w:val="right"/>
            </w:pPr>
            <w:r/>
            <w:r>
              <w:rPr>
                <w:rFonts w:ascii="Times New Roman" w:hAnsi="Times New Roman"/>
                <w:b w:val="0"/>
                <w:sz w:val="15"/>
              </w:rPr>
              <w:t>280,614</w:t>
            </w:r>
          </w:p>
        </w:tc>
        <w:tc>
          <w:tcPr>
            <w:tcW w:type="dxa" w:w="1080"/>
          </w:tcPr>
          <w:p>
            <w:pPr>
              <w:spacing w:before="20" w:after="20"/>
              <w:jc w:val="right"/>
            </w:pPr>
            <w:r/>
            <w:r>
              <w:rPr>
                <w:rFonts w:ascii="Times New Roman" w:hAnsi="Times New Roman"/>
                <w:b w:val="0"/>
                <w:sz w:val="15"/>
              </w:rPr>
              <w:t>143.7</w:t>
            </w:r>
          </w:p>
        </w:tc>
        <w:tc>
          <w:tcPr>
            <w:tcW w:type="dxa" w:w="1080"/>
          </w:tcPr>
          <w:p>
            <w:pPr>
              <w:spacing w:before="20" w:after="20"/>
              <w:jc w:val="right"/>
            </w:pPr>
            <w:r/>
            <w:r>
              <w:rPr>
                <w:rFonts w:ascii="Times New Roman" w:hAnsi="Times New Roman"/>
                <w:b w:val="0"/>
                <w:sz w:val="15"/>
              </w:rPr>
              <w:t>201,635</w:t>
            </w:r>
          </w:p>
        </w:tc>
        <w:tc>
          <w:tcPr>
            <w:tcW w:type="dxa" w:w="1080"/>
          </w:tcPr>
          <w:p>
            <w:pPr>
              <w:spacing w:before="20" w:after="20"/>
              <w:jc w:val="right"/>
            </w:pPr>
            <w:r/>
            <w:r>
              <w:rPr>
                <w:rFonts w:ascii="Times New Roman" w:hAnsi="Times New Roman"/>
                <w:b w:val="0"/>
                <w:sz w:val="15"/>
              </w:rPr>
              <w:t>103.3</w:t>
            </w:r>
          </w:p>
        </w:tc>
        <w:tc>
          <w:tcPr>
            <w:tcW w:type="dxa" w:w="1080"/>
          </w:tcPr>
          <w:p>
            <w:pPr>
              <w:spacing w:before="20" w:after="20"/>
              <w:jc w:val="right"/>
            </w:pPr>
            <w:r/>
            <w:r>
              <w:rPr>
                <w:rFonts w:ascii="Times New Roman" w:hAnsi="Times New Roman"/>
                <w:b w:val="0"/>
                <w:sz w:val="15"/>
              </w:rPr>
              <w:t>123,535</w:t>
            </w:r>
          </w:p>
        </w:tc>
        <w:tc>
          <w:tcPr>
            <w:tcW w:type="dxa" w:w="1080"/>
          </w:tcPr>
          <w:p>
            <w:pPr>
              <w:spacing w:before="20" w:after="20"/>
              <w:jc w:val="right"/>
            </w:pPr>
            <w:r/>
            <w:r>
              <w:rPr>
                <w:rFonts w:ascii="Times New Roman" w:hAnsi="Times New Roman"/>
                <w:b w:val="0"/>
                <w:sz w:val="15"/>
              </w:rPr>
              <w:t>63.3</w:t>
            </w:r>
          </w:p>
        </w:tc>
        <w:tc>
          <w:tcPr>
            <w:tcW w:type="dxa" w:w="1080"/>
          </w:tcPr>
          <w:p>
            <w:pPr>
              <w:spacing w:before="20" w:after="20"/>
              <w:jc w:val="right"/>
            </w:pPr>
            <w:r/>
            <w:r>
              <w:rPr>
                <w:rFonts w:ascii="Times New Roman" w:hAnsi="Times New Roman"/>
                <w:b w:val="0"/>
                <w:sz w:val="15"/>
              </w:rPr>
              <w:t>195,243</w:t>
            </w:r>
          </w:p>
        </w:tc>
      </w:tr>
      <w:tr>
        <w:trPr>
          <w:cantSplit/>
        </w:trPr>
        <w:tc>
          <w:tcPr>
            <w:tcW w:type="dxa" w:w="1080"/>
          </w:tcPr>
          <w:p>
            <w:pPr>
              <w:spacing w:before="20" w:after="20"/>
              <w:jc w:val="center"/>
            </w:pPr>
            <w:r/>
            <w:r>
              <w:rPr>
                <w:rFonts w:ascii="Times New Roman" w:hAnsi="Times New Roman"/>
                <w:b w:val="0"/>
                <w:sz w:val="15"/>
              </w:rPr>
              <w:t>2042</w:t>
            </w:r>
          </w:p>
        </w:tc>
        <w:tc>
          <w:tcPr>
            <w:tcW w:type="dxa" w:w="1080"/>
          </w:tcPr>
          <w:p>
            <w:pPr>
              <w:spacing w:before="20" w:after="20"/>
              <w:jc w:val="right"/>
            </w:pPr>
            <w:r/>
            <w:r>
              <w:rPr>
                <w:rFonts w:ascii="Times New Roman" w:hAnsi="Times New Roman"/>
                <w:b w:val="0"/>
                <w:sz w:val="15"/>
              </w:rPr>
              <w:t>317,071</w:t>
            </w:r>
          </w:p>
        </w:tc>
        <w:tc>
          <w:tcPr>
            <w:tcW w:type="dxa" w:w="1080"/>
          </w:tcPr>
          <w:p>
            <w:pPr>
              <w:spacing w:before="20" w:after="20"/>
              <w:jc w:val="right"/>
            </w:pPr>
            <w:r/>
            <w:r>
              <w:rPr>
                <w:rFonts w:ascii="Times New Roman" w:hAnsi="Times New Roman"/>
                <w:b w:val="0"/>
                <w:sz w:val="15"/>
              </w:rPr>
              <w:t>157.6</w:t>
            </w:r>
          </w:p>
        </w:tc>
        <w:tc>
          <w:tcPr>
            <w:tcW w:type="dxa" w:w="1080"/>
          </w:tcPr>
          <w:p>
            <w:pPr>
              <w:spacing w:before="20" w:after="20"/>
              <w:jc w:val="right"/>
            </w:pPr>
            <w:r/>
            <w:r>
              <w:rPr>
                <w:rFonts w:ascii="Times New Roman" w:hAnsi="Times New Roman"/>
                <w:b w:val="0"/>
                <w:sz w:val="15"/>
              </w:rPr>
              <w:t>231,777</w:t>
            </w:r>
          </w:p>
        </w:tc>
        <w:tc>
          <w:tcPr>
            <w:tcW w:type="dxa" w:w="1080"/>
          </w:tcPr>
          <w:p>
            <w:pPr>
              <w:spacing w:before="20" w:after="20"/>
              <w:jc w:val="right"/>
            </w:pPr>
            <w:r/>
            <w:r>
              <w:rPr>
                <w:rFonts w:ascii="Times New Roman" w:hAnsi="Times New Roman"/>
                <w:b w:val="0"/>
                <w:sz w:val="15"/>
              </w:rPr>
              <w:t>115.2</w:t>
            </w:r>
          </w:p>
        </w:tc>
        <w:tc>
          <w:tcPr>
            <w:tcW w:type="dxa" w:w="1080"/>
          </w:tcPr>
          <w:p>
            <w:pPr>
              <w:spacing w:before="20" w:after="20"/>
              <w:jc w:val="right"/>
            </w:pPr>
            <w:r/>
            <w:r>
              <w:rPr>
                <w:rFonts w:ascii="Times New Roman" w:hAnsi="Times New Roman"/>
                <w:b w:val="0"/>
                <w:sz w:val="15"/>
              </w:rPr>
              <w:t>143,037</w:t>
            </w:r>
          </w:p>
        </w:tc>
        <w:tc>
          <w:tcPr>
            <w:tcW w:type="dxa" w:w="1080"/>
          </w:tcPr>
          <w:p>
            <w:pPr>
              <w:spacing w:before="20" w:after="20"/>
              <w:jc w:val="right"/>
            </w:pPr>
            <w:r/>
            <w:r>
              <w:rPr>
                <w:rFonts w:ascii="Times New Roman" w:hAnsi="Times New Roman"/>
                <w:b w:val="0"/>
                <w:sz w:val="15"/>
              </w:rPr>
              <w:t>71.1</w:t>
            </w:r>
          </w:p>
        </w:tc>
        <w:tc>
          <w:tcPr>
            <w:tcW w:type="dxa" w:w="1080"/>
          </w:tcPr>
          <w:p>
            <w:pPr>
              <w:spacing w:before="20" w:after="20"/>
              <w:jc w:val="right"/>
            </w:pPr>
            <w:r/>
            <w:r>
              <w:rPr>
                <w:rFonts w:ascii="Times New Roman" w:hAnsi="Times New Roman"/>
                <w:b w:val="0"/>
                <w:sz w:val="15"/>
              </w:rPr>
              <w:t>201,180</w:t>
            </w:r>
          </w:p>
        </w:tc>
      </w:tr>
      <w:tr>
        <w:trPr>
          <w:cantSplit/>
        </w:trPr>
        <w:tc>
          <w:tcPr>
            <w:tcW w:type="dxa" w:w="1080"/>
          </w:tcPr>
          <w:p>
            <w:pPr>
              <w:spacing w:before="20" w:after="20"/>
              <w:jc w:val="center"/>
            </w:pPr>
            <w:r/>
            <w:r>
              <w:rPr>
                <w:rFonts w:ascii="Times New Roman" w:hAnsi="Times New Roman"/>
                <w:b w:val="0"/>
                <w:sz w:val="15"/>
              </w:rPr>
              <w:t>2043</w:t>
            </w:r>
          </w:p>
        </w:tc>
        <w:tc>
          <w:tcPr>
            <w:tcW w:type="dxa" w:w="1080"/>
          </w:tcPr>
          <w:p>
            <w:pPr>
              <w:spacing w:before="20" w:after="20"/>
              <w:jc w:val="right"/>
            </w:pPr>
            <w:r/>
            <w:r>
              <w:rPr>
                <w:rFonts w:ascii="Times New Roman" w:hAnsi="Times New Roman"/>
                <w:b w:val="0"/>
                <w:sz w:val="15"/>
              </w:rPr>
              <w:t>356,159</w:t>
            </w:r>
          </w:p>
        </w:tc>
        <w:tc>
          <w:tcPr>
            <w:tcW w:type="dxa" w:w="1080"/>
          </w:tcPr>
          <w:p>
            <w:pPr>
              <w:spacing w:before="20" w:after="20"/>
              <w:jc w:val="right"/>
            </w:pPr>
            <w:r/>
            <w:r>
              <w:rPr>
                <w:rFonts w:ascii="Times New Roman" w:hAnsi="Times New Roman"/>
                <w:b w:val="0"/>
                <w:sz w:val="15"/>
              </w:rPr>
              <w:t>171.9</w:t>
            </w:r>
          </w:p>
        </w:tc>
        <w:tc>
          <w:tcPr>
            <w:tcW w:type="dxa" w:w="1080"/>
          </w:tcPr>
          <w:p>
            <w:pPr>
              <w:spacing w:before="20" w:after="20"/>
              <w:jc w:val="right"/>
            </w:pPr>
            <w:r/>
            <w:r>
              <w:rPr>
                <w:rFonts w:ascii="Times New Roman" w:hAnsi="Times New Roman"/>
                <w:b w:val="0"/>
                <w:sz w:val="15"/>
              </w:rPr>
              <w:t>264,997</w:t>
            </w:r>
          </w:p>
        </w:tc>
        <w:tc>
          <w:tcPr>
            <w:tcW w:type="dxa" w:w="1080"/>
          </w:tcPr>
          <w:p>
            <w:pPr>
              <w:spacing w:before="20" w:after="20"/>
              <w:jc w:val="right"/>
            </w:pPr>
            <w:r/>
            <w:r>
              <w:rPr>
                <w:rFonts w:ascii="Times New Roman" w:hAnsi="Times New Roman"/>
                <w:b w:val="0"/>
                <w:sz w:val="15"/>
              </w:rPr>
              <w:t>127.9</w:t>
            </w:r>
          </w:p>
        </w:tc>
        <w:tc>
          <w:tcPr>
            <w:tcW w:type="dxa" w:w="1080"/>
          </w:tcPr>
          <w:p>
            <w:pPr>
              <w:spacing w:before="20" w:after="20"/>
              <w:jc w:val="right"/>
            </w:pPr>
            <w:r/>
            <w:r>
              <w:rPr>
                <w:rFonts w:ascii="Times New Roman" w:hAnsi="Times New Roman"/>
                <w:b w:val="0"/>
                <w:sz w:val="15"/>
              </w:rPr>
              <w:t>165,175</w:t>
            </w:r>
          </w:p>
        </w:tc>
        <w:tc>
          <w:tcPr>
            <w:tcW w:type="dxa" w:w="1080"/>
          </w:tcPr>
          <w:p>
            <w:pPr>
              <w:spacing w:before="20" w:after="20"/>
              <w:jc w:val="right"/>
            </w:pPr>
            <w:r/>
            <w:r>
              <w:rPr>
                <w:rFonts w:ascii="Times New Roman" w:hAnsi="Times New Roman"/>
                <w:b w:val="0"/>
                <w:sz w:val="15"/>
              </w:rPr>
              <w:t>79.7</w:t>
            </w:r>
          </w:p>
        </w:tc>
        <w:tc>
          <w:tcPr>
            <w:tcW w:type="dxa" w:w="1080"/>
          </w:tcPr>
          <w:p>
            <w:pPr>
              <w:spacing w:before="20" w:after="20"/>
              <w:jc w:val="right"/>
            </w:pPr>
            <w:r/>
            <w:r>
              <w:rPr>
                <w:rFonts w:ascii="Times New Roman" w:hAnsi="Times New Roman"/>
                <w:b w:val="0"/>
                <w:sz w:val="15"/>
              </w:rPr>
              <w:t>207,218</w:t>
            </w:r>
          </w:p>
        </w:tc>
      </w:tr>
      <w:tr>
        <w:trPr>
          <w:cantSplit/>
        </w:trPr>
        <w:tc>
          <w:tcPr>
            <w:tcW w:type="dxa" w:w="1080"/>
          </w:tcPr>
          <w:p>
            <w:pPr>
              <w:spacing w:before="20" w:after="20"/>
              <w:jc w:val="center"/>
            </w:pPr>
            <w:r/>
            <w:r>
              <w:rPr>
                <w:rFonts w:ascii="Times New Roman" w:hAnsi="Times New Roman"/>
                <w:b w:val="0"/>
                <w:sz w:val="15"/>
              </w:rPr>
              <w:t>2044</w:t>
            </w:r>
          </w:p>
        </w:tc>
        <w:tc>
          <w:tcPr>
            <w:tcW w:type="dxa" w:w="1080"/>
          </w:tcPr>
          <w:p>
            <w:pPr>
              <w:spacing w:before="20" w:after="20"/>
              <w:jc w:val="right"/>
            </w:pPr>
            <w:r/>
            <w:r>
              <w:rPr>
                <w:rFonts w:ascii="Times New Roman" w:hAnsi="Times New Roman"/>
                <w:b w:val="0"/>
                <w:sz w:val="15"/>
              </w:rPr>
              <w:t>395,612</w:t>
            </w:r>
          </w:p>
        </w:tc>
        <w:tc>
          <w:tcPr>
            <w:tcW w:type="dxa" w:w="1080"/>
          </w:tcPr>
          <w:p>
            <w:pPr>
              <w:spacing w:before="20" w:after="20"/>
              <w:jc w:val="right"/>
            </w:pPr>
            <w:r/>
            <w:r>
              <w:rPr>
                <w:rFonts w:ascii="Times New Roman" w:hAnsi="Times New Roman"/>
                <w:b w:val="0"/>
                <w:sz w:val="15"/>
              </w:rPr>
              <w:t>185.5</w:t>
            </w:r>
          </w:p>
        </w:tc>
        <w:tc>
          <w:tcPr>
            <w:tcW w:type="dxa" w:w="1080"/>
          </w:tcPr>
          <w:p>
            <w:pPr>
              <w:spacing w:before="20" w:after="20"/>
              <w:jc w:val="right"/>
            </w:pPr>
            <w:r/>
            <w:r>
              <w:rPr>
                <w:rFonts w:ascii="Times New Roman" w:hAnsi="Times New Roman"/>
                <w:b w:val="0"/>
                <w:sz w:val="15"/>
              </w:rPr>
              <w:t>299,551</w:t>
            </w:r>
          </w:p>
        </w:tc>
        <w:tc>
          <w:tcPr>
            <w:tcW w:type="dxa" w:w="1080"/>
          </w:tcPr>
          <w:p>
            <w:pPr>
              <w:spacing w:before="20" w:after="20"/>
              <w:jc w:val="right"/>
            </w:pPr>
            <w:r/>
            <w:r>
              <w:rPr>
                <w:rFonts w:ascii="Times New Roman" w:hAnsi="Times New Roman"/>
                <w:b w:val="0"/>
                <w:sz w:val="15"/>
              </w:rPr>
              <w:t>140.4</w:t>
            </w:r>
          </w:p>
        </w:tc>
        <w:tc>
          <w:tcPr>
            <w:tcW w:type="dxa" w:w="1080"/>
          </w:tcPr>
          <w:p>
            <w:pPr>
              <w:spacing w:before="20" w:after="20"/>
              <w:jc w:val="right"/>
            </w:pPr>
            <w:r/>
            <w:r>
              <w:rPr>
                <w:rFonts w:ascii="Times New Roman" w:hAnsi="Times New Roman"/>
                <w:b w:val="0"/>
                <w:sz w:val="15"/>
              </w:rPr>
              <w:t>188,951</w:t>
            </w:r>
          </w:p>
        </w:tc>
        <w:tc>
          <w:tcPr>
            <w:tcW w:type="dxa" w:w="1080"/>
          </w:tcPr>
          <w:p>
            <w:pPr>
              <w:spacing w:before="20" w:after="20"/>
              <w:jc w:val="right"/>
            </w:pPr>
            <w:r/>
            <w:r>
              <w:rPr>
                <w:rFonts w:ascii="Times New Roman" w:hAnsi="Times New Roman"/>
                <w:b w:val="0"/>
                <w:sz w:val="15"/>
              </w:rPr>
              <w:t>88.6</w:t>
            </w:r>
          </w:p>
        </w:tc>
        <w:tc>
          <w:tcPr>
            <w:tcW w:type="dxa" w:w="1080"/>
          </w:tcPr>
          <w:p>
            <w:pPr>
              <w:spacing w:before="20" w:after="20"/>
              <w:jc w:val="right"/>
            </w:pPr>
            <w:r/>
            <w:r>
              <w:rPr>
                <w:rFonts w:ascii="Times New Roman" w:hAnsi="Times New Roman"/>
                <w:b w:val="0"/>
                <w:sz w:val="15"/>
              </w:rPr>
              <w:t>213,320</w:t>
            </w:r>
          </w:p>
        </w:tc>
      </w:tr>
      <w:tr>
        <w:trPr>
          <w:cantSplit/>
        </w:trPr>
        <w:tc>
          <w:tcPr>
            <w:tcW w:type="dxa" w:w="1080"/>
          </w:tcPr>
          <w:p>
            <w:pPr>
              <w:spacing w:before="20" w:after="20"/>
              <w:jc w:val="center"/>
            </w:pPr>
            <w:r/>
            <w:r>
              <w:rPr>
                <w:rFonts w:ascii="Times New Roman" w:hAnsi="Times New Roman"/>
                <w:b w:val="0"/>
                <w:sz w:val="15"/>
              </w:rPr>
              <w:t>2045</w:t>
            </w:r>
          </w:p>
        </w:tc>
        <w:tc>
          <w:tcPr>
            <w:tcW w:type="dxa" w:w="1080"/>
          </w:tcPr>
          <w:p>
            <w:pPr>
              <w:spacing w:before="20" w:after="20"/>
              <w:jc w:val="right"/>
            </w:pPr>
            <w:r/>
            <w:r>
              <w:rPr>
                <w:rFonts w:ascii="Times New Roman" w:hAnsi="Times New Roman"/>
                <w:b w:val="0"/>
                <w:sz w:val="15"/>
              </w:rPr>
              <w:t>436,939</w:t>
            </w:r>
          </w:p>
        </w:tc>
        <w:tc>
          <w:tcPr>
            <w:tcW w:type="dxa" w:w="1080"/>
          </w:tcPr>
          <w:p>
            <w:pPr>
              <w:spacing w:before="20" w:after="20"/>
              <w:jc w:val="right"/>
            </w:pPr>
            <w:r/>
            <w:r>
              <w:rPr>
                <w:rFonts w:ascii="Times New Roman" w:hAnsi="Times New Roman"/>
                <w:b w:val="0"/>
                <w:sz w:val="15"/>
              </w:rPr>
              <w:t>199.0</w:t>
            </w:r>
          </w:p>
        </w:tc>
        <w:tc>
          <w:tcPr>
            <w:tcW w:type="dxa" w:w="1080"/>
          </w:tcPr>
          <w:p>
            <w:pPr>
              <w:spacing w:before="20" w:after="20"/>
              <w:jc w:val="right"/>
            </w:pPr>
            <w:r/>
            <w:r>
              <w:rPr>
                <w:rFonts w:ascii="Times New Roman" w:hAnsi="Times New Roman"/>
                <w:b w:val="0"/>
                <w:sz w:val="15"/>
              </w:rPr>
              <w:t>336,613</w:t>
            </w:r>
          </w:p>
        </w:tc>
        <w:tc>
          <w:tcPr>
            <w:tcW w:type="dxa" w:w="1080"/>
          </w:tcPr>
          <w:p>
            <w:pPr>
              <w:spacing w:before="20" w:after="20"/>
              <w:jc w:val="right"/>
            </w:pPr>
            <w:r/>
            <w:r>
              <w:rPr>
                <w:rFonts w:ascii="Times New Roman" w:hAnsi="Times New Roman"/>
                <w:b w:val="0"/>
                <w:sz w:val="15"/>
              </w:rPr>
              <w:t>153.3</w:t>
            </w:r>
          </w:p>
        </w:tc>
        <w:tc>
          <w:tcPr>
            <w:tcW w:type="dxa" w:w="1080"/>
          </w:tcPr>
          <w:p>
            <w:pPr>
              <w:spacing w:before="20" w:after="20"/>
              <w:jc w:val="right"/>
            </w:pPr>
            <w:r/>
            <w:r>
              <w:rPr>
                <w:rFonts w:ascii="Times New Roman" w:hAnsi="Times New Roman"/>
                <w:b w:val="0"/>
                <w:sz w:val="15"/>
              </w:rPr>
              <w:t>215,309</w:t>
            </w:r>
          </w:p>
        </w:tc>
        <w:tc>
          <w:tcPr>
            <w:tcW w:type="dxa" w:w="1080"/>
          </w:tcPr>
          <w:p>
            <w:pPr>
              <w:spacing w:before="20" w:after="20"/>
              <w:jc w:val="right"/>
            </w:pPr>
            <w:r/>
            <w:r>
              <w:rPr>
                <w:rFonts w:ascii="Times New Roman" w:hAnsi="Times New Roman"/>
                <w:b w:val="0"/>
                <w:sz w:val="15"/>
              </w:rPr>
              <w:t>98.0</w:t>
            </w:r>
          </w:p>
        </w:tc>
        <w:tc>
          <w:tcPr>
            <w:tcW w:type="dxa" w:w="1080"/>
          </w:tcPr>
          <w:p>
            <w:pPr>
              <w:spacing w:before="20" w:after="20"/>
              <w:jc w:val="right"/>
            </w:pPr>
            <w:r/>
            <w:r>
              <w:rPr>
                <w:rFonts w:ascii="Times New Roman" w:hAnsi="Times New Roman"/>
                <w:b w:val="0"/>
                <w:sz w:val="15"/>
              </w:rPr>
              <w:t>219,619</w:t>
            </w:r>
          </w:p>
        </w:tc>
      </w:tr>
      <w:tr>
        <w:trPr>
          <w:cantSplit/>
        </w:trPr>
        <w:tc>
          <w:tcPr>
            <w:tcW w:type="dxa" w:w="1080"/>
          </w:tcPr>
          <w:p>
            <w:pPr>
              <w:spacing w:before="20" w:after="20"/>
              <w:jc w:val="center"/>
            </w:pPr>
            <w:r/>
            <w:r>
              <w:rPr>
                <w:rFonts w:ascii="Times New Roman" w:hAnsi="Times New Roman"/>
                <w:b w:val="0"/>
                <w:sz w:val="15"/>
              </w:rPr>
              <w:t>2046</w:t>
            </w:r>
          </w:p>
        </w:tc>
        <w:tc>
          <w:tcPr>
            <w:tcW w:type="dxa" w:w="1080"/>
          </w:tcPr>
          <w:p>
            <w:pPr>
              <w:spacing w:before="20" w:after="20"/>
              <w:jc w:val="right"/>
            </w:pPr>
            <w:r/>
            <w:r>
              <w:rPr>
                <w:rFonts w:ascii="Times New Roman" w:hAnsi="Times New Roman"/>
                <w:b w:val="0"/>
                <w:sz w:val="15"/>
              </w:rPr>
              <w:t>479,028</w:t>
            </w:r>
          </w:p>
        </w:tc>
        <w:tc>
          <w:tcPr>
            <w:tcW w:type="dxa" w:w="1080"/>
          </w:tcPr>
          <w:p>
            <w:pPr>
              <w:spacing w:before="20" w:after="20"/>
              <w:jc w:val="right"/>
            </w:pPr>
            <w:r/>
            <w:r>
              <w:rPr>
                <w:rFonts w:ascii="Times New Roman" w:hAnsi="Times New Roman"/>
                <w:b w:val="0"/>
                <w:sz w:val="15"/>
              </w:rPr>
              <w:t>211.9</w:t>
            </w:r>
          </w:p>
        </w:tc>
        <w:tc>
          <w:tcPr>
            <w:tcW w:type="dxa" w:w="1080"/>
          </w:tcPr>
          <w:p>
            <w:pPr>
              <w:spacing w:before="20" w:after="20"/>
              <w:jc w:val="right"/>
            </w:pPr>
            <w:r/>
            <w:r>
              <w:rPr>
                <w:rFonts w:ascii="Times New Roman" w:hAnsi="Times New Roman"/>
                <w:b w:val="0"/>
                <w:sz w:val="15"/>
              </w:rPr>
              <w:t>375,225</w:t>
            </w:r>
          </w:p>
        </w:tc>
        <w:tc>
          <w:tcPr>
            <w:tcW w:type="dxa" w:w="1080"/>
          </w:tcPr>
          <w:p>
            <w:pPr>
              <w:spacing w:before="20" w:after="20"/>
              <w:jc w:val="right"/>
            </w:pPr>
            <w:r/>
            <w:r>
              <w:rPr>
                <w:rFonts w:ascii="Times New Roman" w:hAnsi="Times New Roman"/>
                <w:b w:val="0"/>
                <w:sz w:val="15"/>
              </w:rPr>
              <w:t>166.0</w:t>
            </w:r>
          </w:p>
        </w:tc>
        <w:tc>
          <w:tcPr>
            <w:tcW w:type="dxa" w:w="1080"/>
          </w:tcPr>
          <w:p>
            <w:pPr>
              <w:spacing w:before="20" w:after="20"/>
              <w:jc w:val="right"/>
            </w:pPr>
            <w:r/>
            <w:r>
              <w:rPr>
                <w:rFonts w:ascii="Times New Roman" w:hAnsi="Times New Roman"/>
                <w:b w:val="0"/>
                <w:sz w:val="15"/>
              </w:rPr>
              <w:t>243,693</w:t>
            </w:r>
          </w:p>
        </w:tc>
        <w:tc>
          <w:tcPr>
            <w:tcW w:type="dxa" w:w="1080"/>
          </w:tcPr>
          <w:p>
            <w:pPr>
              <w:spacing w:before="20" w:after="20"/>
              <w:jc w:val="right"/>
            </w:pPr>
            <w:r/>
            <w:r>
              <w:rPr>
                <w:rFonts w:ascii="Times New Roman" w:hAnsi="Times New Roman"/>
                <w:b w:val="0"/>
                <w:sz w:val="15"/>
              </w:rPr>
              <w:t>107.8</w:t>
            </w:r>
          </w:p>
        </w:tc>
        <w:tc>
          <w:tcPr>
            <w:tcW w:type="dxa" w:w="1080"/>
          </w:tcPr>
          <w:p>
            <w:pPr>
              <w:spacing w:before="20" w:after="20"/>
              <w:jc w:val="right"/>
            </w:pPr>
            <w:r/>
            <w:r>
              <w:rPr>
                <w:rFonts w:ascii="Times New Roman" w:hAnsi="Times New Roman"/>
                <w:b w:val="0"/>
                <w:sz w:val="15"/>
              </w:rPr>
              <w:t>226,017</w:t>
            </w:r>
          </w:p>
        </w:tc>
      </w:tr>
      <w:tr>
        <w:trPr>
          <w:cantSplit/>
        </w:trPr>
        <w:tc>
          <w:tcPr>
            <w:tcW w:type="dxa" w:w="1080"/>
          </w:tcPr>
          <w:p>
            <w:pPr>
              <w:spacing w:before="20" w:after="20"/>
              <w:jc w:val="center"/>
            </w:pPr>
            <w:r/>
            <w:r>
              <w:rPr>
                <w:rFonts w:ascii="Times New Roman" w:hAnsi="Times New Roman"/>
                <w:b w:val="0"/>
                <w:sz w:val="15"/>
              </w:rPr>
              <w:t>2047</w:t>
            </w:r>
          </w:p>
        </w:tc>
        <w:tc>
          <w:tcPr>
            <w:tcW w:type="dxa" w:w="1080"/>
          </w:tcPr>
          <w:p>
            <w:pPr>
              <w:spacing w:before="20" w:after="20"/>
              <w:jc w:val="right"/>
            </w:pPr>
            <w:r/>
            <w:r>
              <w:rPr>
                <w:rFonts w:ascii="Times New Roman" w:hAnsi="Times New Roman"/>
                <w:b w:val="0"/>
                <w:sz w:val="15"/>
              </w:rPr>
              <w:t>521,583</w:t>
            </w:r>
          </w:p>
        </w:tc>
        <w:tc>
          <w:tcPr>
            <w:tcW w:type="dxa" w:w="1080"/>
          </w:tcPr>
          <w:p>
            <w:pPr>
              <w:spacing w:before="20" w:after="20"/>
              <w:jc w:val="right"/>
            </w:pPr>
            <w:r/>
            <w:r>
              <w:rPr>
                <w:rFonts w:ascii="Times New Roman" w:hAnsi="Times New Roman"/>
                <w:b w:val="0"/>
                <w:sz w:val="15"/>
              </w:rPr>
              <w:t>224.4</w:t>
            </w:r>
          </w:p>
        </w:tc>
        <w:tc>
          <w:tcPr>
            <w:tcW w:type="dxa" w:w="1080"/>
          </w:tcPr>
          <w:p>
            <w:pPr>
              <w:spacing w:before="20" w:after="20"/>
              <w:jc w:val="right"/>
            </w:pPr>
            <w:r/>
            <w:r>
              <w:rPr>
                <w:rFonts w:ascii="Times New Roman" w:hAnsi="Times New Roman"/>
                <w:b w:val="0"/>
                <w:sz w:val="15"/>
              </w:rPr>
              <w:t>415,036</w:t>
            </w:r>
          </w:p>
        </w:tc>
        <w:tc>
          <w:tcPr>
            <w:tcW w:type="dxa" w:w="1080"/>
          </w:tcPr>
          <w:p>
            <w:pPr>
              <w:spacing w:before="20" w:after="20"/>
              <w:jc w:val="right"/>
            </w:pPr>
            <w:r/>
            <w:r>
              <w:rPr>
                <w:rFonts w:ascii="Times New Roman" w:hAnsi="Times New Roman"/>
                <w:b w:val="0"/>
                <w:sz w:val="15"/>
              </w:rPr>
              <w:t>178.5</w:t>
            </w:r>
          </w:p>
        </w:tc>
        <w:tc>
          <w:tcPr>
            <w:tcW w:type="dxa" w:w="1080"/>
          </w:tcPr>
          <w:p>
            <w:pPr>
              <w:spacing w:before="20" w:after="20"/>
              <w:jc w:val="right"/>
            </w:pPr>
            <w:r/>
            <w:r>
              <w:rPr>
                <w:rFonts w:ascii="Times New Roman" w:hAnsi="Times New Roman"/>
                <w:b w:val="0"/>
                <w:sz w:val="15"/>
              </w:rPr>
              <w:t>273,896</w:t>
            </w:r>
          </w:p>
        </w:tc>
        <w:tc>
          <w:tcPr>
            <w:tcW w:type="dxa" w:w="1080"/>
          </w:tcPr>
          <w:p>
            <w:pPr>
              <w:spacing w:before="20" w:after="20"/>
              <w:jc w:val="right"/>
            </w:pPr>
            <w:r/>
            <w:r>
              <w:rPr>
                <w:rFonts w:ascii="Times New Roman" w:hAnsi="Times New Roman"/>
                <w:b w:val="0"/>
                <w:sz w:val="15"/>
              </w:rPr>
              <w:t>117.8</w:t>
            </w:r>
          </w:p>
        </w:tc>
        <w:tc>
          <w:tcPr>
            <w:tcW w:type="dxa" w:w="1080"/>
          </w:tcPr>
          <w:p>
            <w:pPr>
              <w:spacing w:before="20" w:after="20"/>
              <w:jc w:val="right"/>
            </w:pPr>
            <w:r/>
            <w:r>
              <w:rPr>
                <w:rFonts w:ascii="Times New Roman" w:hAnsi="Times New Roman"/>
                <w:b w:val="0"/>
                <w:sz w:val="15"/>
              </w:rPr>
              <w:t>232,466</w:t>
            </w:r>
          </w:p>
        </w:tc>
      </w:tr>
      <w:tr>
        <w:trPr>
          <w:cantSplit/>
        </w:trPr>
        <w:tc>
          <w:tcPr>
            <w:tcW w:type="dxa" w:w="1080"/>
          </w:tcPr>
          <w:p>
            <w:pPr>
              <w:spacing w:before="20" w:after="20"/>
              <w:jc w:val="center"/>
            </w:pPr>
            <w:r/>
            <w:r>
              <w:rPr>
                <w:rFonts w:ascii="Times New Roman" w:hAnsi="Times New Roman"/>
                <w:b w:val="0"/>
                <w:sz w:val="15"/>
              </w:rPr>
              <w:t>2048</w:t>
            </w:r>
          </w:p>
        </w:tc>
        <w:tc>
          <w:tcPr>
            <w:tcW w:type="dxa" w:w="1080"/>
          </w:tcPr>
          <w:p>
            <w:pPr>
              <w:spacing w:before="20" w:after="20"/>
              <w:jc w:val="right"/>
            </w:pPr>
            <w:r/>
            <w:r>
              <w:rPr>
                <w:rFonts w:ascii="Times New Roman" w:hAnsi="Times New Roman"/>
                <w:b w:val="0"/>
                <w:sz w:val="15"/>
              </w:rPr>
              <w:t>564,945</w:t>
            </w:r>
          </w:p>
        </w:tc>
        <w:tc>
          <w:tcPr>
            <w:tcW w:type="dxa" w:w="1080"/>
          </w:tcPr>
          <w:p>
            <w:pPr>
              <w:spacing w:before="20" w:after="20"/>
              <w:jc w:val="right"/>
            </w:pPr>
            <w:r/>
            <w:r>
              <w:rPr>
                <w:rFonts w:ascii="Times New Roman" w:hAnsi="Times New Roman"/>
                <w:b w:val="0"/>
                <w:sz w:val="15"/>
              </w:rPr>
              <w:t>236.4</w:t>
            </w:r>
          </w:p>
        </w:tc>
        <w:tc>
          <w:tcPr>
            <w:tcW w:type="dxa" w:w="1080"/>
          </w:tcPr>
          <w:p>
            <w:pPr>
              <w:spacing w:before="20" w:after="20"/>
              <w:jc w:val="right"/>
            </w:pPr>
            <w:r/>
            <w:r>
              <w:rPr>
                <w:rFonts w:ascii="Times New Roman" w:hAnsi="Times New Roman"/>
                <w:b w:val="0"/>
                <w:sz w:val="15"/>
              </w:rPr>
              <w:t>456,195</w:t>
            </w:r>
          </w:p>
        </w:tc>
        <w:tc>
          <w:tcPr>
            <w:tcW w:type="dxa" w:w="1080"/>
          </w:tcPr>
          <w:p>
            <w:pPr>
              <w:spacing w:before="20" w:after="20"/>
              <w:jc w:val="right"/>
            </w:pPr>
            <w:r/>
            <w:r>
              <w:rPr>
                <w:rFonts w:ascii="Times New Roman" w:hAnsi="Times New Roman"/>
                <w:b w:val="0"/>
                <w:sz w:val="15"/>
              </w:rPr>
              <w:t>190.9</w:t>
            </w:r>
          </w:p>
        </w:tc>
        <w:tc>
          <w:tcPr>
            <w:tcW w:type="dxa" w:w="1080"/>
          </w:tcPr>
          <w:p>
            <w:pPr>
              <w:spacing w:before="20" w:after="20"/>
              <w:jc w:val="right"/>
            </w:pPr>
            <w:r/>
            <w:r>
              <w:rPr>
                <w:rFonts w:ascii="Times New Roman" w:hAnsi="Times New Roman"/>
                <w:b w:val="0"/>
                <w:sz w:val="15"/>
              </w:rPr>
              <w:t>306,005</w:t>
            </w:r>
          </w:p>
        </w:tc>
        <w:tc>
          <w:tcPr>
            <w:tcW w:type="dxa" w:w="1080"/>
          </w:tcPr>
          <w:p>
            <w:pPr>
              <w:spacing w:before="20" w:after="20"/>
              <w:jc w:val="right"/>
            </w:pPr>
            <w:r/>
            <w:r>
              <w:rPr>
                <w:rFonts w:ascii="Times New Roman" w:hAnsi="Times New Roman"/>
                <w:b w:val="0"/>
                <w:sz w:val="15"/>
              </w:rPr>
              <w:t>128.0</w:t>
            </w:r>
          </w:p>
        </w:tc>
        <w:tc>
          <w:tcPr>
            <w:tcW w:type="dxa" w:w="1080"/>
          </w:tcPr>
          <w:p>
            <w:pPr>
              <w:spacing w:before="20" w:after="20"/>
              <w:jc w:val="right"/>
            </w:pPr>
            <w:r/>
            <w:r>
              <w:rPr>
                <w:rFonts w:ascii="Times New Roman" w:hAnsi="Times New Roman"/>
                <w:b w:val="0"/>
                <w:sz w:val="15"/>
              </w:rPr>
              <w:t>238,983</w:t>
            </w:r>
          </w:p>
        </w:tc>
      </w:tr>
      <w:tr>
        <w:trPr>
          <w:cantSplit/>
        </w:trPr>
        <w:tc>
          <w:tcPr>
            <w:tcW w:type="dxa" w:w="1080"/>
          </w:tcPr>
          <w:p>
            <w:pPr>
              <w:spacing w:before="20" w:after="20"/>
              <w:jc w:val="center"/>
            </w:pPr>
            <w:r/>
            <w:r>
              <w:rPr>
                <w:rFonts w:ascii="Times New Roman" w:hAnsi="Times New Roman"/>
                <w:b w:val="0"/>
                <w:sz w:val="15"/>
              </w:rPr>
              <w:t>2049</w:t>
            </w:r>
          </w:p>
        </w:tc>
        <w:tc>
          <w:tcPr>
            <w:tcW w:type="dxa" w:w="1080"/>
          </w:tcPr>
          <w:p>
            <w:pPr>
              <w:spacing w:before="20" w:after="20"/>
              <w:jc w:val="right"/>
            </w:pPr>
            <w:r/>
            <w:r>
              <w:rPr>
                <w:rFonts w:ascii="Times New Roman" w:hAnsi="Times New Roman"/>
                <w:b w:val="0"/>
                <w:sz w:val="15"/>
              </w:rPr>
              <w:t>609,869</w:t>
            </w:r>
          </w:p>
        </w:tc>
        <w:tc>
          <w:tcPr>
            <w:tcW w:type="dxa" w:w="1080"/>
          </w:tcPr>
          <w:p>
            <w:pPr>
              <w:spacing w:before="20" w:after="20"/>
              <w:jc w:val="right"/>
            </w:pPr>
            <w:r/>
            <w:r>
              <w:rPr>
                <w:rFonts w:ascii="Times New Roman" w:hAnsi="Times New Roman"/>
                <w:b w:val="0"/>
                <w:sz w:val="15"/>
              </w:rPr>
              <w:t>248.5</w:t>
            </w:r>
          </w:p>
        </w:tc>
        <w:tc>
          <w:tcPr>
            <w:tcW w:type="dxa" w:w="1080"/>
          </w:tcPr>
          <w:p>
            <w:pPr>
              <w:spacing w:before="20" w:after="20"/>
              <w:jc w:val="right"/>
            </w:pPr>
            <w:r/>
            <w:r>
              <w:rPr>
                <w:rFonts w:ascii="Times New Roman" w:hAnsi="Times New Roman"/>
                <w:b w:val="0"/>
                <w:sz w:val="15"/>
              </w:rPr>
              <w:t>499,196</w:t>
            </w:r>
          </w:p>
        </w:tc>
        <w:tc>
          <w:tcPr>
            <w:tcW w:type="dxa" w:w="1080"/>
          </w:tcPr>
          <w:p>
            <w:pPr>
              <w:spacing w:before="20" w:after="20"/>
              <w:jc w:val="right"/>
            </w:pPr>
            <w:r/>
            <w:r>
              <w:rPr>
                <w:rFonts w:ascii="Times New Roman" w:hAnsi="Times New Roman"/>
                <w:b w:val="0"/>
                <w:sz w:val="15"/>
              </w:rPr>
              <w:t>203.4</w:t>
            </w:r>
          </w:p>
        </w:tc>
        <w:tc>
          <w:tcPr>
            <w:tcW w:type="dxa" w:w="1080"/>
          </w:tcPr>
          <w:p>
            <w:pPr>
              <w:spacing w:before="20" w:after="20"/>
              <w:jc w:val="right"/>
            </w:pPr>
            <w:r/>
            <w:r>
              <w:rPr>
                <w:rFonts w:ascii="Times New Roman" w:hAnsi="Times New Roman"/>
                <w:b w:val="0"/>
                <w:sz w:val="15"/>
              </w:rPr>
              <w:t>340,309</w:t>
            </w:r>
          </w:p>
        </w:tc>
        <w:tc>
          <w:tcPr>
            <w:tcW w:type="dxa" w:w="1080"/>
          </w:tcPr>
          <w:p>
            <w:pPr>
              <w:spacing w:before="20" w:after="20"/>
              <w:jc w:val="right"/>
            </w:pPr>
            <w:r/>
            <w:r>
              <w:rPr>
                <w:rFonts w:ascii="Times New Roman" w:hAnsi="Times New Roman"/>
                <w:b w:val="0"/>
                <w:sz w:val="15"/>
              </w:rPr>
              <w:t>138.7</w:t>
            </w:r>
          </w:p>
        </w:tc>
        <w:tc>
          <w:tcPr>
            <w:tcW w:type="dxa" w:w="1080"/>
          </w:tcPr>
          <w:p>
            <w:pPr>
              <w:spacing w:before="20" w:after="20"/>
              <w:jc w:val="right"/>
            </w:pPr>
            <w:r/>
            <w:r>
              <w:rPr>
                <w:rFonts w:ascii="Times New Roman" w:hAnsi="Times New Roman"/>
                <w:b w:val="0"/>
                <w:sz w:val="15"/>
              </w:rPr>
              <w:t>245,439</w:t>
            </w:r>
          </w:p>
        </w:tc>
      </w:tr>
      <w:tr>
        <w:trPr>
          <w:cantSplit/>
        </w:trPr>
        <w:tc>
          <w:tcPr>
            <w:tcW w:type="dxa" w:w="1080"/>
          </w:tcPr>
          <w:p>
            <w:pPr>
              <w:spacing w:before="20" w:after="20"/>
              <w:jc w:val="center"/>
            </w:pPr>
            <w:r/>
            <w:r>
              <w:rPr>
                <w:rFonts w:ascii="Times New Roman" w:hAnsi="Times New Roman"/>
                <w:b w:val="0"/>
                <w:sz w:val="15"/>
              </w:rPr>
              <w:t>2050</w:t>
            </w:r>
          </w:p>
        </w:tc>
        <w:tc>
          <w:tcPr>
            <w:tcW w:type="dxa" w:w="1080"/>
          </w:tcPr>
          <w:p>
            <w:pPr>
              <w:spacing w:before="20" w:after="20"/>
              <w:jc w:val="right"/>
            </w:pPr>
            <w:r/>
            <w:r>
              <w:rPr>
                <w:rFonts w:ascii="Times New Roman" w:hAnsi="Times New Roman"/>
                <w:b w:val="0"/>
                <w:sz w:val="15"/>
              </w:rPr>
              <w:t>654,508</w:t>
            </w:r>
          </w:p>
        </w:tc>
        <w:tc>
          <w:tcPr>
            <w:tcW w:type="dxa" w:w="1080"/>
          </w:tcPr>
          <w:p>
            <w:pPr>
              <w:spacing w:before="20" w:after="20"/>
              <w:jc w:val="right"/>
            </w:pPr>
            <w:r/>
            <w:r>
              <w:rPr>
                <w:rFonts w:ascii="Times New Roman" w:hAnsi="Times New Roman"/>
                <w:b w:val="0"/>
                <w:sz w:val="15"/>
              </w:rPr>
              <w:t>260.0</w:t>
            </w:r>
          </w:p>
        </w:tc>
        <w:tc>
          <w:tcPr>
            <w:tcW w:type="dxa" w:w="1080"/>
          </w:tcPr>
          <w:p>
            <w:pPr>
              <w:spacing w:before="20" w:after="20"/>
              <w:jc w:val="right"/>
            </w:pPr>
            <w:r/>
            <w:r>
              <w:rPr>
                <w:rFonts w:ascii="Times New Roman" w:hAnsi="Times New Roman"/>
                <w:b w:val="0"/>
                <w:sz w:val="15"/>
              </w:rPr>
              <w:t>542,314</w:t>
            </w:r>
          </w:p>
        </w:tc>
        <w:tc>
          <w:tcPr>
            <w:tcW w:type="dxa" w:w="1080"/>
          </w:tcPr>
          <w:p>
            <w:pPr>
              <w:spacing w:before="20" w:after="20"/>
              <w:jc w:val="right"/>
            </w:pPr>
            <w:r/>
            <w:r>
              <w:rPr>
                <w:rFonts w:ascii="Times New Roman" w:hAnsi="Times New Roman"/>
                <w:b w:val="0"/>
                <w:sz w:val="15"/>
              </w:rPr>
              <w:t>215.4</w:t>
            </w:r>
          </w:p>
        </w:tc>
        <w:tc>
          <w:tcPr>
            <w:tcW w:type="dxa" w:w="1080"/>
          </w:tcPr>
          <w:p>
            <w:pPr>
              <w:spacing w:before="20" w:after="20"/>
              <w:jc w:val="right"/>
            </w:pPr>
            <w:r/>
            <w:r>
              <w:rPr>
                <w:rFonts w:ascii="Times New Roman" w:hAnsi="Times New Roman"/>
                <w:b w:val="0"/>
                <w:sz w:val="15"/>
              </w:rPr>
              <w:t>375,371</w:t>
            </w:r>
          </w:p>
        </w:tc>
        <w:tc>
          <w:tcPr>
            <w:tcW w:type="dxa" w:w="1080"/>
          </w:tcPr>
          <w:p>
            <w:pPr>
              <w:spacing w:before="20" w:after="20"/>
              <w:jc w:val="right"/>
            </w:pPr>
            <w:r/>
            <w:r>
              <w:rPr>
                <w:rFonts w:ascii="Times New Roman" w:hAnsi="Times New Roman"/>
                <w:b w:val="0"/>
                <w:sz w:val="15"/>
              </w:rPr>
              <w:t>149.1</w:t>
            </w:r>
          </w:p>
        </w:tc>
        <w:tc>
          <w:tcPr>
            <w:tcW w:type="dxa" w:w="1080"/>
          </w:tcPr>
          <w:p>
            <w:pPr>
              <w:spacing w:before="20" w:after="20"/>
              <w:jc w:val="right"/>
            </w:pPr>
            <w:r/>
            <w:r>
              <w:rPr>
                <w:rFonts w:ascii="Times New Roman" w:hAnsi="Times New Roman"/>
                <w:b w:val="0"/>
                <w:sz w:val="15"/>
              </w:rPr>
              <w:t>251,771</w:t>
            </w:r>
          </w:p>
        </w:tc>
      </w:tr>
    </w:tbl>
    <w:p>
      <w:pPr>
        <w:spacing w:before="0" w:after="160"/>
      </w:pPr>
      <w:r>
        <w:rPr>
          <w:rFonts w:ascii="Times New Roman" w:hAnsi="Times New Roman"/>
          <w:b w:val="0"/>
          <w:i/>
          <w:color w:val="595959"/>
          <w:sz w:val="16"/>
        </w:rPr>
        <w:t xml:space="preserve">Public-payer payments are the sum of adjudicated public-payer amounts financed by NHI and Medical Aid. Fiscal-burden ratio (%) = payments ÷ NHI revenue × 100. NHI revenue is premium income plus government subsidies, excluding other income (arrears, other collections, interest); projections from the KIHASA integrated long-term social security financing model (Section 2.7) [45]. The representative scenarios are maximum (all supply factors +5%/yr; per diem +1.51%/yr), baseline (supply unchanged; +1.42%/yr), and minimum (nurses and nurse aides +5%/yr; per diem fixed at 2023).</w:t>
      </w:r>
    </w:p>
    <w:p>
      <w:pPr>
        <w:spacing w:before="240" w:after="100"/>
      </w:pPr>
      <w:r>
        <w:rPr>
          <w:rFonts w:ascii="Times New Roman" w:hAnsi="Times New Roman"/>
          <w:b/>
          <w:i w:val="0"/>
          <w:sz w:val="25"/>
        </w:rPr>
        <w:t>Appendix Figure</w:t>
      </w:r>
    </w:p>
    <w:p>
      <w:pPr>
        <w:keepNext/>
        <w:spacing w:before="200" w:after="60"/>
      </w:pPr>
      <w:r>
        <w:rPr>
          <w:rFonts w:ascii="Times New Roman" w:hAnsi="Times New Roman"/>
          <w:b/>
          <w:i w:val="0"/>
          <w:sz w:val="20"/>
        </w:rPr>
        <w:t>Fig. A.1. Annual absolute percentage error of the final prediction model (Model 2), 2020–2023</w:t>
      </w:r>
    </w:p>
    <w:p>
      <w:pPr>
        <w:keepNext/>
        <w:spacing w:line="240" w:lineRule="auto"/>
        <w:jc w:val="center"/>
      </w:pPr>
      <w:r>
        <w:drawing>
          <ns3:inline>
            <ns3:extent cx="4320000" cy="2807848"/>
            <ns3:docPr id="1" name="Picture 1"/>
            <ns3:cNvGraphicFramePr>
              <ns4:graphicFrameLocks noChangeAspect="1"/>
            </ns3:cNvGraphicFramePr>
            <ns4:graphic>
              <ns4:graphicData uri="http://schemas.openxmlformats.org/drawingml/2006/picture">
                <ns5:pic>
                  <ns5:nvPicPr>
                    <ns5:cNvPr id="0" name="FigA1_EN.png"/>
                    <ns5:cNvPicPr/>
                  </ns5:nvPicPr>
                  <ns5:blipFill>
                    <ns4:blip r:embed="rIdAppFig"/>
                    <ns4:stretch>
                      <ns4:fillRect/>
                    </ns4:stretch>
                  </ns5:blipFill>
                  <ns5:spPr>
                    <ns4:xfrm>
                      <ns4:off x="0" y="0"/>
                      <ns4:ext cx="4320000" cy="2807848"/>
                    </ns4:xfrm>
                    <ns4:prstGeom prst="rect"/>
                  </ns5:spPr>
                </ns5:pic>
              </ns4:graphicData>
            </ns4:graphic>
          </ns3:inline>
        </w:drawing>
      </w:r>
    </w:p>
    <w:p>
      <w:pPr>
        <w:spacing w:before="0" w:after="160"/>
      </w:pPr>
      <w:r>
        <w:rPr>
          <w:rFonts w:ascii="Times New Roman" w:hAnsi="Times New Roman"/>
          <w:b w:val="0"/>
          <w:i/>
          <w:color w:val="595959"/>
          <w:sz w:val="16"/>
        </w:rPr>
        <w:t xml:space="preserve">Absolute percentage error (%) = |predicted − observed| ÷ observed × 100 (the values of Table A.6, visualized). The signed error in 2023 was −740,337 days (underprediction). The largest errors were concentrated in 2020–2021.</w:t>
      </w:r>
    </w:p>
    <w:sectPr w:rsidR="00DF3B47" w:rsidRPr="00774D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charset w:val="00"/>
    <w:family w:val="roman"/>
    <w:pitch w:val="default"/>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B47"/>
    <w:rsid w:val="0004686B"/>
    <w:rsid w:val="000550BF"/>
    <w:rsid w:val="000F1209"/>
    <w:rsid w:val="002D1422"/>
    <w:rsid w:val="002E2163"/>
    <w:rsid w:val="002E35C1"/>
    <w:rsid w:val="003C1978"/>
    <w:rsid w:val="00450726"/>
    <w:rsid w:val="00621EC9"/>
    <w:rsid w:val="006A7C83"/>
    <w:rsid w:val="0077452A"/>
    <w:rsid w:val="00774DF7"/>
    <w:rsid w:val="007F3FF2"/>
    <w:rsid w:val="00DF3B47"/>
    <w:rsid w:val="00E74196"/>
    <w:rsid w:val="00F0057E"/>
    <w:rsid w:val="00F41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DF79"/>
  <w15:chartTrackingRefBased/>
  <w15:docId w15:val="{D8D9D3BB-402B-F443-91C6-25583EE9BB66}"/>
</w:settings>
</file>

<file path=word/styles.xml><?xml version="1.0" encoding="utf-8"?>
<w:styles xmlns:mc="http://schemas.openxmlformats.org/markup-compatibility/2006" xmlns:ns2="http://schemas.microsoft.com/office/word/2010/wordml" xmlns:w="http://schemas.openxmlformats.org/wordprocessingml/2006/main" mc:Ignorable="w14 w15">
  <w:docDefaults>
    <w:rPrDefault>
      <w:rPr>
        <w:rFonts w:asciiTheme="minorHAnsi" w:eastAsiaTheme="minorHAnsi" w:hAnsiTheme="minorHAnsi" w:cstheme="minorBidi"/>
        <w:kern w:val="2"/>
        <w:sz w:val="24"/>
        <w:szCs w:val="24"/>
        <w:lang w:val="en-US" w:eastAsia="en-US" w:bidi="ar-SA"/>
        <ns2:ligatures ns2: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B47"/>
    <w:pPr>
      <w:spacing w:after="120" w:line="276" w:lineRule="auto"/>
    </w:pPr>
    <w:rPr>
      <w:rFonts w:ascii="Times New Roman" w:eastAsia="Times New Roman" w:hAnsi="Times New Roman" w:cs="Times New Roman"/>
      <w:kern w:val="0"/>
      <w:sz w:val="22"/>
      <w:szCs w:val="22"/>
      <w:lang w:val="en-GB"/>
      <ns2:ligatures ns2:val="none"/>
    </w:rPr>
  </w:style>
  <w:style w:type="paragraph" w:styleId="Heading1">
    <w:name w:val="heading 1"/>
    <w:basedOn w:val="Normal"/>
    <w:next w:val="Normal"/>
    <w:link w:val="Heading1Char"/>
    <w:autoRedefine/>
    <w:uiPriority w:val="9"/>
    <w:qFormat/>
    <w:rsid w:val="00621EC9"/>
    <w:pPr>
      <w:keepNext/>
      <w:keepLines/>
      <w:spacing w:before="360" w:after="80" w:line="480" w:lineRule="auto"/>
      <w:outlineLvl w:val="0"/>
    </w:pPr>
    <w:rPr>
      <w:rFonts w:eastAsiaTheme="majorEastAsia" w:cstheme="majorBidi"/>
      <w:b/>
      <w:color w:val="000000" w:themeColor="text1"/>
      <w:kern w:val="2"/>
      <w:sz w:val="24"/>
      <w:szCs w:val="40"/>
      <ns2:ligatures ns2:val="standardContextual"/>
    </w:rPr>
  </w:style>
  <w:style w:type="paragraph" w:styleId="Heading2">
    <w:name w:val="heading 2"/>
    <w:basedOn w:val="Normal"/>
    <w:next w:val="Normal"/>
    <w:link w:val="Heading2Char"/>
    <w:autoRedefine/>
    <w:uiPriority w:val="9"/>
    <w:unhideWhenUsed/>
    <w:qFormat/>
    <w:rsid w:val="00621EC9"/>
    <w:pPr>
      <w:keepNext/>
      <w:keepLines/>
      <w:spacing w:before="160" w:after="80" w:line="480" w:lineRule="auto"/>
      <w:outlineLvl w:val="1"/>
    </w:pPr>
    <w:rPr>
      <w:rFonts w:eastAsiaTheme="majorEastAsia" w:cs="Times New Roman (Headings CS)"/>
      <w:b/>
      <w:color w:val="000000" w:themeColor="text1"/>
      <w:kern w:val="2"/>
      <w:sz w:val="24"/>
      <w:szCs w:val="32"/>
      <ns2:ligatures ns2:val="standardContextual"/>
    </w:rPr>
  </w:style>
  <w:style w:type="paragraph" w:styleId="Heading3">
    <w:name w:val="heading 3"/>
    <w:basedOn w:val="Normal"/>
    <w:next w:val="Normal"/>
    <w:link w:val="Heading3Char"/>
    <w:autoRedefine/>
    <w:uiPriority w:val="9"/>
    <w:unhideWhenUsed/>
    <w:qFormat/>
    <w:rsid w:val="00621EC9"/>
    <w:pPr>
      <w:keepNext/>
      <w:keepLines/>
      <w:spacing w:before="160" w:after="80" w:line="480" w:lineRule="auto"/>
      <w:outlineLvl w:val="2"/>
    </w:pPr>
    <w:rPr>
      <w:rFonts w:eastAsiaTheme="majorEastAsia" w:cstheme="majorBidi"/>
      <w:i/>
      <w:color w:val="000000" w:themeColor="text1"/>
      <w:kern w:val="2"/>
      <w:sz w:val="24"/>
      <w:szCs w:val="28"/>
      <ns2:ligatures ns2:val="standardContextual"/>
    </w:rPr>
  </w:style>
  <w:style w:type="paragraph" w:styleId="Heading4">
    <w:name w:val="heading 4"/>
    <w:basedOn w:val="Normal"/>
    <w:next w:val="Normal"/>
    <w:link w:val="Heading4Char"/>
    <w:uiPriority w:val="9"/>
    <w:semiHidden/>
    <w:unhideWhenUsed/>
    <w:qFormat/>
    <w:rsid w:val="00DF3B4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ns2:ligatures ns2:val="standardContextual"/>
    </w:rPr>
  </w:style>
  <w:style w:type="paragraph" w:styleId="Heading5">
    <w:name w:val="heading 5"/>
    <w:basedOn w:val="Normal"/>
    <w:next w:val="Normal"/>
    <w:link w:val="Heading5Char"/>
    <w:uiPriority w:val="9"/>
    <w:semiHidden/>
    <w:unhideWhenUsed/>
    <w:qFormat/>
    <w:rsid w:val="00DF3B4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ns2:ligatures ns2:val="standardContextual"/>
    </w:rPr>
  </w:style>
  <w:style w:type="paragraph" w:styleId="Heading6">
    <w:name w:val="heading 6"/>
    <w:basedOn w:val="Normal"/>
    <w:next w:val="Normal"/>
    <w:link w:val="Heading6Char"/>
    <w:uiPriority w:val="9"/>
    <w:semiHidden/>
    <w:unhideWhenUsed/>
    <w:qFormat/>
    <w:rsid w:val="00DF3B4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ns2:ligatures ns2:val="standardContextual"/>
    </w:rPr>
  </w:style>
  <w:style w:type="paragraph" w:styleId="Heading7">
    <w:name w:val="heading 7"/>
    <w:basedOn w:val="Normal"/>
    <w:next w:val="Normal"/>
    <w:link w:val="Heading7Char"/>
    <w:uiPriority w:val="9"/>
    <w:semiHidden/>
    <w:unhideWhenUsed/>
    <w:qFormat/>
    <w:rsid w:val="00DF3B4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ns2:ligatures ns2:val="standardContextual"/>
    </w:rPr>
  </w:style>
  <w:style w:type="paragraph" w:styleId="Heading8">
    <w:name w:val="heading 8"/>
    <w:basedOn w:val="Normal"/>
    <w:next w:val="Normal"/>
    <w:link w:val="Heading8Char"/>
    <w:uiPriority w:val="9"/>
    <w:semiHidden/>
    <w:unhideWhenUsed/>
    <w:qFormat/>
    <w:rsid w:val="00DF3B4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ns2:ligatures ns2:val="standardContextual"/>
    </w:rPr>
  </w:style>
  <w:style w:type="paragraph" w:styleId="Heading9">
    <w:name w:val="heading 9"/>
    <w:basedOn w:val="Normal"/>
    <w:next w:val="Normal"/>
    <w:link w:val="Heading9Char"/>
    <w:uiPriority w:val="9"/>
    <w:semiHidden/>
    <w:unhideWhenUsed/>
    <w:qFormat/>
    <w:rsid w:val="00DF3B47"/>
    <w:pPr>
      <w:keepNext/>
      <w:keepLines/>
      <w:spacing w:after="0" w:line="278" w:lineRule="auto"/>
      <w:outlineLvl w:val="8"/>
    </w:pPr>
    <w:rPr>
      <w:rFonts w:asciiTheme="minorHAnsi" w:eastAsiaTheme="majorEastAsia" w:hAnsiTheme="minorHAnsi" w:cstheme="majorBidi"/>
      <w:color w:val="272727" w:themeColor="text1" w:themeTint="D8"/>
      <w:kern w:val="2"/>
      <w:sz w:val="24"/>
      <w:szCs w:val="24"/>
      <ns2:ligatures ns2: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1"/>
    <w:qFormat/>
    <w:rsid w:val="00621EC9"/>
    <w:pPr>
      <w:widowControl w:val="0"/>
      <w:autoSpaceDE w:val="0"/>
      <w:autoSpaceDN w:val="0"/>
      <w:spacing w:after="0" w:line="480" w:lineRule="auto"/>
    </w:pPr>
    <w:rPr>
      <w:sz w:val="24"/>
      <w:szCs w:val="24"/>
    </w:rPr>
  </w:style>
  <w:style w:type="character" w:customStyle="1" w:styleId="BodyTextChar">
    <w:name w:val="Body Text Char"/>
    <w:basedOn w:val="DefaultParagraphFont"/>
    <w:link w:val="BodyText"/>
    <w:uiPriority w:val="1"/>
    <w:rsid w:val="00621EC9"/>
    <w:rPr>
      <w:rFonts w:ascii="Times New Roman" w:eastAsia="Times New Roman" w:hAnsi="Times New Roman" w:cs="Times New Roman"/>
      <w:kern w:val="0"/>
      <w:lang w:val="en-US"/>
      <ns2:ligatures ns2:val="none"/>
    </w:rPr>
  </w:style>
  <w:style w:type="character" w:customStyle="1" w:styleId="Heading1Char">
    <w:name w:val="Heading 1 Char"/>
    <w:basedOn w:val="DefaultParagraphFont"/>
    <w:link w:val="Heading1"/>
    <w:uiPriority w:val="9"/>
    <w:rsid w:val="00621EC9"/>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621EC9"/>
    <w:rPr>
      <w:rFonts w:ascii="Times New Roman" w:eastAsiaTheme="majorEastAsia" w:hAnsi="Times New Roman" w:cs="Times New Roman (Headings CS)"/>
      <w:b/>
      <w:color w:val="000000" w:themeColor="text1"/>
      <w:szCs w:val="32"/>
    </w:rPr>
  </w:style>
  <w:style w:type="character" w:customStyle="1" w:styleId="Heading3Char">
    <w:name w:val="Heading 3 Char"/>
    <w:basedOn w:val="DefaultParagraphFont"/>
    <w:link w:val="Heading3"/>
    <w:uiPriority w:val="9"/>
    <w:rsid w:val="00621EC9"/>
    <w:rPr>
      <w:rFonts w:ascii="Times New Roman" w:eastAsiaTheme="majorEastAsia" w:hAnsi="Times New Roman" w:cstheme="majorBidi"/>
      <w:i/>
      <w:color w:val="000000" w:themeColor="text1"/>
      <w:szCs w:val="28"/>
    </w:rPr>
  </w:style>
  <w:style w:type="character" w:customStyle="1" w:styleId="Heading4Char">
    <w:name w:val="Heading 4 Char"/>
    <w:basedOn w:val="DefaultParagraphFont"/>
    <w:link w:val="Heading4"/>
    <w:uiPriority w:val="9"/>
    <w:semiHidden/>
    <w:rsid w:val="00DF3B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3B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3B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B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B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B47"/>
    <w:rPr>
      <w:rFonts w:eastAsiaTheme="majorEastAsia" w:cstheme="majorBidi"/>
      <w:color w:val="272727" w:themeColor="text1" w:themeTint="D8"/>
    </w:rPr>
  </w:style>
  <w:style w:type="paragraph" w:styleId="Title">
    <w:name w:val="Title"/>
    <w:basedOn w:val="Normal"/>
    <w:next w:val="Normal"/>
    <w:link w:val="TitleChar"/>
    <w:uiPriority w:val="10"/>
    <w:qFormat/>
    <w:rsid w:val="00DF3B47"/>
    <w:pPr>
      <w:spacing w:after="80" w:line="240" w:lineRule="auto"/>
      <w:contextualSpacing/>
    </w:pPr>
    <w:rPr>
      <w:rFonts w:asciiTheme="majorHAnsi" w:eastAsiaTheme="majorEastAsia" w:hAnsiTheme="majorHAnsi" w:cstheme="majorBidi"/>
      <w:spacing w:val="-10"/>
      <w:kern w:val="28"/>
      <w:sz w:val="56"/>
      <w:szCs w:val="56"/>
      <ns2:ligatures ns2:val="standardContextual"/>
    </w:rPr>
  </w:style>
  <w:style w:type="character" w:customStyle="1" w:styleId="TitleChar">
    <w:name w:val="Title Char"/>
    <w:basedOn w:val="DefaultParagraphFont"/>
    <w:link w:val="Title"/>
    <w:uiPriority w:val="10"/>
    <w:rsid w:val="00DF3B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B4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ns2:ligatures ns2:val="standardContextual"/>
    </w:rPr>
  </w:style>
  <w:style w:type="character" w:customStyle="1" w:styleId="SubtitleChar">
    <w:name w:val="Subtitle Char"/>
    <w:basedOn w:val="DefaultParagraphFont"/>
    <w:link w:val="Subtitle"/>
    <w:uiPriority w:val="11"/>
    <w:rsid w:val="00DF3B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B47"/>
    <w:pPr>
      <w:spacing w:before="160" w:after="160" w:line="278" w:lineRule="auto"/>
      <w:jc w:val="center"/>
    </w:pPr>
    <w:rPr>
      <w:rFonts w:asciiTheme="minorHAnsi" w:eastAsiaTheme="minorHAnsi" w:hAnsiTheme="minorHAnsi" w:cstheme="minorBidi"/>
      <w:i/>
      <w:iCs/>
      <w:color w:val="404040" w:themeColor="text1" w:themeTint="BF"/>
      <w:kern w:val="2"/>
      <w:sz w:val="24"/>
      <w:szCs w:val="24"/>
      <ns2:ligatures ns2:val="standardContextual"/>
    </w:rPr>
  </w:style>
  <w:style w:type="character" w:customStyle="1" w:styleId="QuoteChar">
    <w:name w:val="Quote Char"/>
    <w:basedOn w:val="DefaultParagraphFont"/>
    <w:link w:val="Quote"/>
    <w:uiPriority w:val="29"/>
    <w:rsid w:val="00DF3B47"/>
    <w:rPr>
      <w:i/>
      <w:iCs/>
      <w:color w:val="404040" w:themeColor="text1" w:themeTint="BF"/>
    </w:rPr>
  </w:style>
  <w:style w:type="paragraph" w:styleId="ListParagraph">
    <w:name w:val="List Paragraph"/>
    <w:basedOn w:val="Normal"/>
    <w:uiPriority w:val="34"/>
    <w:qFormat/>
    <w:rsid w:val="00DF3B47"/>
    <w:pPr>
      <w:spacing w:after="160" w:line="278" w:lineRule="auto"/>
      <w:ind w:left="720"/>
      <w:contextualSpacing/>
    </w:pPr>
    <w:rPr>
      <w:rFonts w:asciiTheme="minorHAnsi" w:eastAsiaTheme="minorHAnsi" w:hAnsiTheme="minorHAnsi" w:cstheme="minorBidi"/>
      <w:kern w:val="2"/>
      <w:sz w:val="24"/>
      <w:szCs w:val="24"/>
      <ns2:ligatures ns2:val="standardContextual"/>
    </w:rPr>
  </w:style>
  <w:style w:type="character" w:styleId="IntenseEmphasis">
    <w:name w:val="Intense Emphasis"/>
    <w:basedOn w:val="DefaultParagraphFont"/>
    <w:uiPriority w:val="21"/>
    <w:qFormat/>
    <w:rsid w:val="00DF3B47"/>
    <w:rPr>
      <w:i/>
      <w:iCs/>
      <w:color w:val="0F4761" w:themeColor="accent1" w:themeShade="BF"/>
    </w:rPr>
  </w:style>
  <w:style w:type="paragraph" w:styleId="IntenseQuote">
    <w:name w:val="Intense Quote"/>
    <w:basedOn w:val="Normal"/>
    <w:next w:val="Normal"/>
    <w:link w:val="IntenseQuoteChar"/>
    <w:uiPriority w:val="30"/>
    <w:qFormat/>
    <w:rsid w:val="00DF3B4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ns2:ligatures ns2:val="standardContextual"/>
    </w:rPr>
  </w:style>
  <w:style w:type="character" w:customStyle="1" w:styleId="IntenseQuoteChar">
    <w:name w:val="Intense Quote Char"/>
    <w:basedOn w:val="DefaultParagraphFont"/>
    <w:link w:val="IntenseQuote"/>
    <w:uiPriority w:val="30"/>
    <w:rsid w:val="00DF3B47"/>
    <w:rPr>
      <w:i/>
      <w:iCs/>
      <w:color w:val="0F4761" w:themeColor="accent1" w:themeShade="BF"/>
    </w:rPr>
  </w:style>
  <w:style w:type="character" w:styleId="IntenseReference">
    <w:name w:val="Intense Reference"/>
    <w:basedOn w:val="DefaultParagraphFont"/>
    <w:uiPriority w:val="32"/>
    <w:qFormat/>
    <w:rsid w:val="00DF3B47"/>
    <w:rPr>
      <w:b/>
      <w:bCs/>
      <w:smallCaps/>
      <w:color w:val="0F4761" w:themeColor="accent1" w:themeShade="BF"/>
      <w:spacing w:val="5"/>
    </w:rPr>
  </w:style>
  <w:style w:type="character" w:styleId="CommentReference">
    <w:name w:val="annotation reference"/>
    <w:basedOn w:val="DefaultParagraphFont"/>
    <w:uiPriority w:val="99"/>
    <w:semiHidden/>
    <w:unhideWhenUsed/>
    <w:rsid w:val="00DF3B47"/>
    <w:rPr>
      <w:sz w:val="16"/>
      <w:szCs w:val="16"/>
    </w:rPr>
  </w:style>
  <w:style w:type="paragraph" w:styleId="CommentText">
    <w:name w:val="annotation text"/>
    <w:basedOn w:val="Normal"/>
    <w:link w:val="CommentTextChar"/>
    <w:uiPriority w:val="99"/>
    <w:semiHidden/>
    <w:unhideWhenUsed/>
    <w:rsid w:val="00774DF7"/>
    <w:pPr>
      <w:spacing w:line="240" w:lineRule="auto"/>
    </w:pPr>
    <w:rPr>
      <w:sz w:val="20"/>
      <w:szCs w:val="20"/>
    </w:rPr>
  </w:style>
  <w:style w:type="character" w:customStyle="1" w:styleId="CommentTextChar">
    <w:name w:val="Comment Text Char"/>
    <w:basedOn w:val="DefaultParagraphFont"/>
    <w:link w:val="CommentText"/>
    <w:uiPriority w:val="99"/>
    <w:semiHidden/>
    <w:rsid w:val="00774DF7"/>
    <w:rPr>
      <w:rFonts w:ascii="Times New Roman" w:eastAsia="Times New Roman" w:hAnsi="Times New Roman" w:cs="Times New Roman"/>
      <w:kern w:val="0"/>
      <w:sz w:val="20"/>
      <w:szCs w:val="20"/>
      <w:lang w:val="en-US"/>
      <ns2:ligatures ns2:val="none"/>
    </w:rPr>
  </w:style>
  <w:style w:type="paragraph" w:styleId="CommentSubject">
    <w:name w:val="annotation subject"/>
    <w:basedOn w:val="CommentText"/>
    <w:next w:val="CommentText"/>
    <w:link w:val="CommentSubjectChar"/>
    <w:uiPriority w:val="99"/>
    <w:semiHidden/>
    <w:unhideWhenUsed/>
    <w:rsid w:val="00774DF7"/>
    <w:rPr>
      <w:b/>
      <w:bCs/>
    </w:rPr>
  </w:style>
  <w:style w:type="character" w:customStyle="1" w:styleId="CommentSubjectChar">
    <w:name w:val="Comment Subject Char"/>
    <w:basedOn w:val="CommentTextChar"/>
    <w:link w:val="CommentSubject"/>
    <w:uiPriority w:val="99"/>
    <w:semiHidden/>
    <w:rsid w:val="00774DF7"/>
    <w:rPr>
      <w:rFonts w:ascii="Times New Roman" w:eastAsia="Times New Roman" w:hAnsi="Times New Roman" w:cs="Times New Roman"/>
      <w:b/>
      <w:bCs/>
      <w:kern w:val="0"/>
      <w:sz w:val="20"/>
      <w:szCs w:val="20"/>
      <w:lang w:val="en-US"/>
      <ns2:ligatures ns2:val="none"/>
    </w:rPr>
  </w:style>
  <w:style w:type="paragraph" w:styleId="Revision">
    <w:name w:val="Revision"/>
    <w:hidden/>
    <w:uiPriority w:val="99"/>
    <w:semiHidden/>
    <w:rsid w:val="003C1978"/>
    <w:pPr>
      <w:spacing w:after="0" w:line="240" w:lineRule="auto"/>
    </w:pPr>
    <w:rPr>
      <w:rFonts w:ascii="Times New Roman" w:eastAsia="Times New Roman" w:hAnsi="Times New Roman" w:cs="Times New Roman"/>
      <w:kern w:val="0"/>
      <w:sz w:val="22"/>
      <w:szCs w:val="22"/>
      <ns2:ligatures ns2:val="none"/>
    </w:rPr>
  </w:style>
  <w:style w:type="paragraph" w:styleId="BalloonText">
    <w:name w:val="Balloon Text"/>
    <w:basedOn w:val="Normal"/>
    <w:link w:val="BalloonTextChar"/>
    <w:uiPriority w:val="99"/>
    <w:semiHidden/>
    <w:unhideWhenUsed/>
    <w:rsid w:val="00F005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57E"/>
    <w:rPr>
      <w:rFonts w:ascii="Segoe UI" w:eastAsia="Times New Roman" w:hAnsi="Segoe UI" w:cs="Segoe UI"/>
      <w:kern w:val="0"/>
      <w:sz w:val="18"/>
      <w:szCs w:val="18"/>
      <w:lang w:val="en-GB"/>
      <ns2:ligatures ns2:val="none"/>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AppFig"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5</Pages>
  <Words>1640</Words>
  <Characters>9352</Characters>
  <Application>Microsoft Office Word</Application>
  <DocSecurity>0</DocSecurity>
  <Lines>77</Lines>
  <Paragraphs>21</Paragraphs>
  <ScaleCrop>false</ScaleCrop>
  <LinksUpToDate>false</LinksUpToDate>
  <CharactersWithSpaces>10971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
  <dcterms:created xsi:type="dcterms:W3CDTF">2026-07-31T14:12:00Z</dcterms:created>
  <dcterms:modified xsi:type="dcterms:W3CDTF">2026-07-31T14:12:00Z</dcterms:modified>
</cp:coreProperties>
</file>