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2130E">
      <w:pPr>
        <w:bidi w:val="0"/>
        <w:rPr>
          <w:rFonts w:hint="default" w:ascii="Times New Roman" w:hAnsi="Times New Roman" w:cs="Times New Roman"/>
          <w:b/>
          <w:bCs/>
          <w:sz w:val="28"/>
          <w:szCs w:val="36"/>
        </w:rPr>
      </w:pPr>
      <w:r>
        <w:rPr>
          <w:rFonts w:hint="default" w:ascii="Times New Roman" w:hAnsi="Times New Roman" w:cs="Times New Roman"/>
          <w:b/>
          <w:bCs/>
          <w:sz w:val="28"/>
          <w:szCs w:val="36"/>
        </w:rPr>
        <w:t>Supplementary Material S</w:t>
      </w:r>
      <w:r>
        <w:rPr>
          <w:rFonts w:hint="eastAsia" w:ascii="Times New Roman" w:hAnsi="Times New Roman" w:cs="Times New Roman"/>
          <w:b/>
          <w:bCs/>
          <w:sz w:val="28"/>
          <w:szCs w:val="36"/>
          <w:lang w:val="en-US" w:eastAsia="zh-CN"/>
        </w:rPr>
        <w:t>1</w:t>
      </w:r>
      <w:r>
        <w:rPr>
          <w:rFonts w:hint="default" w:ascii="Times New Roman" w:hAnsi="Times New Roman" w:cs="Times New Roman"/>
          <w:b/>
          <w:bCs/>
          <w:sz w:val="28"/>
          <w:szCs w:val="36"/>
        </w:rPr>
        <w:t>: Detailed Seven‑Step Teaching Checklist for Insulin Injection (Chinese Version)</w:t>
      </w:r>
    </w:p>
    <w:tbl>
      <w:tblPr>
        <w:tblStyle w:val="7"/>
        <w:tblW w:w="86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45"/>
        <w:gridCol w:w="1719"/>
        <w:gridCol w:w="3990"/>
        <w:gridCol w:w="2203"/>
      </w:tblGrid>
      <w:tr w14:paraId="109EE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745" w:type="dxa"/>
            <w:tcBorders>
              <w:top w:val="single" w:color="auto" w:sz="12" w:space="0"/>
              <w:left w:val="nil"/>
              <w:bottom w:val="nil"/>
              <w:right w:val="nil"/>
            </w:tcBorders>
            <w:shd w:val="clear" w:color="auto" w:fill="auto"/>
            <w:noWrap w:val="0"/>
            <w:tcMar>
              <w:top w:w="86" w:type="dxa"/>
              <w:left w:w="-1" w:type="dxa"/>
              <w:bottom w:w="86" w:type="dxa"/>
              <w:right w:w="137" w:type="dxa"/>
            </w:tcMar>
            <w:vAlign w:val="center"/>
          </w:tcPr>
          <w:p w14:paraId="1A8CC112">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宋体" w:cs="Times New Roman"/>
                <w:b/>
                <w:kern w:val="0"/>
                <w:sz w:val="24"/>
                <w:szCs w:val="24"/>
                <w:lang w:val="en-US" w:eastAsia="zh-CN" w:bidi="ar"/>
              </w:rPr>
            </w:pPr>
            <w:r>
              <w:rPr>
                <w:rFonts w:hint="default" w:ascii="Times New Roman" w:hAnsi="Times New Roman" w:eastAsia="宋体" w:cs="Times New Roman"/>
                <w:b/>
                <w:kern w:val="0"/>
                <w:sz w:val="24"/>
                <w:szCs w:val="24"/>
                <w:lang w:val="en-US" w:eastAsia="zh-CN" w:bidi="ar"/>
              </w:rPr>
              <w:t>步骤</w:t>
            </w:r>
          </w:p>
          <w:p w14:paraId="27E3DEAE">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宋体" w:cs="Times New Roman"/>
                <w:b/>
                <w:kern w:val="0"/>
                <w:sz w:val="24"/>
                <w:szCs w:val="24"/>
                <w:lang w:val="en-US" w:eastAsia="zh-CN" w:bidi="ar"/>
              </w:rPr>
            </w:pPr>
          </w:p>
        </w:tc>
        <w:tc>
          <w:tcPr>
            <w:tcW w:w="1719" w:type="dxa"/>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405737D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kern w:val="0"/>
                <w:sz w:val="24"/>
                <w:szCs w:val="24"/>
                <w:lang w:val="en-US" w:eastAsia="zh-CN" w:bidi="ar"/>
              </w:rPr>
            </w:pPr>
            <w:r>
              <w:rPr>
                <w:rFonts w:hint="default" w:ascii="Times New Roman" w:hAnsi="Times New Roman" w:eastAsia="宋体" w:cs="Times New Roman"/>
                <w:b/>
                <w:kern w:val="0"/>
                <w:sz w:val="24"/>
                <w:szCs w:val="24"/>
                <w:lang w:val="en-US" w:eastAsia="zh-CN" w:bidi="ar"/>
              </w:rPr>
              <w:t>核心内容</w:t>
            </w:r>
          </w:p>
          <w:p w14:paraId="0CD80EB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kern w:val="0"/>
                <w:sz w:val="24"/>
                <w:szCs w:val="24"/>
                <w:lang w:val="en-US" w:eastAsia="zh-CN" w:bidi="ar"/>
              </w:rPr>
            </w:pPr>
          </w:p>
        </w:tc>
        <w:tc>
          <w:tcPr>
            <w:tcW w:w="3990" w:type="dxa"/>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0073298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kern w:val="0"/>
                <w:sz w:val="24"/>
                <w:szCs w:val="24"/>
                <w:lang w:val="en-US" w:eastAsia="zh-CN" w:bidi="ar"/>
              </w:rPr>
            </w:pPr>
            <w:r>
              <w:rPr>
                <w:rFonts w:hint="default" w:ascii="Times New Roman" w:hAnsi="Times New Roman" w:eastAsia="宋体" w:cs="Times New Roman"/>
                <w:b/>
                <w:kern w:val="0"/>
                <w:sz w:val="24"/>
                <w:szCs w:val="24"/>
                <w:lang w:val="en-US" w:eastAsia="zh-CN" w:bidi="ar"/>
              </w:rPr>
              <w:t>关键操作要点</w:t>
            </w:r>
          </w:p>
          <w:p w14:paraId="1AF7B18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kern w:val="0"/>
                <w:sz w:val="24"/>
                <w:szCs w:val="24"/>
                <w:lang w:val="en-US" w:eastAsia="zh-CN" w:bidi="ar"/>
              </w:rPr>
            </w:pPr>
          </w:p>
        </w:tc>
        <w:tc>
          <w:tcPr>
            <w:tcW w:w="2203" w:type="dxa"/>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3DFD71C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kern w:val="0"/>
                <w:sz w:val="24"/>
                <w:szCs w:val="24"/>
                <w:lang w:val="en-US" w:eastAsia="zh-CN" w:bidi="ar"/>
              </w:rPr>
            </w:pPr>
            <w:r>
              <w:rPr>
                <w:rFonts w:hint="default" w:ascii="Times New Roman" w:hAnsi="Times New Roman" w:eastAsia="宋体" w:cs="Times New Roman"/>
                <w:b/>
                <w:kern w:val="0"/>
                <w:sz w:val="24"/>
                <w:szCs w:val="24"/>
                <w:lang w:val="en-US" w:eastAsia="zh-CN" w:bidi="ar"/>
              </w:rPr>
              <w:t>对应工具箱模块</w:t>
            </w:r>
          </w:p>
          <w:p w14:paraId="366737A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kern w:val="0"/>
                <w:sz w:val="24"/>
                <w:szCs w:val="24"/>
                <w:lang w:val="en-US" w:eastAsia="zh-CN" w:bidi="ar"/>
              </w:rPr>
            </w:pPr>
          </w:p>
        </w:tc>
      </w:tr>
      <w:tr w14:paraId="567FA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745" w:type="dxa"/>
            <w:tcBorders>
              <w:top w:val="single" w:color="auto" w:sz="12" w:space="0"/>
              <w:left w:val="nil"/>
              <w:bottom w:val="nil"/>
              <w:right w:val="nil"/>
            </w:tcBorders>
            <w:shd w:val="clear" w:color="auto" w:fill="auto"/>
            <w:noWrap w:val="0"/>
            <w:tcMar>
              <w:top w:w="86" w:type="dxa"/>
              <w:left w:w="-1" w:type="dxa"/>
              <w:bottom w:w="86" w:type="dxa"/>
              <w:right w:w="137" w:type="dxa"/>
            </w:tcMar>
            <w:vAlign w:val="center"/>
          </w:tcPr>
          <w:p w14:paraId="20A45089">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宋体" w:cs="Times New Roman"/>
                <w:b/>
                <w:kern w:val="0"/>
                <w:sz w:val="24"/>
                <w:szCs w:val="24"/>
                <w:lang w:val="en-US" w:eastAsia="zh-CN" w:bidi="ar"/>
              </w:rPr>
            </w:pPr>
            <w:r>
              <w:rPr>
                <w:rFonts w:hint="default" w:ascii="Times New Roman" w:hAnsi="Times New Roman" w:eastAsia="宋体" w:cs="Times New Roman"/>
                <w:b/>
                <w:kern w:val="0"/>
                <w:sz w:val="24"/>
                <w:szCs w:val="24"/>
                <w:lang w:val="en-US" w:eastAsia="zh-CN" w:bidi="ar"/>
              </w:rPr>
              <w:t>Step</w:t>
            </w:r>
          </w:p>
        </w:tc>
        <w:tc>
          <w:tcPr>
            <w:tcW w:w="1719" w:type="dxa"/>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5A97949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kern w:val="0"/>
                <w:sz w:val="24"/>
                <w:szCs w:val="24"/>
                <w:lang w:val="en-US" w:eastAsia="zh-CN" w:bidi="ar"/>
              </w:rPr>
            </w:pPr>
            <w:r>
              <w:rPr>
                <w:rFonts w:hint="default" w:ascii="Times New Roman" w:hAnsi="Times New Roman" w:eastAsia="宋体" w:cs="Times New Roman"/>
                <w:b/>
                <w:kern w:val="0"/>
                <w:sz w:val="24"/>
                <w:szCs w:val="24"/>
                <w:lang w:val="en-US" w:eastAsia="zh-CN" w:bidi="ar"/>
              </w:rPr>
              <w:t>Core</w:t>
            </w:r>
            <w:r>
              <w:rPr>
                <w:rFonts w:hint="eastAsia" w:ascii="Times New Roman" w:hAnsi="Times New Roman" w:eastAsia="宋体" w:cs="Times New Roman"/>
                <w:b/>
                <w:kern w:val="0"/>
                <w:sz w:val="24"/>
                <w:szCs w:val="24"/>
                <w:lang w:val="en-US" w:eastAsia="zh-CN" w:bidi="ar"/>
              </w:rPr>
              <w:t xml:space="preserve"> </w:t>
            </w:r>
            <w:r>
              <w:rPr>
                <w:rFonts w:hint="default" w:ascii="Times New Roman" w:hAnsi="Times New Roman" w:eastAsia="宋体" w:cs="Times New Roman"/>
                <w:b/>
                <w:kern w:val="0"/>
                <w:sz w:val="24"/>
                <w:szCs w:val="24"/>
                <w:lang w:val="en-US" w:eastAsia="zh-CN" w:bidi="ar"/>
              </w:rPr>
              <w:t>Content</w:t>
            </w:r>
          </w:p>
        </w:tc>
        <w:tc>
          <w:tcPr>
            <w:tcW w:w="3990" w:type="dxa"/>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0EE984C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kern w:val="0"/>
                <w:sz w:val="24"/>
                <w:szCs w:val="24"/>
                <w:lang w:val="en-US" w:eastAsia="zh-CN" w:bidi="ar"/>
              </w:rPr>
            </w:pPr>
            <w:r>
              <w:rPr>
                <w:rFonts w:hint="default" w:ascii="Times New Roman" w:hAnsi="Times New Roman" w:eastAsia="宋体" w:cs="Times New Roman"/>
                <w:b/>
                <w:kern w:val="0"/>
                <w:sz w:val="24"/>
                <w:szCs w:val="24"/>
                <w:lang w:val="en-US" w:eastAsia="zh-CN" w:bidi="ar"/>
              </w:rPr>
              <w:t>Key Operation Points</w:t>
            </w:r>
          </w:p>
        </w:tc>
        <w:tc>
          <w:tcPr>
            <w:tcW w:w="2203" w:type="dxa"/>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4037163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kern w:val="0"/>
                <w:sz w:val="24"/>
                <w:szCs w:val="24"/>
                <w:lang w:val="en-US" w:eastAsia="zh-CN" w:bidi="ar"/>
              </w:rPr>
            </w:pPr>
            <w:r>
              <w:rPr>
                <w:rFonts w:hint="default" w:ascii="Times New Roman" w:hAnsi="Times New Roman" w:eastAsia="宋体" w:cs="Times New Roman"/>
                <w:b/>
                <w:kern w:val="0"/>
                <w:sz w:val="24"/>
                <w:szCs w:val="24"/>
                <w:lang w:val="en-US" w:eastAsia="zh-CN" w:bidi="ar"/>
              </w:rPr>
              <w:t>Corresponding Toolbox Module</w:t>
            </w:r>
          </w:p>
        </w:tc>
      </w:tr>
      <w:tr w14:paraId="4EF3F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745" w:type="dxa"/>
            <w:tcBorders>
              <w:top w:val="single" w:color="auto" w:sz="4" w:space="0"/>
              <w:left w:val="nil"/>
              <w:bottom w:val="nil"/>
              <w:right w:val="nil"/>
            </w:tcBorders>
            <w:shd w:val="clear" w:color="auto" w:fill="auto"/>
            <w:noWrap w:val="0"/>
            <w:tcMar>
              <w:top w:w="86" w:type="dxa"/>
              <w:left w:w="-1" w:type="dxa"/>
              <w:bottom w:w="86" w:type="dxa"/>
              <w:right w:w="137" w:type="dxa"/>
            </w:tcMar>
            <w:vAlign w:val="center"/>
          </w:tcPr>
          <w:p w14:paraId="2DA42EB4">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1</w:t>
            </w:r>
          </w:p>
        </w:tc>
        <w:tc>
          <w:tcPr>
            <w:tcW w:w="1719" w:type="dxa"/>
            <w:tcBorders>
              <w:top w:val="single" w:color="auto" w:sz="4" w:space="0"/>
              <w:left w:val="nil"/>
              <w:bottom w:val="nil"/>
              <w:right w:val="nil"/>
            </w:tcBorders>
            <w:shd w:val="clear" w:color="auto" w:fill="auto"/>
            <w:noWrap w:val="0"/>
            <w:tcMar>
              <w:top w:w="86" w:type="dxa"/>
              <w:left w:w="137" w:type="dxa"/>
              <w:bottom w:w="86" w:type="dxa"/>
              <w:right w:w="137" w:type="dxa"/>
            </w:tcMar>
            <w:vAlign w:val="center"/>
          </w:tcPr>
          <w:p w14:paraId="76EAA14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用物准备</w:t>
            </w:r>
          </w:p>
        </w:tc>
        <w:tc>
          <w:tcPr>
            <w:tcW w:w="3990" w:type="dxa"/>
            <w:tcBorders>
              <w:top w:val="single" w:color="auto" w:sz="4" w:space="0"/>
              <w:left w:val="nil"/>
              <w:bottom w:val="nil"/>
              <w:right w:val="nil"/>
            </w:tcBorders>
            <w:shd w:val="clear" w:color="auto" w:fill="auto"/>
            <w:noWrap w:val="0"/>
            <w:tcMar>
              <w:top w:w="86" w:type="dxa"/>
              <w:left w:w="137" w:type="dxa"/>
              <w:bottom w:w="86" w:type="dxa"/>
              <w:right w:w="137" w:type="dxa"/>
            </w:tcMar>
            <w:vAlign w:val="center"/>
          </w:tcPr>
          <w:p w14:paraId="727FEEC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核对剂型、剂量、有效期；物品齐全（笔、针头、棉签、锐器盒）</w:t>
            </w:r>
          </w:p>
        </w:tc>
        <w:tc>
          <w:tcPr>
            <w:tcW w:w="2203" w:type="dxa"/>
            <w:tcBorders>
              <w:top w:val="single" w:color="auto" w:sz="4" w:space="0"/>
              <w:left w:val="nil"/>
              <w:bottom w:val="nil"/>
              <w:right w:val="nil"/>
            </w:tcBorders>
            <w:shd w:val="clear" w:color="auto" w:fill="auto"/>
            <w:noWrap w:val="0"/>
            <w:tcMar>
              <w:top w:w="86" w:type="dxa"/>
              <w:left w:w="137" w:type="dxa"/>
              <w:bottom w:w="86" w:type="dxa"/>
              <w:right w:w="-1" w:type="dxa"/>
            </w:tcMar>
            <w:vAlign w:val="center"/>
          </w:tcPr>
          <w:p w14:paraId="4144734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 xml:space="preserve">用物收纳盒 </w:t>
            </w:r>
          </w:p>
          <w:p w14:paraId="5A2D600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 视频</w:t>
            </w:r>
          </w:p>
        </w:tc>
      </w:tr>
      <w:tr w14:paraId="5C5E2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745" w:type="dxa"/>
            <w:tcBorders>
              <w:top w:val="nil"/>
              <w:left w:val="nil"/>
              <w:bottom w:val="nil"/>
              <w:right w:val="nil"/>
            </w:tcBorders>
            <w:shd w:val="clear" w:color="auto" w:fill="auto"/>
            <w:noWrap w:val="0"/>
            <w:tcMar>
              <w:top w:w="86" w:type="dxa"/>
              <w:left w:w="-1" w:type="dxa"/>
              <w:bottom w:w="86" w:type="dxa"/>
              <w:right w:w="137" w:type="dxa"/>
            </w:tcMar>
            <w:vAlign w:val="center"/>
          </w:tcPr>
          <w:p w14:paraId="47E284FE">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2</w:t>
            </w:r>
          </w:p>
        </w:tc>
        <w:tc>
          <w:tcPr>
            <w:tcW w:w="1719" w:type="dxa"/>
            <w:tcBorders>
              <w:top w:val="nil"/>
              <w:left w:val="nil"/>
              <w:bottom w:val="nil"/>
              <w:right w:val="nil"/>
            </w:tcBorders>
            <w:shd w:val="clear" w:color="auto" w:fill="auto"/>
            <w:noWrap w:val="0"/>
            <w:tcMar>
              <w:top w:w="86" w:type="dxa"/>
              <w:left w:w="137" w:type="dxa"/>
              <w:bottom w:w="86" w:type="dxa"/>
              <w:right w:w="137" w:type="dxa"/>
            </w:tcMar>
            <w:vAlign w:val="center"/>
          </w:tcPr>
          <w:p w14:paraId="25881D7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胰岛素核对</w:t>
            </w:r>
          </w:p>
        </w:tc>
        <w:tc>
          <w:tcPr>
            <w:tcW w:w="3990" w:type="dxa"/>
            <w:tcBorders>
              <w:top w:val="nil"/>
              <w:left w:val="nil"/>
              <w:bottom w:val="nil"/>
              <w:right w:val="nil"/>
            </w:tcBorders>
            <w:shd w:val="clear" w:color="auto" w:fill="auto"/>
            <w:noWrap w:val="0"/>
            <w:tcMar>
              <w:top w:w="86" w:type="dxa"/>
              <w:left w:w="137" w:type="dxa"/>
              <w:bottom w:w="86" w:type="dxa"/>
              <w:right w:w="137" w:type="dxa"/>
            </w:tcMar>
            <w:vAlign w:val="center"/>
          </w:tcPr>
          <w:p w14:paraId="30A29C6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核对患者、医嘱、种类；开封日期标注</w:t>
            </w:r>
          </w:p>
        </w:tc>
        <w:tc>
          <w:tcPr>
            <w:tcW w:w="2203" w:type="dxa"/>
            <w:tcBorders>
              <w:top w:val="nil"/>
              <w:left w:val="nil"/>
              <w:bottom w:val="nil"/>
              <w:right w:val="nil"/>
            </w:tcBorders>
            <w:shd w:val="clear" w:color="auto" w:fill="auto"/>
            <w:noWrap w:val="0"/>
            <w:tcMar>
              <w:top w:w="86" w:type="dxa"/>
              <w:left w:w="137" w:type="dxa"/>
              <w:bottom w:w="86" w:type="dxa"/>
              <w:right w:w="-1" w:type="dxa"/>
            </w:tcMar>
            <w:vAlign w:val="center"/>
          </w:tcPr>
          <w:p w14:paraId="77A352E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 xml:space="preserve">用物收纳盒 </w:t>
            </w:r>
          </w:p>
          <w:p w14:paraId="4E77B95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 视频</w:t>
            </w:r>
          </w:p>
        </w:tc>
      </w:tr>
      <w:tr w14:paraId="08727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745" w:type="dxa"/>
            <w:tcBorders>
              <w:top w:val="nil"/>
              <w:left w:val="nil"/>
              <w:bottom w:val="nil"/>
              <w:right w:val="nil"/>
            </w:tcBorders>
            <w:shd w:val="clear" w:color="auto" w:fill="auto"/>
            <w:noWrap w:val="0"/>
            <w:tcMar>
              <w:top w:w="86" w:type="dxa"/>
              <w:left w:w="-1" w:type="dxa"/>
              <w:bottom w:w="86" w:type="dxa"/>
              <w:right w:w="137" w:type="dxa"/>
            </w:tcMar>
            <w:vAlign w:val="center"/>
          </w:tcPr>
          <w:p w14:paraId="73C7B82B">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3</w:t>
            </w:r>
          </w:p>
        </w:tc>
        <w:tc>
          <w:tcPr>
            <w:tcW w:w="1719" w:type="dxa"/>
            <w:tcBorders>
              <w:top w:val="nil"/>
              <w:left w:val="nil"/>
              <w:bottom w:val="nil"/>
              <w:right w:val="nil"/>
            </w:tcBorders>
            <w:shd w:val="clear" w:color="auto" w:fill="auto"/>
            <w:noWrap w:val="0"/>
            <w:tcMar>
              <w:top w:w="86" w:type="dxa"/>
              <w:left w:w="137" w:type="dxa"/>
              <w:bottom w:w="86" w:type="dxa"/>
              <w:right w:w="137" w:type="dxa"/>
            </w:tcMar>
            <w:vAlign w:val="center"/>
          </w:tcPr>
          <w:p w14:paraId="582E3A2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部位选择</w:t>
            </w:r>
          </w:p>
        </w:tc>
        <w:tc>
          <w:tcPr>
            <w:tcW w:w="3990" w:type="dxa"/>
            <w:tcBorders>
              <w:top w:val="nil"/>
              <w:left w:val="nil"/>
              <w:bottom w:val="nil"/>
              <w:right w:val="nil"/>
            </w:tcBorders>
            <w:shd w:val="clear" w:color="auto" w:fill="auto"/>
            <w:noWrap w:val="0"/>
            <w:tcMar>
              <w:top w:w="86" w:type="dxa"/>
              <w:left w:w="137" w:type="dxa"/>
              <w:bottom w:w="86" w:type="dxa"/>
              <w:right w:w="137" w:type="dxa"/>
            </w:tcMar>
            <w:vAlign w:val="center"/>
          </w:tcPr>
          <w:p w14:paraId="24ED8AB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选皮下脂肪丰富区；轮换规则，间隔&gt;1cm</w:t>
            </w:r>
          </w:p>
        </w:tc>
        <w:tc>
          <w:tcPr>
            <w:tcW w:w="2203" w:type="dxa"/>
            <w:tcBorders>
              <w:top w:val="nil"/>
              <w:left w:val="nil"/>
              <w:bottom w:val="nil"/>
              <w:right w:val="nil"/>
            </w:tcBorders>
            <w:shd w:val="clear" w:color="auto" w:fill="auto"/>
            <w:noWrap w:val="0"/>
            <w:tcMar>
              <w:top w:w="86" w:type="dxa"/>
              <w:left w:w="137" w:type="dxa"/>
              <w:bottom w:w="86" w:type="dxa"/>
              <w:right w:w="-1" w:type="dxa"/>
            </w:tcMar>
            <w:vAlign w:val="center"/>
          </w:tcPr>
          <w:p w14:paraId="1B52E54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 xml:space="preserve">注射轮换图文卡 </w:t>
            </w:r>
          </w:p>
          <w:p w14:paraId="32F4008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 xml:space="preserve">+ </w:t>
            </w:r>
            <w:r>
              <w:rPr>
                <w:rFonts w:hint="eastAsia" w:ascii="Times New Roman" w:hAnsi="Times New Roman" w:eastAsia="宋体" w:cs="Times New Roman"/>
                <w:kern w:val="0"/>
                <w:sz w:val="24"/>
                <w:szCs w:val="24"/>
                <w:lang w:val="en-US" w:eastAsia="zh-CN" w:bidi="ar"/>
              </w:rPr>
              <w:t>视频</w:t>
            </w:r>
          </w:p>
        </w:tc>
      </w:tr>
      <w:tr w14:paraId="6F1E7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745" w:type="dxa"/>
            <w:tcBorders>
              <w:top w:val="nil"/>
              <w:left w:val="nil"/>
              <w:bottom w:val="nil"/>
              <w:right w:val="nil"/>
            </w:tcBorders>
            <w:shd w:val="clear" w:color="auto" w:fill="auto"/>
            <w:noWrap w:val="0"/>
            <w:tcMar>
              <w:top w:w="86" w:type="dxa"/>
              <w:left w:w="-1" w:type="dxa"/>
              <w:bottom w:w="86" w:type="dxa"/>
              <w:right w:w="137" w:type="dxa"/>
            </w:tcMar>
            <w:vAlign w:val="center"/>
          </w:tcPr>
          <w:p w14:paraId="47514A3B">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4</w:t>
            </w:r>
          </w:p>
        </w:tc>
        <w:tc>
          <w:tcPr>
            <w:tcW w:w="1719" w:type="dxa"/>
            <w:tcBorders>
              <w:top w:val="nil"/>
              <w:left w:val="nil"/>
              <w:bottom w:val="nil"/>
              <w:right w:val="nil"/>
            </w:tcBorders>
            <w:shd w:val="clear" w:color="auto" w:fill="auto"/>
            <w:noWrap w:val="0"/>
            <w:tcMar>
              <w:top w:w="86" w:type="dxa"/>
              <w:left w:w="137" w:type="dxa"/>
              <w:bottom w:w="86" w:type="dxa"/>
              <w:right w:w="137" w:type="dxa"/>
            </w:tcMar>
            <w:vAlign w:val="center"/>
          </w:tcPr>
          <w:p w14:paraId="395A0D9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消毒</w:t>
            </w:r>
          </w:p>
        </w:tc>
        <w:tc>
          <w:tcPr>
            <w:tcW w:w="3990" w:type="dxa"/>
            <w:tcBorders>
              <w:top w:val="nil"/>
              <w:left w:val="nil"/>
              <w:bottom w:val="nil"/>
              <w:right w:val="nil"/>
            </w:tcBorders>
            <w:shd w:val="clear" w:color="auto" w:fill="auto"/>
            <w:noWrap w:val="0"/>
            <w:tcMar>
              <w:top w:w="86" w:type="dxa"/>
              <w:left w:w="137" w:type="dxa"/>
              <w:bottom w:w="86" w:type="dxa"/>
              <w:right w:w="137" w:type="dxa"/>
            </w:tcMar>
            <w:vAlign w:val="center"/>
          </w:tcPr>
          <w:p w14:paraId="2C6A11C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75%乙醇螺旋消毒，范围≥5cm；待干</w:t>
            </w:r>
          </w:p>
        </w:tc>
        <w:tc>
          <w:tcPr>
            <w:tcW w:w="2203" w:type="dxa"/>
            <w:tcBorders>
              <w:top w:val="nil"/>
              <w:left w:val="nil"/>
              <w:bottom w:val="nil"/>
              <w:right w:val="nil"/>
            </w:tcBorders>
            <w:shd w:val="clear" w:color="auto" w:fill="auto"/>
            <w:noWrap w:val="0"/>
            <w:tcMar>
              <w:top w:w="86" w:type="dxa"/>
              <w:left w:w="137" w:type="dxa"/>
              <w:bottom w:w="86" w:type="dxa"/>
              <w:right w:w="-1" w:type="dxa"/>
            </w:tcMar>
            <w:vAlign w:val="center"/>
          </w:tcPr>
          <w:p w14:paraId="687F149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 xml:space="preserve">用物收纳盒 </w:t>
            </w:r>
          </w:p>
          <w:p w14:paraId="06B76E6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 xml:space="preserve">+ </w:t>
            </w:r>
            <w:r>
              <w:rPr>
                <w:rFonts w:hint="eastAsia" w:ascii="Times New Roman" w:hAnsi="Times New Roman" w:eastAsia="宋体" w:cs="Times New Roman"/>
                <w:kern w:val="0"/>
                <w:sz w:val="24"/>
                <w:szCs w:val="24"/>
                <w:lang w:val="en-US" w:eastAsia="zh-CN" w:bidi="ar"/>
              </w:rPr>
              <w:t>视频</w:t>
            </w:r>
          </w:p>
        </w:tc>
      </w:tr>
      <w:tr w14:paraId="475BC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745" w:type="dxa"/>
            <w:tcBorders>
              <w:top w:val="nil"/>
              <w:left w:val="nil"/>
              <w:bottom w:val="nil"/>
              <w:right w:val="nil"/>
            </w:tcBorders>
            <w:shd w:val="clear" w:color="auto" w:fill="auto"/>
            <w:noWrap w:val="0"/>
            <w:tcMar>
              <w:top w:w="86" w:type="dxa"/>
              <w:left w:w="-1" w:type="dxa"/>
              <w:bottom w:w="86" w:type="dxa"/>
              <w:right w:w="137" w:type="dxa"/>
            </w:tcMar>
            <w:vAlign w:val="center"/>
          </w:tcPr>
          <w:p w14:paraId="0ED56E7D">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5</w:t>
            </w:r>
          </w:p>
        </w:tc>
        <w:tc>
          <w:tcPr>
            <w:tcW w:w="1719" w:type="dxa"/>
            <w:tcBorders>
              <w:top w:val="nil"/>
              <w:left w:val="nil"/>
              <w:bottom w:val="nil"/>
              <w:right w:val="nil"/>
            </w:tcBorders>
            <w:shd w:val="clear" w:color="auto" w:fill="auto"/>
            <w:noWrap w:val="0"/>
            <w:tcMar>
              <w:top w:w="86" w:type="dxa"/>
              <w:left w:w="137" w:type="dxa"/>
              <w:bottom w:w="86" w:type="dxa"/>
              <w:right w:w="137" w:type="dxa"/>
            </w:tcMar>
            <w:vAlign w:val="center"/>
          </w:tcPr>
          <w:p w14:paraId="0E94ED0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捏皮与进针</w:t>
            </w:r>
          </w:p>
        </w:tc>
        <w:tc>
          <w:tcPr>
            <w:tcW w:w="3990" w:type="dxa"/>
            <w:tcBorders>
              <w:top w:val="nil"/>
              <w:left w:val="nil"/>
              <w:bottom w:val="nil"/>
              <w:right w:val="nil"/>
            </w:tcBorders>
            <w:shd w:val="clear" w:color="auto" w:fill="auto"/>
            <w:noWrap w:val="0"/>
            <w:tcMar>
              <w:top w:w="86" w:type="dxa"/>
              <w:left w:w="137" w:type="dxa"/>
              <w:bottom w:w="86" w:type="dxa"/>
              <w:right w:w="137" w:type="dxa"/>
            </w:tcMar>
            <w:vAlign w:val="center"/>
          </w:tcPr>
          <w:p w14:paraId="2D22DA8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根据针长/胖瘦决定捏皮；4mm垂直进针，≥6mm或消瘦者捏皮45°</w:t>
            </w:r>
          </w:p>
        </w:tc>
        <w:tc>
          <w:tcPr>
            <w:tcW w:w="2203" w:type="dxa"/>
            <w:tcBorders>
              <w:top w:val="nil"/>
              <w:left w:val="nil"/>
              <w:bottom w:val="nil"/>
              <w:right w:val="nil"/>
            </w:tcBorders>
            <w:shd w:val="clear" w:color="auto" w:fill="auto"/>
            <w:noWrap w:val="0"/>
            <w:tcMar>
              <w:top w:w="86" w:type="dxa"/>
              <w:left w:w="137" w:type="dxa"/>
              <w:bottom w:w="86" w:type="dxa"/>
              <w:right w:w="-1" w:type="dxa"/>
            </w:tcMar>
            <w:vAlign w:val="center"/>
          </w:tcPr>
          <w:p w14:paraId="7A0A519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 xml:space="preserve">仿真皮肤注射垫 </w:t>
            </w:r>
          </w:p>
          <w:p w14:paraId="735D025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 xml:space="preserve">+ </w:t>
            </w:r>
            <w:r>
              <w:rPr>
                <w:rFonts w:hint="eastAsia" w:ascii="Times New Roman" w:hAnsi="Times New Roman" w:eastAsia="宋体" w:cs="Times New Roman"/>
                <w:kern w:val="0"/>
                <w:sz w:val="24"/>
                <w:szCs w:val="24"/>
                <w:lang w:val="en-US" w:eastAsia="zh-CN" w:bidi="ar"/>
              </w:rPr>
              <w:t>视频</w:t>
            </w:r>
          </w:p>
        </w:tc>
      </w:tr>
      <w:tr w14:paraId="26FBF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745" w:type="dxa"/>
            <w:tcBorders>
              <w:top w:val="nil"/>
              <w:left w:val="nil"/>
              <w:bottom w:val="nil"/>
              <w:right w:val="nil"/>
            </w:tcBorders>
            <w:shd w:val="clear" w:color="auto" w:fill="auto"/>
            <w:noWrap w:val="0"/>
            <w:tcMar>
              <w:top w:w="86" w:type="dxa"/>
              <w:left w:w="-1" w:type="dxa"/>
              <w:bottom w:w="86" w:type="dxa"/>
              <w:right w:w="137" w:type="dxa"/>
            </w:tcMar>
            <w:vAlign w:val="center"/>
          </w:tcPr>
          <w:p w14:paraId="42F35EBE">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6</w:t>
            </w:r>
          </w:p>
        </w:tc>
        <w:tc>
          <w:tcPr>
            <w:tcW w:w="1719" w:type="dxa"/>
            <w:tcBorders>
              <w:top w:val="nil"/>
              <w:left w:val="nil"/>
              <w:bottom w:val="nil"/>
              <w:right w:val="nil"/>
            </w:tcBorders>
            <w:shd w:val="clear" w:color="auto" w:fill="auto"/>
            <w:noWrap w:val="0"/>
            <w:tcMar>
              <w:top w:w="86" w:type="dxa"/>
              <w:left w:w="137" w:type="dxa"/>
              <w:bottom w:w="86" w:type="dxa"/>
              <w:right w:w="137" w:type="dxa"/>
            </w:tcMar>
            <w:vAlign w:val="center"/>
          </w:tcPr>
          <w:p w14:paraId="1BCF721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注射停留</w:t>
            </w:r>
          </w:p>
        </w:tc>
        <w:tc>
          <w:tcPr>
            <w:tcW w:w="3990" w:type="dxa"/>
            <w:tcBorders>
              <w:top w:val="nil"/>
              <w:left w:val="nil"/>
              <w:bottom w:val="nil"/>
              <w:right w:val="nil"/>
            </w:tcBorders>
            <w:shd w:val="clear" w:color="auto" w:fill="auto"/>
            <w:noWrap w:val="0"/>
            <w:tcMar>
              <w:top w:w="86" w:type="dxa"/>
              <w:left w:w="137" w:type="dxa"/>
              <w:bottom w:w="86" w:type="dxa"/>
              <w:right w:w="137" w:type="dxa"/>
            </w:tcMar>
            <w:vAlign w:val="center"/>
          </w:tcPr>
          <w:p w14:paraId="7B8B103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匀速推注，停留10秒再拔针</w:t>
            </w:r>
          </w:p>
        </w:tc>
        <w:tc>
          <w:tcPr>
            <w:tcW w:w="2203" w:type="dxa"/>
            <w:tcBorders>
              <w:top w:val="nil"/>
              <w:left w:val="nil"/>
              <w:bottom w:val="nil"/>
              <w:right w:val="nil"/>
            </w:tcBorders>
            <w:shd w:val="clear" w:color="auto" w:fill="auto"/>
            <w:noWrap w:val="0"/>
            <w:tcMar>
              <w:top w:w="86" w:type="dxa"/>
              <w:left w:w="137" w:type="dxa"/>
              <w:bottom w:w="86" w:type="dxa"/>
              <w:right w:w="-1" w:type="dxa"/>
            </w:tcMar>
            <w:vAlign w:val="center"/>
          </w:tcPr>
          <w:p w14:paraId="5C7DFE1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仿真皮肤注射垫</w:t>
            </w:r>
          </w:p>
          <w:p w14:paraId="42F7B79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 xml:space="preserve"> + </w:t>
            </w:r>
            <w:r>
              <w:rPr>
                <w:rFonts w:hint="eastAsia" w:ascii="Times New Roman" w:hAnsi="Times New Roman" w:eastAsia="宋体" w:cs="Times New Roman"/>
                <w:kern w:val="0"/>
                <w:sz w:val="24"/>
                <w:szCs w:val="24"/>
                <w:lang w:val="en-US" w:eastAsia="zh-CN" w:bidi="ar"/>
              </w:rPr>
              <w:t>视频</w:t>
            </w:r>
          </w:p>
        </w:tc>
      </w:tr>
      <w:tr w14:paraId="07E1B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745" w:type="dxa"/>
            <w:tcBorders>
              <w:top w:val="nil"/>
              <w:left w:val="nil"/>
              <w:bottom w:val="single" w:color="auto" w:sz="12" w:space="0"/>
              <w:right w:val="nil"/>
            </w:tcBorders>
            <w:shd w:val="clear" w:color="auto" w:fill="auto"/>
            <w:noWrap w:val="0"/>
            <w:tcMar>
              <w:top w:w="86" w:type="dxa"/>
              <w:left w:w="-1" w:type="dxa"/>
              <w:bottom w:w="86" w:type="dxa"/>
              <w:right w:w="137" w:type="dxa"/>
            </w:tcMar>
            <w:vAlign w:val="center"/>
          </w:tcPr>
          <w:p w14:paraId="1B4E91B0">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7</w:t>
            </w:r>
          </w:p>
        </w:tc>
        <w:tc>
          <w:tcPr>
            <w:tcW w:w="1719" w:type="dxa"/>
            <w:tcBorders>
              <w:top w:val="nil"/>
              <w:left w:val="nil"/>
              <w:bottom w:val="single" w:color="auto" w:sz="12" w:space="0"/>
              <w:right w:val="nil"/>
            </w:tcBorders>
            <w:shd w:val="clear" w:color="auto" w:fill="auto"/>
            <w:noWrap w:val="0"/>
            <w:tcMar>
              <w:top w:w="86" w:type="dxa"/>
              <w:left w:w="137" w:type="dxa"/>
              <w:bottom w:w="86" w:type="dxa"/>
              <w:right w:w="137" w:type="dxa"/>
            </w:tcMar>
            <w:vAlign w:val="center"/>
          </w:tcPr>
          <w:p w14:paraId="3873F44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用后处置</w:t>
            </w:r>
          </w:p>
        </w:tc>
        <w:tc>
          <w:tcPr>
            <w:tcW w:w="3990" w:type="dxa"/>
            <w:tcBorders>
              <w:top w:val="nil"/>
              <w:left w:val="nil"/>
              <w:bottom w:val="single" w:color="auto" w:sz="12" w:space="0"/>
              <w:right w:val="nil"/>
            </w:tcBorders>
            <w:shd w:val="clear" w:color="auto" w:fill="auto"/>
            <w:noWrap w:val="0"/>
            <w:tcMar>
              <w:top w:w="86" w:type="dxa"/>
              <w:left w:w="137" w:type="dxa"/>
              <w:bottom w:w="86" w:type="dxa"/>
              <w:right w:w="137" w:type="dxa"/>
            </w:tcMar>
            <w:vAlign w:val="center"/>
          </w:tcPr>
          <w:p w14:paraId="5721D87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先拔针再松捏皮；针头入锐器盒；胰岛素标注开封日期</w:t>
            </w:r>
          </w:p>
        </w:tc>
        <w:tc>
          <w:tcPr>
            <w:tcW w:w="2203" w:type="dxa"/>
            <w:tcBorders>
              <w:top w:val="nil"/>
              <w:left w:val="nil"/>
              <w:bottom w:val="single" w:color="auto" w:sz="12" w:space="0"/>
              <w:right w:val="nil"/>
            </w:tcBorders>
            <w:shd w:val="clear" w:color="auto" w:fill="auto"/>
            <w:noWrap w:val="0"/>
            <w:tcMar>
              <w:top w:w="86" w:type="dxa"/>
              <w:left w:w="137" w:type="dxa"/>
              <w:bottom w:w="86" w:type="dxa"/>
              <w:right w:w="-1" w:type="dxa"/>
            </w:tcMar>
            <w:vAlign w:val="center"/>
          </w:tcPr>
          <w:p w14:paraId="29ABF83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用物收纳盒</w:t>
            </w:r>
          </w:p>
          <w:p w14:paraId="2718D6D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bidi="ar"/>
              </w:rPr>
              <w:t xml:space="preserve"> + </w:t>
            </w:r>
            <w:r>
              <w:rPr>
                <w:rFonts w:hint="eastAsia" w:ascii="Times New Roman" w:hAnsi="Times New Roman" w:eastAsia="宋体" w:cs="Times New Roman"/>
                <w:kern w:val="0"/>
                <w:sz w:val="24"/>
                <w:szCs w:val="24"/>
                <w:lang w:val="en-US" w:eastAsia="zh-CN" w:bidi="ar"/>
              </w:rPr>
              <w:t>视频</w:t>
            </w:r>
          </w:p>
        </w:tc>
      </w:tr>
    </w:tbl>
    <w:p w14:paraId="48DFB584">
      <w:pPr>
        <w:rPr>
          <w:rFonts w:hint="default" w:ascii="Times New Roman" w:hAnsi="Times New Roman" w:eastAsia="宋体" w:cs="Times New Roman"/>
          <w:b w:val="0"/>
          <w:bCs/>
          <w:i w:val="0"/>
          <w:iCs w:val="0"/>
          <w:caps w:val="0"/>
          <w:strike w:val="0"/>
          <w:color w:val="auto"/>
          <w:spacing w:val="0"/>
          <w:sz w:val="21"/>
          <w:szCs w:val="21"/>
          <w:u w:val="none"/>
        </w:rPr>
      </w:pPr>
      <w:r>
        <w:rPr>
          <w:rFonts w:hint="default" w:ascii="Times New Roman" w:hAnsi="Times New Roman" w:eastAsia="宋体" w:cs="Times New Roman"/>
          <w:b/>
          <w:bCs w:val="0"/>
          <w:i w:val="0"/>
          <w:iCs w:val="0"/>
          <w:caps w:val="0"/>
          <w:strike w:val="0"/>
          <w:color w:val="auto"/>
          <w:spacing w:val="0"/>
          <w:sz w:val="21"/>
          <w:szCs w:val="21"/>
          <w:u w:val="none"/>
        </w:rPr>
        <w:t xml:space="preserve">Note: </w:t>
      </w:r>
      <w:r>
        <w:rPr>
          <w:rFonts w:hint="default" w:ascii="Times New Roman" w:hAnsi="Times New Roman" w:eastAsia="宋体" w:cs="Times New Roman"/>
          <w:b w:val="0"/>
          <w:bCs/>
          <w:i w:val="0"/>
          <w:iCs w:val="0"/>
          <w:caps w:val="0"/>
          <w:strike w:val="0"/>
          <w:color w:val="auto"/>
          <w:spacing w:val="0"/>
          <w:sz w:val="21"/>
          <w:szCs w:val="21"/>
          <w:u w:val="none"/>
        </w:rPr>
        <w:t>This checklist is strictly aligned with the Chinese Nursing Association group standard for insulin subcutaneous injection (T/CNAS 21-2021)</w:t>
      </w:r>
      <w:r>
        <w:rPr>
          <w:rFonts w:hint="default" w:ascii="Times New Roman" w:hAnsi="Times New Roman" w:eastAsia="宋体" w:cs="Times New Roman"/>
          <w:b w:val="0"/>
          <w:bCs/>
          <w:i w:val="0"/>
          <w:iCs w:val="0"/>
          <w:caps w:val="0"/>
          <w:strike w:val="0"/>
          <w:color w:val="auto"/>
          <w:spacing w:val="0"/>
          <w:sz w:val="21"/>
          <w:szCs w:val="21"/>
          <w:u w:val="none"/>
          <w:vertAlign w:val="superscript"/>
        </w:rPr>
        <w:t xml:space="preserve"> </w:t>
      </w:r>
      <w:r>
        <w:rPr>
          <w:rFonts w:hint="default" w:ascii="Times New Roman" w:hAnsi="Times New Roman" w:eastAsia="宋体" w:cs="Times New Roman"/>
          <w:b w:val="0"/>
          <w:bCs/>
          <w:i w:val="0"/>
          <w:iCs w:val="0"/>
          <w:caps w:val="0"/>
          <w:strike w:val="0"/>
          <w:color w:val="auto"/>
          <w:spacing w:val="0"/>
          <w:sz w:val="21"/>
          <w:szCs w:val="21"/>
          <w:u w:val="none"/>
        </w:rPr>
        <w:t>. Instructional videos are accessible via the QR code panel on the toolbox. This checklist is a teaching aid and does not replace clinical nursing records.</w:t>
      </w:r>
    </w:p>
    <w:p w14:paraId="61FD040B">
      <w:pPr>
        <w:rPr>
          <w:rFonts w:hint="eastAsia" w:ascii="Times New Roman" w:hAnsi="Times New Roman" w:eastAsia="宋体" w:cs="Times New Roman"/>
          <w:b w:val="0"/>
          <w:bCs/>
          <w:i w:val="0"/>
          <w:iCs w:val="0"/>
          <w:caps w:val="0"/>
          <w:strike w:val="0"/>
          <w:color w:val="auto"/>
          <w:spacing w:val="0"/>
          <w:sz w:val="21"/>
          <w:szCs w:val="21"/>
          <w:u w:val="none"/>
          <w:lang w:val="en-US" w:eastAsia="zh-CN"/>
        </w:rPr>
      </w:pPr>
      <w:r>
        <w:rPr>
          <w:rFonts w:hint="default" w:ascii="Times New Roman" w:hAnsi="Times New Roman" w:eastAsia="宋体" w:cs="Times New Roman"/>
          <w:b w:val="0"/>
          <w:bCs/>
          <w:i w:val="0"/>
          <w:iCs w:val="0"/>
          <w:caps w:val="0"/>
          <w:strike w:val="0"/>
          <w:color w:val="auto"/>
          <w:spacing w:val="0"/>
          <w:sz w:val="21"/>
          <w:szCs w:val="21"/>
          <w:u w:val="none"/>
        </w:rPr>
        <w:t>The QR codes referenced in this checklist are embedded in the physical toolbox and are not functional within this supplementary document</w:t>
      </w:r>
      <w:r>
        <w:rPr>
          <w:rFonts w:hint="eastAsia" w:ascii="Times New Roman" w:hAnsi="Times New Roman" w:eastAsia="宋体" w:cs="Times New Roman"/>
          <w:b w:val="0"/>
          <w:bCs/>
          <w:i w:val="0"/>
          <w:iCs w:val="0"/>
          <w:caps w:val="0"/>
          <w:strike w:val="0"/>
          <w:color w:val="auto"/>
          <w:spacing w:val="0"/>
          <w:sz w:val="21"/>
          <w:szCs w:val="21"/>
          <w:u w:val="none"/>
          <w:lang w:val="en-US" w:eastAsia="zh-CN"/>
        </w:rPr>
        <w:t>.</w:t>
      </w:r>
    </w:p>
    <w:p w14:paraId="3894EDE9">
      <w:pPr>
        <w:rPr>
          <w:rFonts w:hint="default" w:ascii="Times New Roman" w:hAnsi="Times New Roman" w:eastAsia="宋体" w:cs="Times New Roman"/>
          <w:b w:val="0"/>
          <w:bCs/>
          <w:i w:val="0"/>
          <w:iCs w:val="0"/>
          <w:caps w:val="0"/>
          <w:strike w:val="0"/>
          <w:color w:val="auto"/>
          <w:spacing w:val="0"/>
          <w:sz w:val="21"/>
          <w:szCs w:val="21"/>
          <w:u w:val="none"/>
        </w:rPr>
      </w:pPr>
    </w:p>
    <w:p w14:paraId="4BC1C22F">
      <w:pPr>
        <w:rPr>
          <w:rFonts w:hint="default" w:ascii="Times New Roman" w:hAnsi="Times New Roman" w:eastAsia="宋体" w:cs="Times New Roman"/>
          <w:b w:val="0"/>
          <w:bCs/>
          <w:sz w:val="24"/>
          <w:szCs w:val="24"/>
        </w:rPr>
      </w:pPr>
      <w:r>
        <w:rPr>
          <w:rFonts w:hint="default" w:ascii="Times New Roman" w:hAnsi="Times New Roman" w:eastAsia="宋体" w:cs="Times New Roman"/>
          <w:b/>
          <w:bCs w:val="0"/>
          <w:i w:val="0"/>
          <w:iCs w:val="0"/>
          <w:caps w:val="0"/>
          <w:strike w:val="0"/>
          <w:color w:val="auto"/>
          <w:spacing w:val="0"/>
          <w:sz w:val="21"/>
          <w:szCs w:val="21"/>
          <w:u w:val="none"/>
        </w:rPr>
        <w:t>注：</w:t>
      </w:r>
      <w:r>
        <w:rPr>
          <w:rFonts w:hint="default" w:ascii="Times New Roman" w:hAnsi="Times New Roman" w:eastAsia="宋体" w:cs="Times New Roman"/>
          <w:b w:val="0"/>
          <w:bCs/>
          <w:i w:val="0"/>
          <w:iCs w:val="0"/>
          <w:caps w:val="0"/>
          <w:strike w:val="0"/>
          <w:color w:val="auto"/>
          <w:spacing w:val="0"/>
          <w:sz w:val="21"/>
          <w:szCs w:val="21"/>
          <w:u w:val="none"/>
        </w:rPr>
        <w:t>本表严格对标中华护理学会《胰岛素皮下注射》团体标准（T/CNAS 21‑2021）。教学视频可通过工具箱二维码面板扫码获取。本清单为教学辅助工具，不可替代临床护理记录。</w:t>
      </w:r>
    </w:p>
    <w:p w14:paraId="5E0BAD69">
      <w:pPr>
        <w:rPr>
          <w:rFonts w:hint="default" w:ascii="Times New Roman" w:hAnsi="Times New Roman" w:eastAsia="宋体" w:cs="Times New Roman"/>
          <w:b w:val="0"/>
          <w:bCs/>
          <w:sz w:val="24"/>
          <w:szCs w:val="24"/>
        </w:rPr>
      </w:pPr>
    </w:p>
    <w:p w14:paraId="0A638ABB">
      <w:pPr>
        <w:rPr>
          <w:rFonts w:hint="default" w:ascii="Times New Roman" w:hAnsi="Times New Roman" w:eastAsia="宋体" w:cs="Times New Roman"/>
          <w:sz w:val="24"/>
          <w:szCs w:val="24"/>
        </w:rPr>
      </w:pPr>
    </w:p>
    <w:p w14:paraId="327013A5">
      <w:pPr>
        <w:rPr>
          <w:rFonts w:hint="default" w:ascii="Times New Roman" w:hAnsi="Times New Roman" w:eastAsia="宋体" w:cs="Times New Roman"/>
          <w:sz w:val="24"/>
          <w:szCs w:val="24"/>
        </w:rPr>
      </w:pPr>
    </w:p>
    <w:p w14:paraId="6D8C7036">
      <w:pPr>
        <w:spacing w:line="360" w:lineRule="auto"/>
        <w:rPr>
          <w:rFonts w:hint="default" w:ascii="Times New Roman" w:hAnsi="Times New Roman" w:cs="Times New Roman"/>
          <w:sz w:val="24"/>
          <w:szCs w:val="24"/>
        </w:rPr>
      </w:pPr>
    </w:p>
    <w:p w14:paraId="4311C7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A8EDAD">
      <w:pPr>
        <w:spacing w:line="360" w:lineRule="auto"/>
        <w:jc w:val="both"/>
        <w:rPr>
          <w:rFonts w:hint="eastAsia" w:ascii="Times New Roman" w:hAnsi="Times New Roman" w:cs="Times New Roman" w:eastAsiaTheme="minorEastAsia"/>
          <w:b/>
          <w:bCs/>
          <w:sz w:val="28"/>
          <w:szCs w:val="28"/>
          <w:lang w:eastAsia="zh-CN"/>
        </w:rPr>
      </w:pPr>
      <w:r>
        <w:rPr>
          <w:rFonts w:hint="default" w:ascii="Times New Roman" w:hAnsi="Times New Roman" w:cs="Times New Roman"/>
          <w:b/>
          <w:bCs/>
          <w:sz w:val="28"/>
          <w:szCs w:val="28"/>
        </w:rPr>
        <w:t>Supplementary Material S</w:t>
      </w:r>
      <w:r>
        <w:rPr>
          <w:rFonts w:hint="eastAsia" w:ascii="Times New Roman" w:hAnsi="Times New Roman" w:cs="Times New Roman"/>
          <w:b/>
          <w:bCs/>
          <w:sz w:val="28"/>
          <w:szCs w:val="28"/>
          <w:lang w:val="en-US" w:eastAsia="zh-CN"/>
        </w:rPr>
        <w:t>2</w:t>
      </w:r>
      <w:r>
        <w:rPr>
          <w:rFonts w:hint="default" w:ascii="Times New Roman" w:hAnsi="Times New Roman" w:cs="Times New Roman"/>
          <w:b/>
          <w:bCs/>
          <w:sz w:val="28"/>
          <w:szCs w:val="28"/>
        </w:rPr>
        <w:t>: Semi-Structured Interview Guide</w:t>
      </w:r>
    </w:p>
    <w:p w14:paraId="3FFC968E">
      <w:pPr>
        <w:spacing w:line="360" w:lineRule="auto"/>
        <w:rPr>
          <w:rFonts w:hint="default" w:ascii="Times New Roman" w:hAnsi="Times New Roman" w:cs="Times New Roman"/>
          <w:sz w:val="24"/>
          <w:szCs w:val="24"/>
        </w:rPr>
      </w:pPr>
    </w:p>
    <w:p w14:paraId="06EBBFF1">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Supplementary Material S3a: Interview Guide for Clinical Nurses (Junior and Senior Nurses)</w:t>
      </w:r>
    </w:p>
    <w:p w14:paraId="72471D2A">
      <w:pPr>
        <w:spacing w:line="360" w:lineRule="auto"/>
        <w:rPr>
          <w:rFonts w:hint="default" w:ascii="Times New Roman" w:hAnsi="Times New Roman" w:cs="Times New Roman"/>
          <w:sz w:val="24"/>
          <w:szCs w:val="24"/>
        </w:rPr>
      </w:pPr>
    </w:p>
    <w:p w14:paraId="60E73DC7">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Guide A: For Clinical Nurses (Junior and Senior Nurses)</w:t>
      </w:r>
    </w:p>
    <w:p w14:paraId="3E0E53F8">
      <w:pPr>
        <w:spacing w:line="360" w:lineRule="auto"/>
        <w:rPr>
          <w:rFonts w:hint="default" w:ascii="Times New Roman" w:hAnsi="Times New Roman" w:cs="Times New Roman"/>
          <w:sz w:val="24"/>
          <w:szCs w:val="24"/>
        </w:rPr>
      </w:pPr>
    </w:p>
    <w:p w14:paraId="659F46B4">
      <w:pPr>
        <w:spacing w:line="360" w:lineRule="auto"/>
        <w:rPr>
          <w:rFonts w:hint="default" w:ascii="Times New Roman" w:hAnsi="Times New Roman" w:cs="Times New Roman"/>
          <w:sz w:val="24"/>
          <w:szCs w:val="24"/>
        </w:rPr>
      </w:pPr>
      <w:r>
        <w:rPr>
          <w:rFonts w:hint="default" w:ascii="Times New Roman" w:hAnsi="Times New Roman" w:cs="Times New Roman"/>
          <w:b/>
          <w:bCs/>
          <w:sz w:val="24"/>
          <w:szCs w:val="24"/>
        </w:rPr>
        <w:t>Core Perspective:</w:t>
      </w:r>
      <w:r>
        <w:rPr>
          <w:rFonts w:hint="default" w:ascii="Times New Roman" w:hAnsi="Times New Roman" w:cs="Times New Roman"/>
          <w:sz w:val="24"/>
          <w:szCs w:val="24"/>
        </w:rPr>
        <w:t xml:space="preserve"> Clinical Practitioner, Efficiency Enhancer, and Promoter of Standardized Teaching</w:t>
      </w:r>
    </w:p>
    <w:p w14:paraId="3C2352FB">
      <w:pPr>
        <w:spacing w:line="360" w:lineRule="auto"/>
        <w:rPr>
          <w:rFonts w:hint="default" w:ascii="Times New Roman" w:hAnsi="Times New Roman" w:cs="Times New Roman"/>
          <w:sz w:val="24"/>
          <w:szCs w:val="24"/>
        </w:rPr>
      </w:pPr>
    </w:p>
    <w:p w14:paraId="6D15A8BB">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Opening Script:</w:t>
      </w:r>
    </w:p>
    <w:p w14:paraId="4BAD33C2">
      <w:pPr>
        <w:spacing w:line="360" w:lineRule="auto"/>
        <w:rPr>
          <w:rFonts w:hint="default" w:ascii="Times New Roman" w:hAnsi="Times New Roman" w:cs="Times New Roman"/>
          <w:sz w:val="24"/>
          <w:szCs w:val="24"/>
        </w:rPr>
      </w:pPr>
    </w:p>
    <w:p w14:paraId="617099C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“Hello, [Name]. Thank you very much for participating in our usability study on the insulin injection educational toolbox. Your clinical experience and perspectives are invaluable to us. Through this interview, we hope to gain your professional and comprehensive evaluation of this tool, including its strengths, limitations, and feasibility in real clinical settings. The entire session will take approximately </w:t>
      </w:r>
      <w:r>
        <w:rPr>
          <w:rFonts w:hint="default" w:ascii="Times New Roman" w:hAnsi="Times New Roman" w:cs="Times New Roman"/>
          <w:color w:val="0000FF"/>
          <w:sz w:val="24"/>
          <w:szCs w:val="24"/>
        </w:rPr>
        <w:t>30 to 40</w:t>
      </w:r>
      <w:r>
        <w:rPr>
          <w:rFonts w:hint="default" w:ascii="Times New Roman" w:hAnsi="Times New Roman" w:cs="Times New Roman"/>
          <w:sz w:val="24"/>
          <w:szCs w:val="24"/>
        </w:rPr>
        <w:t xml:space="preserve"> minutes, and all your feedback will be strictly confidential. May we begin?”</w:t>
      </w:r>
    </w:p>
    <w:p w14:paraId="4C9D05D4">
      <w:pPr>
        <w:spacing w:line="360" w:lineRule="auto"/>
        <w:rPr>
          <w:rFonts w:hint="default" w:ascii="Times New Roman" w:hAnsi="Times New Roman" w:cs="Times New Roman"/>
          <w:sz w:val="24"/>
          <w:szCs w:val="24"/>
        </w:rPr>
      </w:pPr>
    </w:p>
    <w:p w14:paraId="4542F4FF">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A. Overall Usability Perception (Dimension 1)</w:t>
      </w:r>
    </w:p>
    <w:p w14:paraId="5B0D2335">
      <w:pPr>
        <w:spacing w:line="360" w:lineRule="auto"/>
        <w:rPr>
          <w:rFonts w:hint="default" w:ascii="Times New Roman" w:hAnsi="Times New Roman" w:cs="Times New Roman"/>
          <w:sz w:val="24"/>
          <w:szCs w:val="24"/>
        </w:rPr>
      </w:pPr>
    </w:p>
    <w:p w14:paraId="07AC7E91">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Q1. After using the toolbox, what was the most striking overall impression it left on you?</w:t>
      </w:r>
    </w:p>
    <w:p w14:paraId="051C5658">
      <w:pPr>
        <w:spacing w:line="360" w:lineRule="auto"/>
        <w:rPr>
          <w:rFonts w:hint="default" w:ascii="Times New Roman" w:hAnsi="Times New Roman" w:cs="Times New Roman"/>
          <w:sz w:val="24"/>
          <w:szCs w:val="24"/>
        </w:rPr>
      </w:pPr>
    </w:p>
    <w:p w14:paraId="1BF3E5FE">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Q2. From your professional perspective, do you find its design conceptually valuable? Does it meet the actual needs of clinical education?</w:t>
      </w:r>
    </w:p>
    <w:p w14:paraId="4D6EBE07">
      <w:pPr>
        <w:spacing w:line="360" w:lineRule="auto"/>
        <w:rPr>
          <w:rFonts w:hint="default" w:ascii="Times New Roman" w:hAnsi="Times New Roman" w:cs="Times New Roman"/>
          <w:sz w:val="24"/>
          <w:szCs w:val="24"/>
        </w:rPr>
      </w:pPr>
    </w:p>
    <w:p w14:paraId="11ECB468">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B. Core Module Experience (Dimension 2)</w:t>
      </w:r>
    </w:p>
    <w:p w14:paraId="12A4560B">
      <w:pPr>
        <w:spacing w:line="360" w:lineRule="auto"/>
        <w:rPr>
          <w:rFonts w:hint="default" w:ascii="Times New Roman" w:hAnsi="Times New Roman" w:cs="Times New Roman"/>
          <w:sz w:val="24"/>
          <w:szCs w:val="24"/>
        </w:rPr>
      </w:pPr>
    </w:p>
    <w:p w14:paraId="339D8064">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Q3. In the simulated teaching session, which function did you find most helpful in ensuring educational quality and avoiding omissions? Why?</w:t>
      </w:r>
    </w:p>
    <w:p w14:paraId="3992A7DA">
      <w:pPr>
        <w:spacing w:line="360" w:lineRule="auto"/>
        <w:rPr>
          <w:rFonts w:hint="default" w:ascii="Times New Roman" w:hAnsi="Times New Roman" w:cs="Times New Roman"/>
          <w:sz w:val="24"/>
          <w:szCs w:val="24"/>
        </w:rPr>
      </w:pPr>
    </w:p>
    <w:p w14:paraId="2A458D1F">
      <w:pPr>
        <w:spacing w:line="360" w:lineRule="auto"/>
        <w:rPr>
          <w:rFonts w:hint="default" w:ascii="Times New Roman" w:hAnsi="Times New Roman" w:cs="Times New Roman"/>
          <w:i/>
          <w:iCs/>
          <w:sz w:val="24"/>
          <w:szCs w:val="24"/>
        </w:rPr>
      </w:pPr>
      <w:r>
        <w:rPr>
          <w:rFonts w:hint="default" w:ascii="Times New Roman" w:hAnsi="Times New Roman" w:cs="Times New Roman"/>
          <w:i/>
          <w:iCs/>
          <w:sz w:val="24"/>
          <w:szCs w:val="24"/>
        </w:rPr>
        <w:t>Probe: Is it the checklist, the QR video, or the simulation pad?</w:t>
      </w:r>
    </w:p>
    <w:p w14:paraId="4BADE8E5">
      <w:pPr>
        <w:spacing w:line="360" w:lineRule="auto"/>
        <w:rPr>
          <w:rFonts w:hint="default" w:ascii="Times New Roman" w:hAnsi="Times New Roman" w:cs="Times New Roman"/>
          <w:sz w:val="24"/>
          <w:szCs w:val="24"/>
        </w:rPr>
      </w:pPr>
    </w:p>
    <w:p w14:paraId="1992CDA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Critical Incident Probe: Please recall a memorable experience when using this tool. What happened specifically? What did you do? What was the outcome?</w:t>
      </w:r>
    </w:p>
    <w:p w14:paraId="0D17FF41">
      <w:pPr>
        <w:spacing w:line="360" w:lineRule="auto"/>
        <w:rPr>
          <w:rFonts w:hint="default" w:ascii="Times New Roman" w:hAnsi="Times New Roman" w:cs="Times New Roman"/>
          <w:sz w:val="24"/>
          <w:szCs w:val="24"/>
        </w:rPr>
      </w:pPr>
    </w:p>
    <w:p w14:paraId="1691663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Q4. Compared with your current conventional teaching methods, how does this tool perform in improving teaching efficiency and standardisation? Does it reduce your repetitive work?</w:t>
      </w:r>
    </w:p>
    <w:p w14:paraId="100BCD14">
      <w:pPr>
        <w:spacing w:line="360" w:lineRule="auto"/>
        <w:rPr>
          <w:rFonts w:hint="default" w:ascii="Times New Roman" w:hAnsi="Times New Roman" w:cs="Times New Roman"/>
          <w:sz w:val="24"/>
          <w:szCs w:val="24"/>
        </w:rPr>
      </w:pPr>
    </w:p>
    <w:p w14:paraId="7854B51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Q5. To what extent do you think this tool can help standardise insulin injection teaching across different nurses in the same department (i.e., educational homogenisation)?</w:t>
      </w:r>
    </w:p>
    <w:p w14:paraId="177D98C5">
      <w:pPr>
        <w:spacing w:line="360" w:lineRule="auto"/>
        <w:rPr>
          <w:rFonts w:hint="default" w:ascii="Times New Roman" w:hAnsi="Times New Roman" w:cs="Times New Roman"/>
          <w:sz w:val="24"/>
          <w:szCs w:val="24"/>
        </w:rPr>
      </w:pPr>
    </w:p>
    <w:p w14:paraId="2F318EA6">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C. Contextual Fit and Barriers (Dimension 3)</w:t>
      </w:r>
    </w:p>
    <w:p w14:paraId="3208E90C">
      <w:pPr>
        <w:spacing w:line="360" w:lineRule="auto"/>
        <w:rPr>
          <w:rFonts w:hint="default" w:ascii="Times New Roman" w:hAnsi="Times New Roman" w:cs="Times New Roman"/>
          <w:sz w:val="24"/>
          <w:szCs w:val="24"/>
        </w:rPr>
      </w:pPr>
    </w:p>
    <w:p w14:paraId="76F601F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Q6. What practical barriers or challenges might this tool encounter when introduced into clinical use?</w:t>
      </w:r>
    </w:p>
    <w:p w14:paraId="34D76DFA">
      <w:pPr>
        <w:spacing w:line="360" w:lineRule="auto"/>
        <w:rPr>
          <w:rFonts w:hint="default" w:ascii="Times New Roman" w:hAnsi="Times New Roman" w:cs="Times New Roman"/>
          <w:sz w:val="24"/>
          <w:szCs w:val="24"/>
        </w:rPr>
      </w:pPr>
    </w:p>
    <w:p w14:paraId="70DEFA0F">
      <w:pPr>
        <w:spacing w:line="360" w:lineRule="auto"/>
        <w:rPr>
          <w:rFonts w:hint="default" w:ascii="Times New Roman" w:hAnsi="Times New Roman" w:cs="Times New Roman"/>
          <w:i/>
          <w:iCs/>
          <w:sz w:val="24"/>
          <w:szCs w:val="24"/>
        </w:rPr>
      </w:pPr>
      <w:r>
        <w:rPr>
          <w:rFonts w:hint="default" w:ascii="Times New Roman" w:hAnsi="Times New Roman" w:cs="Times New Roman"/>
          <w:i/>
          <w:iCs/>
          <w:sz w:val="24"/>
          <w:szCs w:val="24"/>
        </w:rPr>
        <w:t>Probe: For example, workflow integration, maintenance/disinfection, time costs.</w:t>
      </w:r>
    </w:p>
    <w:p w14:paraId="273AB347">
      <w:pPr>
        <w:spacing w:line="360" w:lineRule="auto"/>
        <w:rPr>
          <w:rFonts w:hint="default" w:ascii="Times New Roman" w:hAnsi="Times New Roman" w:cs="Times New Roman"/>
          <w:sz w:val="24"/>
          <w:szCs w:val="24"/>
        </w:rPr>
      </w:pPr>
    </w:p>
    <w:p w14:paraId="57E1026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Critical Incident Probe: Please recall a specific instance when you encountered a challenge while using this tool. What happened? How did you handle it?</w:t>
      </w:r>
    </w:p>
    <w:p w14:paraId="6BFD078D">
      <w:pPr>
        <w:spacing w:line="360" w:lineRule="auto"/>
        <w:rPr>
          <w:rFonts w:hint="default" w:ascii="Times New Roman" w:hAnsi="Times New Roman" w:cs="Times New Roman"/>
          <w:sz w:val="24"/>
          <w:szCs w:val="24"/>
        </w:rPr>
      </w:pPr>
    </w:p>
    <w:p w14:paraId="3753E84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Q7. Based on your experience, what 1-2 improvements would be most urgently needed to better serve clinical practice?</w:t>
      </w:r>
    </w:p>
    <w:p w14:paraId="4658DBA1">
      <w:pPr>
        <w:spacing w:line="360" w:lineRule="auto"/>
        <w:rPr>
          <w:rFonts w:hint="default" w:ascii="Times New Roman" w:hAnsi="Times New Roman" w:cs="Times New Roman"/>
          <w:sz w:val="24"/>
          <w:szCs w:val="24"/>
        </w:rPr>
      </w:pPr>
    </w:p>
    <w:p w14:paraId="06F10FA4">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D. Acceptance and Future Outlook (Dimension 4)</w:t>
      </w:r>
    </w:p>
    <w:p w14:paraId="7486A77D">
      <w:pPr>
        <w:spacing w:line="360" w:lineRule="auto"/>
        <w:rPr>
          <w:rFonts w:hint="default" w:ascii="Times New Roman" w:hAnsi="Times New Roman" w:cs="Times New Roman"/>
          <w:sz w:val="24"/>
          <w:szCs w:val="24"/>
        </w:rPr>
      </w:pPr>
    </w:p>
    <w:p w14:paraId="09338550">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Q8a. On a scale of 0 to 10, how likely are you to continue using this tool in your daily practice?</w:t>
      </w:r>
    </w:p>
    <w:p w14:paraId="61DE3418">
      <w:pPr>
        <w:spacing w:line="360" w:lineRule="auto"/>
        <w:rPr>
          <w:rFonts w:hint="default" w:ascii="Times New Roman" w:hAnsi="Times New Roman" w:cs="Times New Roman"/>
          <w:sz w:val="24"/>
          <w:szCs w:val="24"/>
        </w:rPr>
      </w:pPr>
    </w:p>
    <w:p w14:paraId="4AC7000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Q8b. On a scale of 0 to 10, how likely are you to recommend this tool to a colleague?</w:t>
      </w:r>
    </w:p>
    <w:p w14:paraId="53EEE178">
      <w:pPr>
        <w:spacing w:line="360" w:lineRule="auto"/>
        <w:rPr>
          <w:rFonts w:hint="default" w:ascii="Times New Roman" w:hAnsi="Times New Roman" w:cs="Times New Roman"/>
          <w:sz w:val="24"/>
          <w:szCs w:val="24"/>
        </w:rPr>
      </w:pPr>
    </w:p>
    <w:p w14:paraId="0524BD03">
      <w:pPr>
        <w:spacing w:line="360" w:lineRule="auto"/>
        <w:rPr>
          <w:rFonts w:hint="default" w:ascii="Times New Roman" w:hAnsi="Times New Roman" w:cs="Times New Roman"/>
          <w:i/>
          <w:iCs/>
          <w:sz w:val="24"/>
          <w:szCs w:val="24"/>
        </w:rPr>
      </w:pPr>
      <w:r>
        <w:rPr>
          <w:rFonts w:hint="default" w:ascii="Times New Roman" w:hAnsi="Times New Roman" w:cs="Times New Roman"/>
          <w:i/>
          <w:iCs/>
          <w:sz w:val="24"/>
          <w:szCs w:val="24"/>
        </w:rPr>
        <w:t>Probe: If the score is below 9, what improvements would raise it?</w:t>
      </w:r>
    </w:p>
    <w:p w14:paraId="59F1DEC6">
      <w:pPr>
        <w:spacing w:line="360" w:lineRule="auto"/>
        <w:rPr>
          <w:rFonts w:hint="default" w:ascii="Times New Roman" w:hAnsi="Times New Roman" w:cs="Times New Roman"/>
          <w:sz w:val="24"/>
          <w:szCs w:val="24"/>
        </w:rPr>
      </w:pPr>
    </w:p>
    <w:p w14:paraId="1B53DFFE">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Q9. Do you think this tool is valuable for training and assessing junior nurses or interns?</w:t>
      </w:r>
    </w:p>
    <w:p w14:paraId="23D10565">
      <w:pPr>
        <w:spacing w:line="360" w:lineRule="auto"/>
        <w:rPr>
          <w:rFonts w:hint="default" w:ascii="Times New Roman" w:hAnsi="Times New Roman" w:cs="Times New Roman"/>
          <w:sz w:val="24"/>
          <w:szCs w:val="24"/>
        </w:rPr>
      </w:pPr>
    </w:p>
    <w:p w14:paraId="1E9C65E9">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E. System Support and Iteration (Dimension 5)</w:t>
      </w:r>
    </w:p>
    <w:p w14:paraId="56E72FA1">
      <w:pPr>
        <w:spacing w:line="360" w:lineRule="auto"/>
        <w:rPr>
          <w:rFonts w:hint="default" w:ascii="Times New Roman" w:hAnsi="Times New Roman" w:cs="Times New Roman"/>
          <w:b/>
          <w:bCs/>
          <w:sz w:val="24"/>
          <w:szCs w:val="24"/>
        </w:rPr>
      </w:pPr>
    </w:p>
    <w:p w14:paraId="615C52C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Q10. What support would be needed for successful clinical implementation?</w:t>
      </w:r>
    </w:p>
    <w:p w14:paraId="11F81C7C">
      <w:pPr>
        <w:spacing w:line="360" w:lineRule="auto"/>
        <w:rPr>
          <w:rFonts w:hint="default" w:ascii="Times New Roman" w:hAnsi="Times New Roman" w:cs="Times New Roman"/>
          <w:sz w:val="24"/>
          <w:szCs w:val="24"/>
        </w:rPr>
      </w:pPr>
    </w:p>
    <w:p w14:paraId="6DB6721B">
      <w:pPr>
        <w:spacing w:line="360" w:lineRule="auto"/>
        <w:rPr>
          <w:rFonts w:hint="default" w:ascii="Times New Roman" w:hAnsi="Times New Roman" w:cs="Times New Roman"/>
          <w:i/>
          <w:iCs/>
          <w:sz w:val="24"/>
          <w:szCs w:val="24"/>
        </w:rPr>
      </w:pPr>
      <w:r>
        <w:rPr>
          <w:rFonts w:hint="default" w:ascii="Times New Roman" w:hAnsi="Times New Roman" w:cs="Times New Roman"/>
          <w:i/>
          <w:iCs/>
          <w:sz w:val="24"/>
          <w:szCs w:val="24"/>
        </w:rPr>
        <w:t>Probe: For example, administrative support, staff training, or establishing management systems.</w:t>
      </w:r>
    </w:p>
    <w:p w14:paraId="1EAEA762">
      <w:pPr>
        <w:spacing w:line="360" w:lineRule="auto"/>
        <w:rPr>
          <w:rFonts w:hint="default" w:ascii="Times New Roman" w:hAnsi="Times New Roman" w:cs="Times New Roman"/>
          <w:sz w:val="24"/>
          <w:szCs w:val="24"/>
        </w:rPr>
      </w:pPr>
    </w:p>
    <w:p w14:paraId="42CC0D70">
      <w:pPr>
        <w:spacing w:line="360" w:lineRule="auto"/>
        <w:rPr>
          <w:rFonts w:hint="default" w:ascii="Times New Roman" w:hAnsi="Times New Roman" w:cs="Times New Roman"/>
          <w:sz w:val="24"/>
          <w:szCs w:val="24"/>
        </w:rPr>
      </w:pPr>
    </w:p>
    <w:p w14:paraId="4011B6F5">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Supplementary Material S3b: Interview Guide for Nursing Interns</w:t>
      </w:r>
    </w:p>
    <w:p w14:paraId="2B1C48E8">
      <w:pPr>
        <w:spacing w:line="360" w:lineRule="auto"/>
        <w:rPr>
          <w:rFonts w:hint="default" w:ascii="Times New Roman" w:hAnsi="Times New Roman" w:cs="Times New Roman"/>
          <w:sz w:val="24"/>
          <w:szCs w:val="24"/>
        </w:rPr>
      </w:pPr>
    </w:p>
    <w:p w14:paraId="5A24BA49">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Guide B: For Nursing Interns</w:t>
      </w:r>
    </w:p>
    <w:p w14:paraId="385A5821">
      <w:pPr>
        <w:spacing w:line="360" w:lineRule="auto"/>
        <w:rPr>
          <w:rFonts w:hint="default" w:ascii="Times New Roman" w:hAnsi="Times New Roman" w:cs="Times New Roman"/>
          <w:sz w:val="24"/>
          <w:szCs w:val="24"/>
        </w:rPr>
      </w:pPr>
    </w:p>
    <w:p w14:paraId="32634A98">
      <w:pPr>
        <w:spacing w:line="360" w:lineRule="auto"/>
        <w:rPr>
          <w:rFonts w:hint="default" w:ascii="Times New Roman" w:hAnsi="Times New Roman" w:cs="Times New Roman"/>
          <w:sz w:val="24"/>
          <w:szCs w:val="24"/>
        </w:rPr>
      </w:pPr>
      <w:r>
        <w:rPr>
          <w:rFonts w:hint="default" w:ascii="Times New Roman" w:hAnsi="Times New Roman" w:cs="Times New Roman"/>
          <w:b/>
          <w:bCs/>
          <w:sz w:val="24"/>
          <w:szCs w:val="24"/>
        </w:rPr>
        <w:t>Core Perspective:</w:t>
      </w:r>
      <w:r>
        <w:rPr>
          <w:rFonts w:hint="default" w:ascii="Times New Roman" w:hAnsi="Times New Roman" w:cs="Times New Roman"/>
          <w:sz w:val="24"/>
          <w:szCs w:val="24"/>
        </w:rPr>
        <w:t xml:space="preserve"> Novice User, Confidence Builder, Learning Enabler</w:t>
      </w:r>
    </w:p>
    <w:p w14:paraId="16947178">
      <w:pPr>
        <w:spacing w:line="360" w:lineRule="auto"/>
        <w:rPr>
          <w:rFonts w:hint="default" w:ascii="Times New Roman" w:hAnsi="Times New Roman" w:cs="Times New Roman"/>
          <w:sz w:val="24"/>
          <w:szCs w:val="24"/>
        </w:rPr>
      </w:pPr>
    </w:p>
    <w:p w14:paraId="74952285">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Opening Script:</w:t>
      </w:r>
    </w:p>
    <w:p w14:paraId="241FB7F4">
      <w:pPr>
        <w:spacing w:line="360" w:lineRule="auto"/>
        <w:rPr>
          <w:rFonts w:hint="default" w:ascii="Times New Roman" w:hAnsi="Times New Roman" w:cs="Times New Roman"/>
          <w:sz w:val="24"/>
          <w:szCs w:val="24"/>
        </w:rPr>
      </w:pPr>
    </w:p>
    <w:p w14:paraId="29FFFC7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“Hello, [Name]. Thank you for taking part in our experience study on the insulin injection educational toolbox. We’re particularly interested in hearing your genuine thoughts as a nursing intern using this tool, since one of its original design goals was to help novices better accomplish clinical tasks. All your opinions are very valuable—there are no right or wrong answers. The interview will take approximately 30 to 40 minutes, and everything you share will be kept strictly confidential. Shall we begin now?”</w:t>
      </w:r>
    </w:p>
    <w:p w14:paraId="2552D62F">
      <w:pPr>
        <w:spacing w:line="360" w:lineRule="auto"/>
        <w:rPr>
          <w:rFonts w:hint="default" w:ascii="Times New Roman" w:hAnsi="Times New Roman" w:cs="Times New Roman"/>
          <w:sz w:val="24"/>
          <w:szCs w:val="24"/>
        </w:rPr>
      </w:pPr>
    </w:p>
    <w:p w14:paraId="4895871D">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A. Initial Impression and Ease of Learning (Dimension 1)</w:t>
      </w:r>
    </w:p>
    <w:p w14:paraId="33A4D2DA">
      <w:pPr>
        <w:spacing w:line="360" w:lineRule="auto"/>
        <w:rPr>
          <w:rFonts w:hint="default" w:ascii="Times New Roman" w:hAnsi="Times New Roman" w:cs="Times New Roman"/>
          <w:b/>
          <w:bCs/>
          <w:sz w:val="24"/>
          <w:szCs w:val="24"/>
        </w:rPr>
      </w:pPr>
    </w:p>
    <w:p w14:paraId="61C1AD7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Q1. What was your first impression when you first saw this educational toolbox? Did it make you feel comfortable, pressured, or more at ease?</w:t>
      </w:r>
    </w:p>
    <w:p w14:paraId="36104AFE">
      <w:pPr>
        <w:spacing w:line="360" w:lineRule="auto"/>
        <w:rPr>
          <w:rFonts w:hint="default" w:ascii="Times New Roman" w:hAnsi="Times New Roman" w:cs="Times New Roman"/>
          <w:sz w:val="24"/>
          <w:szCs w:val="24"/>
        </w:rPr>
      </w:pPr>
    </w:p>
    <w:p w14:paraId="7B1A28E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Q2. When you first used it, what was the experience like? Were there any parts that you found “easy to understand” or “somewhat confusing”?</w:t>
      </w:r>
    </w:p>
    <w:p w14:paraId="4187737A">
      <w:pPr>
        <w:spacing w:line="360" w:lineRule="auto"/>
        <w:rPr>
          <w:rFonts w:hint="default" w:ascii="Times New Roman" w:hAnsi="Times New Roman" w:cs="Times New Roman"/>
          <w:sz w:val="24"/>
          <w:szCs w:val="24"/>
        </w:rPr>
      </w:pPr>
    </w:p>
    <w:p w14:paraId="53FECE1F">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B. Core Function and Learning Effectiveness (Dimension 2)</w:t>
      </w:r>
    </w:p>
    <w:p w14:paraId="46567026">
      <w:pPr>
        <w:spacing w:line="360" w:lineRule="auto"/>
        <w:rPr>
          <w:rFonts w:hint="default" w:ascii="Times New Roman" w:hAnsi="Times New Roman" w:cs="Times New Roman"/>
          <w:sz w:val="24"/>
          <w:szCs w:val="24"/>
        </w:rPr>
      </w:pPr>
    </w:p>
    <w:p w14:paraId="1BD3FC9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Q3. In the simulated teaching session, which function did you find most helpful? How did it help you?</w:t>
      </w:r>
    </w:p>
    <w:p w14:paraId="4C8A6B51">
      <w:pPr>
        <w:spacing w:line="360" w:lineRule="auto"/>
        <w:rPr>
          <w:rFonts w:hint="default" w:ascii="Times New Roman" w:hAnsi="Times New Roman" w:cs="Times New Roman"/>
          <w:sz w:val="24"/>
          <w:szCs w:val="24"/>
        </w:rPr>
      </w:pPr>
    </w:p>
    <w:p w14:paraId="453E41E7">
      <w:pPr>
        <w:spacing w:line="360" w:lineRule="auto"/>
        <w:rPr>
          <w:rFonts w:hint="default" w:ascii="Times New Roman" w:hAnsi="Times New Roman" w:cs="Times New Roman"/>
          <w:i/>
          <w:iCs/>
          <w:sz w:val="24"/>
          <w:szCs w:val="24"/>
        </w:rPr>
      </w:pPr>
      <w:r>
        <w:rPr>
          <w:rFonts w:hint="default" w:ascii="Times New Roman" w:hAnsi="Times New Roman" w:cs="Times New Roman"/>
          <w:i/>
          <w:iCs/>
          <w:sz w:val="24"/>
          <w:szCs w:val="24"/>
        </w:rPr>
        <w:t>Probe: Did it help you remember better, feel more confident, avoid missing steps—or did it create any new confusion or dependency?</w:t>
      </w:r>
    </w:p>
    <w:p w14:paraId="3944186E">
      <w:pPr>
        <w:spacing w:line="360" w:lineRule="auto"/>
        <w:rPr>
          <w:rFonts w:hint="default" w:ascii="Times New Roman" w:hAnsi="Times New Roman" w:cs="Times New Roman"/>
          <w:sz w:val="24"/>
          <w:szCs w:val="24"/>
        </w:rPr>
      </w:pPr>
    </w:p>
    <w:p w14:paraId="2808C3C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Q4. How did using this tool yourself compare with learning from your supervisor or reviewing materials?</w:t>
      </w:r>
    </w:p>
    <w:p w14:paraId="366A84BC">
      <w:pPr>
        <w:spacing w:line="360" w:lineRule="auto"/>
        <w:rPr>
          <w:rFonts w:hint="default" w:ascii="Times New Roman" w:hAnsi="Times New Roman" w:cs="Times New Roman"/>
          <w:sz w:val="24"/>
          <w:szCs w:val="24"/>
        </w:rPr>
      </w:pPr>
    </w:p>
    <w:p w14:paraId="2FB534E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Q5. Did the prompts in this tool help you remember important steps or avoid omissions?</w:t>
      </w:r>
    </w:p>
    <w:p w14:paraId="4A1CDBF2">
      <w:pPr>
        <w:spacing w:line="360" w:lineRule="auto"/>
        <w:rPr>
          <w:rFonts w:hint="default" w:ascii="Times New Roman" w:hAnsi="Times New Roman" w:cs="Times New Roman"/>
          <w:sz w:val="24"/>
          <w:szCs w:val="24"/>
        </w:rPr>
      </w:pPr>
    </w:p>
    <w:p w14:paraId="3D84D775">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C. Difficulties and Suggestions for Improvement (Dimension 3)</w:t>
      </w:r>
    </w:p>
    <w:p w14:paraId="4D3C9118">
      <w:pPr>
        <w:spacing w:line="360" w:lineRule="auto"/>
        <w:rPr>
          <w:rFonts w:hint="default" w:ascii="Times New Roman" w:hAnsi="Times New Roman" w:cs="Times New Roman"/>
          <w:b/>
          <w:bCs/>
          <w:sz w:val="24"/>
          <w:szCs w:val="24"/>
        </w:rPr>
      </w:pPr>
    </w:p>
    <w:p w14:paraId="41DBD320">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Q6. During the whole process, what was the most difficult or sticking point for you?</w:t>
      </w:r>
    </w:p>
    <w:p w14:paraId="29AB254E">
      <w:pPr>
        <w:spacing w:line="360" w:lineRule="auto"/>
        <w:rPr>
          <w:rFonts w:hint="default" w:ascii="Times New Roman" w:hAnsi="Times New Roman" w:cs="Times New Roman"/>
          <w:sz w:val="24"/>
          <w:szCs w:val="24"/>
        </w:rPr>
      </w:pPr>
    </w:p>
    <w:p w14:paraId="0A45D7A1">
      <w:pPr>
        <w:spacing w:line="360" w:lineRule="auto"/>
        <w:rPr>
          <w:rFonts w:hint="default" w:ascii="Times New Roman" w:hAnsi="Times New Roman" w:cs="Times New Roman"/>
          <w:i/>
          <w:iCs/>
          <w:sz w:val="24"/>
          <w:szCs w:val="24"/>
        </w:rPr>
      </w:pPr>
      <w:r>
        <w:rPr>
          <w:rFonts w:hint="default" w:ascii="Times New Roman" w:hAnsi="Times New Roman" w:cs="Times New Roman"/>
          <w:i/>
          <w:iCs/>
          <w:sz w:val="24"/>
          <w:szCs w:val="24"/>
        </w:rPr>
        <w:t>Critical Incident Probe: Please recall a memorable experience when using this tool (whether smooth or difficult). What happened specifically? What did you do? What was the outcome?</w:t>
      </w:r>
    </w:p>
    <w:p w14:paraId="4502CC27">
      <w:pPr>
        <w:spacing w:line="360" w:lineRule="auto"/>
        <w:rPr>
          <w:rFonts w:hint="default" w:ascii="Times New Roman" w:hAnsi="Times New Roman" w:cs="Times New Roman"/>
          <w:sz w:val="24"/>
          <w:szCs w:val="24"/>
        </w:rPr>
      </w:pPr>
    </w:p>
    <w:p w14:paraId="7C4DC7C1">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Q7. To better support other interns, what improvements would you suggest?</w:t>
      </w:r>
    </w:p>
    <w:p w14:paraId="23718A6B">
      <w:pPr>
        <w:spacing w:line="360" w:lineRule="auto"/>
        <w:rPr>
          <w:rFonts w:hint="default" w:ascii="Times New Roman" w:hAnsi="Times New Roman" w:cs="Times New Roman"/>
          <w:sz w:val="24"/>
          <w:szCs w:val="24"/>
        </w:rPr>
      </w:pPr>
    </w:p>
    <w:p w14:paraId="3900BFCF">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D. Acceptance and Future Outlook (Dimension 4)</w:t>
      </w:r>
    </w:p>
    <w:p w14:paraId="27F74372">
      <w:pPr>
        <w:spacing w:line="360" w:lineRule="auto"/>
        <w:rPr>
          <w:rFonts w:hint="default" w:ascii="Times New Roman" w:hAnsi="Times New Roman" w:cs="Times New Roman"/>
          <w:sz w:val="24"/>
          <w:szCs w:val="24"/>
        </w:rPr>
      </w:pPr>
    </w:p>
    <w:p w14:paraId="466B739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Q8. If you were asked to independently provide insulin injection education to a patient and this tool were available, would you be willing to use it? Please rate from 0 (not willing at all) to 10 (very willing).</w:t>
      </w:r>
    </w:p>
    <w:p w14:paraId="2CD3FF2B">
      <w:pPr>
        <w:spacing w:line="360" w:lineRule="auto"/>
        <w:rPr>
          <w:rFonts w:hint="default" w:ascii="Times New Roman" w:hAnsi="Times New Roman" w:cs="Times New Roman"/>
          <w:sz w:val="24"/>
          <w:szCs w:val="24"/>
        </w:rPr>
      </w:pPr>
    </w:p>
    <w:p w14:paraId="54A4B5FB">
      <w:pPr>
        <w:spacing w:line="360" w:lineRule="auto"/>
        <w:rPr>
          <w:rFonts w:hint="default" w:ascii="Times New Roman" w:hAnsi="Times New Roman" w:cs="Times New Roman"/>
          <w:i/>
          <w:iCs/>
          <w:sz w:val="24"/>
          <w:szCs w:val="24"/>
        </w:rPr>
      </w:pPr>
      <w:r>
        <w:rPr>
          <w:rFonts w:hint="default" w:ascii="Times New Roman" w:hAnsi="Times New Roman" w:cs="Times New Roman"/>
          <w:i/>
          <w:iCs/>
          <w:sz w:val="24"/>
          <w:szCs w:val="24"/>
        </w:rPr>
        <w:t>Probe: Why did you give this score? Is it because of confidence, convenience, or other reasons?</w:t>
      </w:r>
    </w:p>
    <w:p w14:paraId="28A02125">
      <w:pPr>
        <w:spacing w:line="360" w:lineRule="auto"/>
        <w:rPr>
          <w:rFonts w:hint="default" w:ascii="Times New Roman" w:hAnsi="Times New Roman" w:cs="Times New Roman"/>
          <w:sz w:val="24"/>
          <w:szCs w:val="24"/>
        </w:rPr>
      </w:pPr>
    </w:p>
    <w:p w14:paraId="3692751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Q9. Do you think introducing this tool in orientation training or skills assessments would be helpful?</w:t>
      </w:r>
    </w:p>
    <w:p w14:paraId="3C082082">
      <w:pPr>
        <w:spacing w:line="360" w:lineRule="auto"/>
        <w:rPr>
          <w:rFonts w:hint="default" w:ascii="Times New Roman" w:hAnsi="Times New Roman" w:cs="Times New Roman"/>
          <w:sz w:val="24"/>
          <w:szCs w:val="24"/>
        </w:rPr>
      </w:pPr>
    </w:p>
    <w:p w14:paraId="0E17AADF">
      <w:pPr>
        <w:spacing w:line="360" w:lineRule="auto"/>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E. Long-term Use and Iteration (Dimension 5)</w:t>
      </w:r>
    </w:p>
    <w:p w14:paraId="678A34EA">
      <w:pPr>
        <w:spacing w:line="360" w:lineRule="auto"/>
        <w:rPr>
          <w:rFonts w:hint="default" w:ascii="Times New Roman" w:hAnsi="Times New Roman" w:cs="Times New Roman"/>
          <w:sz w:val="24"/>
          <w:szCs w:val="24"/>
        </w:rPr>
      </w:pPr>
    </w:p>
    <w:p w14:paraId="3DEEF3E1">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Q10. When you become a new nurse in the future, would you still be willing to continue using it? Why?</w:t>
      </w:r>
    </w:p>
    <w:p w14:paraId="05F6594D">
      <w:pPr>
        <w:spacing w:line="360" w:lineRule="auto"/>
        <w:rPr>
          <w:rFonts w:hint="default" w:ascii="Times New Roman" w:hAnsi="Times New Roman" w:cs="Times New Roman"/>
          <w:sz w:val="24"/>
          <w:szCs w:val="24"/>
        </w:rPr>
      </w:pPr>
    </w:p>
    <w:p w14:paraId="6E2D20B0">
      <w:pPr>
        <w:spacing w:line="360" w:lineRule="auto"/>
        <w:rPr>
          <w:rFonts w:hint="default" w:ascii="Times New Roman" w:hAnsi="Times New Roman" w:cs="Times New Roman"/>
          <w:sz w:val="24"/>
          <w:szCs w:val="24"/>
        </w:rPr>
      </w:pPr>
    </w:p>
    <w:p w14:paraId="0B8C60D6">
      <w:pPr>
        <w:spacing w:line="360" w:lineRule="auto"/>
        <w:rPr>
          <w:rFonts w:hint="default" w:ascii="Times New Roman" w:hAnsi="Times New Roman" w:cs="Times New Roman"/>
          <w:sz w:val="24"/>
          <w:szCs w:val="24"/>
        </w:rPr>
      </w:pPr>
    </w:p>
    <w:p w14:paraId="0713A901">
      <w:pPr>
        <w:rPr>
          <w:rFonts w:hint="default" w:ascii="Times New Roman" w:hAnsi="Times New Roman" w:eastAsia="Segoe UI" w:cs="Times New Roman"/>
          <w:b/>
          <w:bCs/>
          <w:i w:val="0"/>
          <w:iCs w:val="0"/>
          <w:caps w:val="0"/>
          <w:color w:val="0F1115"/>
          <w:spacing w:val="0"/>
          <w:sz w:val="24"/>
          <w:szCs w:val="24"/>
          <w:shd w:val="clear" w:fill="FFFFFF"/>
        </w:rPr>
      </w:pPr>
      <w:r>
        <w:rPr>
          <w:rFonts w:hint="default" w:ascii="Times New Roman" w:hAnsi="Times New Roman" w:eastAsia="Segoe UI" w:cs="Times New Roman"/>
          <w:b/>
          <w:bCs/>
          <w:i w:val="0"/>
          <w:iCs w:val="0"/>
          <w:caps w:val="0"/>
          <w:color w:val="0F1115"/>
          <w:spacing w:val="0"/>
          <w:sz w:val="24"/>
          <w:szCs w:val="24"/>
          <w:shd w:val="clear" w:fill="FFFFFF"/>
        </w:rPr>
        <w:br w:type="page"/>
      </w:r>
    </w:p>
    <w:p w14:paraId="0B96DF58">
      <w:pPr>
        <w:spacing w:line="360" w:lineRule="auto"/>
        <w:jc w:val="left"/>
        <w:rPr>
          <w:rFonts w:hint="default" w:ascii="Times New Roman" w:hAnsi="Times New Roman" w:cs="Times New Roman"/>
          <w:b/>
          <w:bCs/>
          <w:sz w:val="28"/>
          <w:szCs w:val="36"/>
        </w:rPr>
      </w:pPr>
      <w:r>
        <w:rPr>
          <w:rFonts w:hint="default" w:ascii="Times New Roman" w:hAnsi="Times New Roman" w:cs="Times New Roman"/>
          <w:b/>
          <w:bCs/>
          <w:sz w:val="28"/>
          <w:szCs w:val="36"/>
        </w:rPr>
        <w:t>Supplementary Material S</w:t>
      </w:r>
      <w:r>
        <w:rPr>
          <w:rFonts w:hint="eastAsia" w:ascii="Times New Roman" w:hAnsi="Times New Roman" w:cs="Times New Roman"/>
          <w:b/>
          <w:bCs/>
          <w:sz w:val="28"/>
          <w:szCs w:val="36"/>
          <w:lang w:val="en-US" w:eastAsia="zh-CN"/>
        </w:rPr>
        <w:t>3</w:t>
      </w:r>
      <w:r>
        <w:rPr>
          <w:rFonts w:hint="default" w:ascii="Times New Roman" w:hAnsi="Times New Roman" w:cs="Times New Roman"/>
          <w:b/>
          <w:bCs/>
          <w:sz w:val="28"/>
          <w:szCs w:val="36"/>
        </w:rPr>
        <w:t>: Thematic Analysis Codebook</w:t>
      </w:r>
    </w:p>
    <w:p w14:paraId="46E3BDBA">
      <w:pPr>
        <w:spacing w:line="360" w:lineRule="auto"/>
        <w:rPr>
          <w:rFonts w:hint="default" w:ascii="Times New Roman" w:hAnsi="Times New Roman" w:cs="Times New Roman"/>
          <w:b w:val="0"/>
          <w:bCs w:val="0"/>
          <w:sz w:val="24"/>
          <w:szCs w:val="32"/>
        </w:rPr>
      </w:pPr>
    </w:p>
    <w:p w14:paraId="34439035">
      <w:pPr>
        <w:spacing w:line="360" w:lineRule="auto"/>
        <w:rPr>
          <w:rFonts w:hint="default" w:ascii="Times New Roman" w:hAnsi="Times New Roman" w:cs="Times New Roman"/>
          <w:b w:val="0"/>
          <w:bCs w:val="0"/>
          <w:sz w:val="24"/>
          <w:szCs w:val="32"/>
        </w:rPr>
      </w:pPr>
      <w:r>
        <w:rPr>
          <w:rFonts w:hint="default" w:ascii="Times New Roman" w:hAnsi="Times New Roman" w:cs="Times New Roman"/>
          <w:b/>
          <w:bCs/>
          <w:sz w:val="24"/>
          <w:szCs w:val="32"/>
        </w:rPr>
        <w:t>Note:</w:t>
      </w:r>
      <w:r>
        <w:rPr>
          <w:rFonts w:hint="default" w:ascii="Times New Roman" w:hAnsi="Times New Roman" w:cs="Times New Roman"/>
          <w:b w:val="0"/>
          <w:bCs w:val="0"/>
          <w:sz w:val="24"/>
          <w:szCs w:val="32"/>
        </w:rPr>
        <w:t>This codebook documents the thematic analysis process following Braun &amp; Clarke‘s (2006[3</w:t>
      </w:r>
      <w:r>
        <w:rPr>
          <w:rFonts w:hint="eastAsia" w:ascii="Times New Roman" w:hAnsi="Times New Roman" w:cs="Times New Roman"/>
          <w:b w:val="0"/>
          <w:bCs w:val="0"/>
          <w:sz w:val="24"/>
          <w:szCs w:val="32"/>
          <w:lang w:val="en-US" w:eastAsia="zh-CN"/>
        </w:rPr>
        <w:t>5</w:t>
      </w:r>
      <w:r>
        <w:rPr>
          <w:rFonts w:hint="default" w:ascii="Times New Roman" w:hAnsi="Times New Roman" w:cs="Times New Roman"/>
          <w:b w:val="0"/>
          <w:bCs w:val="0"/>
          <w:sz w:val="24"/>
          <w:szCs w:val="32"/>
        </w:rPr>
        <w:t>]) six-phase approach. Two researchers coded independently, achieving 85% simple percent agreement; discrepancies were resolved through discussion until consensus was reached. Coding continued until thematic saturation was achieved.</w:t>
      </w:r>
    </w:p>
    <w:p w14:paraId="34D78D7A">
      <w:pPr>
        <w:spacing w:line="360" w:lineRule="auto"/>
        <w:rPr>
          <w:rFonts w:hint="default" w:ascii="Times New Roman" w:hAnsi="Times New Roman" w:cs="Times New Roman"/>
          <w:b w:val="0"/>
          <w:bCs w:val="0"/>
          <w:sz w:val="24"/>
          <w:szCs w:val="32"/>
        </w:rPr>
      </w:pPr>
    </w:p>
    <w:p w14:paraId="442EDEB7">
      <w:pPr>
        <w:spacing w:line="360" w:lineRule="auto"/>
        <w:rPr>
          <w:rFonts w:hint="default" w:ascii="Times New Roman" w:hAnsi="Times New Roman" w:cs="Times New Roman"/>
          <w:b w:val="0"/>
          <w:bCs w:val="0"/>
          <w:sz w:val="24"/>
          <w:szCs w:val="32"/>
        </w:rPr>
      </w:pPr>
      <w:r>
        <w:rPr>
          <w:rFonts w:hint="default" w:ascii="Times New Roman" w:hAnsi="Times New Roman" w:cs="Times New Roman"/>
          <w:b/>
          <w:bCs/>
          <w:sz w:val="24"/>
          <w:szCs w:val="32"/>
        </w:rPr>
        <w:t>Coding Tree Structure</w:t>
      </w:r>
    </w:p>
    <w:p w14:paraId="5C164460">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Thematic Analysis Coding Tree (N = 26)</w:t>
      </w:r>
    </w:p>
    <w:p w14:paraId="25A915C0">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w:t>
      </w:r>
    </w:p>
    <w:p w14:paraId="4443E38A">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Junior Nurses (n = 7)</w:t>
      </w:r>
    </w:p>
    <w:p w14:paraId="5A739E66">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 Seamless Workflow Integration</w:t>
      </w:r>
    </w:p>
    <w:p w14:paraId="24E9CB51">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 High integration</w:t>
      </w:r>
    </w:p>
    <w:p w14:paraId="1C867295">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 Reduced search effort</w:t>
      </w:r>
    </w:p>
    <w:p w14:paraId="07BE9903">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 Enhanced coherence</w:t>
      </w:r>
    </w:p>
    <w:p w14:paraId="5235955C">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w:t>
      </w:r>
    </w:p>
    <w:p w14:paraId="3DD48200">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Nursing Interns (n = 9)</w:t>
      </w:r>
    </w:p>
    <w:p w14:paraId="4C285BEF">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 Structured Scaffolding Reliance</w:t>
      </w:r>
    </w:p>
    <w:p w14:paraId="2B828669">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 Step-by-step guidance preference</w:t>
      </w:r>
    </w:p>
    <w:p w14:paraId="406B22A6">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 Fear of omission</w:t>
      </w:r>
    </w:p>
    <w:p w14:paraId="651B1652">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 Confidence building</w:t>
      </w:r>
    </w:p>
    <w:p w14:paraId="6D7F04D3">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w:t>
      </w:r>
    </w:p>
    <w:p w14:paraId="2E5C698E">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Senior Nurses (n = 10)</w:t>
      </w:r>
    </w:p>
    <w:p w14:paraId="40130954">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xml:space="preserve">    └── Redundancy &amp; Efficiency Loss</w:t>
      </w:r>
    </w:p>
    <w:p w14:paraId="02410EAA">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xml:space="preserve">        ├── High information density</w:t>
      </w:r>
    </w:p>
    <w:p w14:paraId="6FAFC9A4">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xml:space="preserve">        ├── Time-consuming filtering</w:t>
      </w:r>
    </w:p>
    <w:p w14:paraId="7AAA75C5">
      <w:pPr>
        <w:spacing w:line="360" w:lineRule="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xml:space="preserve">        └── Disruption of clinical decisions</w:t>
      </w:r>
    </w:p>
    <w:p w14:paraId="19ABF1BF">
      <w:pPr>
        <w:spacing w:line="360" w:lineRule="auto"/>
        <w:rPr>
          <w:rFonts w:hint="default" w:ascii="Times New Roman" w:hAnsi="Times New Roman" w:cs="Times New Roman"/>
          <w:b w:val="0"/>
          <w:bCs w:val="0"/>
          <w:sz w:val="24"/>
          <w:szCs w:val="32"/>
        </w:rPr>
      </w:pPr>
    </w:p>
    <w:p w14:paraId="0452EC6B">
      <w:pPr>
        <w:spacing w:line="360" w:lineRule="auto"/>
        <w:rPr>
          <w:rFonts w:hint="default" w:ascii="Times New Roman" w:hAnsi="Times New Roman" w:cs="Times New Roman"/>
          <w:b/>
          <w:bCs/>
          <w:sz w:val="24"/>
          <w:szCs w:val="32"/>
        </w:rPr>
      </w:pPr>
      <w:r>
        <w:rPr>
          <w:rFonts w:hint="default" w:ascii="Times New Roman" w:hAnsi="Times New Roman" w:cs="Times New Roman"/>
          <w:b/>
          <w:bCs/>
          <w:sz w:val="24"/>
          <w:szCs w:val="32"/>
        </w:rPr>
        <w:t>Theme Definitions and Representative Quotes</w:t>
      </w:r>
    </w:p>
    <w:p w14:paraId="1E65EBCC">
      <w:pPr>
        <w:spacing w:line="360" w:lineRule="auto"/>
        <w:rPr>
          <w:rFonts w:hint="default" w:ascii="Times New Roman" w:hAnsi="Times New Roman" w:cs="Times New Roman"/>
          <w:b w:val="0"/>
          <w:bCs w:val="0"/>
          <w:sz w:val="24"/>
          <w:szCs w:val="32"/>
        </w:rPr>
      </w:pPr>
    </w:p>
    <w:tbl>
      <w:tblPr>
        <w:tblStyle w:val="7"/>
        <w:tblW w:w="513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345"/>
        <w:gridCol w:w="2044"/>
        <w:gridCol w:w="3105"/>
        <w:gridCol w:w="2186"/>
      </w:tblGrid>
      <w:tr w14:paraId="434B4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blHeader/>
          <w:jc w:val="center"/>
        </w:trPr>
        <w:tc>
          <w:tcPr>
            <w:tcW w:w="775" w:type="pct"/>
            <w:tcBorders>
              <w:top w:val="single" w:color="auto" w:sz="12" w:space="0"/>
              <w:left w:val="nil"/>
              <w:bottom w:val="nil"/>
              <w:right w:val="nil"/>
            </w:tcBorders>
            <w:shd w:val="clear" w:color="auto" w:fill="FFFFFF"/>
            <w:noWrap w:val="0"/>
            <w:tcMar>
              <w:top w:w="86" w:type="dxa"/>
              <w:left w:w="-1" w:type="dxa"/>
              <w:bottom w:w="86" w:type="dxa"/>
              <w:right w:w="137" w:type="dxa"/>
            </w:tcMar>
            <w:vAlign w:val="center"/>
          </w:tcPr>
          <w:p w14:paraId="450C0F75">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b/>
                <w:i w:val="0"/>
                <w:iCs w:val="0"/>
                <w:caps w:val="0"/>
                <w:color w:val="0F1115"/>
                <w:spacing w:val="0"/>
                <w:sz w:val="22"/>
                <w:szCs w:val="22"/>
              </w:rPr>
            </w:pPr>
            <w:r>
              <w:rPr>
                <w:rFonts w:hint="default" w:ascii="Times New Roman" w:hAnsi="Times New Roman" w:eastAsia="Segoe UI" w:cs="Times New Roman"/>
                <w:b/>
                <w:bCs/>
                <w:i w:val="0"/>
                <w:iCs w:val="0"/>
                <w:caps w:val="0"/>
                <w:color w:val="0F1115"/>
                <w:spacing w:val="0"/>
                <w:kern w:val="0"/>
                <w:sz w:val="22"/>
                <w:szCs w:val="22"/>
                <w:lang w:val="en-US" w:eastAsia="zh-CN" w:bidi="ar"/>
              </w:rPr>
              <w:t>Theme</w:t>
            </w:r>
          </w:p>
        </w:tc>
        <w:tc>
          <w:tcPr>
            <w:tcW w:w="1177" w:type="pct"/>
            <w:tcBorders>
              <w:top w:val="single" w:color="auto" w:sz="12" w:space="0"/>
              <w:left w:val="nil"/>
              <w:bottom w:val="nil"/>
              <w:right w:val="nil"/>
            </w:tcBorders>
            <w:shd w:val="clear" w:color="auto" w:fill="FFFFFF"/>
            <w:noWrap w:val="0"/>
            <w:tcMar>
              <w:top w:w="86" w:type="dxa"/>
              <w:left w:w="137" w:type="dxa"/>
              <w:bottom w:w="86" w:type="dxa"/>
              <w:right w:w="137" w:type="dxa"/>
            </w:tcMar>
            <w:vAlign w:val="center"/>
          </w:tcPr>
          <w:p w14:paraId="3ABBEE60">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b/>
                <w:i w:val="0"/>
                <w:iCs w:val="0"/>
                <w:caps w:val="0"/>
                <w:color w:val="0F1115"/>
                <w:spacing w:val="0"/>
                <w:sz w:val="22"/>
                <w:szCs w:val="22"/>
              </w:rPr>
            </w:pPr>
            <w:r>
              <w:rPr>
                <w:rFonts w:hint="default" w:ascii="Times New Roman" w:hAnsi="Times New Roman" w:eastAsia="Segoe UI" w:cs="Times New Roman"/>
                <w:b/>
                <w:bCs/>
                <w:i w:val="0"/>
                <w:iCs w:val="0"/>
                <w:caps w:val="0"/>
                <w:color w:val="0F1115"/>
                <w:spacing w:val="0"/>
                <w:kern w:val="0"/>
                <w:sz w:val="22"/>
                <w:szCs w:val="22"/>
                <w:lang w:val="en-US" w:eastAsia="zh-CN" w:bidi="ar"/>
              </w:rPr>
              <w:t>Sub-themes / Codes</w:t>
            </w:r>
          </w:p>
        </w:tc>
        <w:tc>
          <w:tcPr>
            <w:tcW w:w="1788" w:type="pct"/>
            <w:tcBorders>
              <w:top w:val="single" w:color="auto" w:sz="12" w:space="0"/>
              <w:left w:val="nil"/>
              <w:bottom w:val="nil"/>
              <w:right w:val="nil"/>
            </w:tcBorders>
            <w:shd w:val="clear" w:color="auto" w:fill="FFFFFF"/>
            <w:noWrap w:val="0"/>
            <w:tcMar>
              <w:top w:w="86" w:type="dxa"/>
              <w:left w:w="137" w:type="dxa"/>
              <w:bottom w:w="86" w:type="dxa"/>
              <w:right w:w="137" w:type="dxa"/>
            </w:tcMar>
            <w:vAlign w:val="center"/>
          </w:tcPr>
          <w:p w14:paraId="679E5C44">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b/>
                <w:i w:val="0"/>
                <w:iCs w:val="0"/>
                <w:caps w:val="0"/>
                <w:color w:val="0F1115"/>
                <w:spacing w:val="0"/>
                <w:sz w:val="22"/>
                <w:szCs w:val="22"/>
              </w:rPr>
            </w:pPr>
            <w:r>
              <w:rPr>
                <w:rFonts w:hint="default" w:ascii="Times New Roman" w:hAnsi="Times New Roman" w:eastAsia="Segoe UI" w:cs="Times New Roman"/>
                <w:b/>
                <w:bCs/>
                <w:i w:val="0"/>
                <w:iCs w:val="0"/>
                <w:caps w:val="0"/>
                <w:color w:val="0F1115"/>
                <w:spacing w:val="0"/>
                <w:kern w:val="0"/>
                <w:sz w:val="22"/>
                <w:szCs w:val="22"/>
                <w:lang w:val="en-US" w:eastAsia="zh-CN" w:bidi="ar"/>
              </w:rPr>
              <w:t>Definition</w:t>
            </w:r>
          </w:p>
        </w:tc>
        <w:tc>
          <w:tcPr>
            <w:tcW w:w="1259" w:type="pct"/>
            <w:tcBorders>
              <w:top w:val="single" w:color="auto" w:sz="12" w:space="0"/>
              <w:left w:val="nil"/>
              <w:bottom w:val="nil"/>
              <w:right w:val="nil"/>
            </w:tcBorders>
            <w:shd w:val="clear" w:color="auto" w:fill="FFFFFF"/>
            <w:noWrap w:val="0"/>
            <w:tcMar>
              <w:top w:w="86" w:type="dxa"/>
              <w:left w:w="137" w:type="dxa"/>
              <w:bottom w:w="86" w:type="dxa"/>
              <w:right w:w="137" w:type="dxa"/>
            </w:tcMar>
            <w:vAlign w:val="center"/>
          </w:tcPr>
          <w:p w14:paraId="50A4170C">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b/>
                <w:i w:val="0"/>
                <w:iCs w:val="0"/>
                <w:caps w:val="0"/>
                <w:color w:val="0F1115"/>
                <w:spacing w:val="0"/>
                <w:sz w:val="22"/>
                <w:szCs w:val="22"/>
              </w:rPr>
            </w:pPr>
            <w:r>
              <w:rPr>
                <w:rFonts w:hint="default" w:ascii="Times New Roman" w:hAnsi="Times New Roman" w:eastAsia="Segoe UI" w:cs="Times New Roman"/>
                <w:b/>
                <w:bCs/>
                <w:i w:val="0"/>
                <w:iCs w:val="0"/>
                <w:caps w:val="0"/>
                <w:color w:val="0F1115"/>
                <w:spacing w:val="0"/>
                <w:kern w:val="0"/>
                <w:sz w:val="22"/>
                <w:szCs w:val="22"/>
                <w:lang w:val="en-US" w:eastAsia="zh-CN" w:bidi="ar"/>
              </w:rPr>
              <w:t>Representative Quote</w:t>
            </w:r>
          </w:p>
        </w:tc>
      </w:tr>
      <w:tr w14:paraId="633D3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775" w:type="pct"/>
            <w:tcBorders>
              <w:top w:val="single" w:color="auto" w:sz="4" w:space="0"/>
              <w:left w:val="nil"/>
              <w:bottom w:val="nil"/>
              <w:right w:val="nil"/>
            </w:tcBorders>
            <w:shd w:val="clear" w:color="auto" w:fill="FFFFFF"/>
            <w:noWrap w:val="0"/>
            <w:tcMar>
              <w:top w:w="86" w:type="dxa"/>
              <w:left w:w="-1" w:type="dxa"/>
              <w:bottom w:w="86" w:type="dxa"/>
              <w:right w:w="137" w:type="dxa"/>
            </w:tcMar>
            <w:vAlign w:val="center"/>
          </w:tcPr>
          <w:p w14:paraId="2F92D060">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b/>
                <w:bCs/>
                <w:i w:val="0"/>
                <w:iCs w:val="0"/>
                <w:caps w:val="0"/>
                <w:color w:val="0F1115"/>
                <w:spacing w:val="0"/>
                <w:kern w:val="0"/>
                <w:sz w:val="22"/>
                <w:szCs w:val="22"/>
                <w:lang w:val="en-US" w:eastAsia="zh-CN" w:bidi="ar"/>
              </w:rPr>
              <w:t>Seamless Workflow Integration</w:t>
            </w:r>
          </w:p>
        </w:tc>
        <w:tc>
          <w:tcPr>
            <w:tcW w:w="1177" w:type="pct"/>
            <w:tcBorders>
              <w:top w:val="single" w:color="auto" w:sz="4" w:space="0"/>
              <w:left w:val="nil"/>
              <w:bottom w:val="nil"/>
              <w:right w:val="nil"/>
            </w:tcBorders>
            <w:shd w:val="clear" w:color="auto" w:fill="FFFFFF"/>
            <w:noWrap w:val="0"/>
            <w:tcMar>
              <w:top w:w="86" w:type="dxa"/>
              <w:left w:w="137" w:type="dxa"/>
              <w:bottom w:w="86" w:type="dxa"/>
              <w:right w:w="137" w:type="dxa"/>
            </w:tcMar>
            <w:vAlign w:val="center"/>
          </w:tcPr>
          <w:p w14:paraId="32E891F6">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kern w:val="0"/>
                <w:sz w:val="22"/>
                <w:szCs w:val="22"/>
                <w:lang w:val="en-US" w:eastAsia="zh-CN" w:bidi="ar"/>
              </w:rPr>
              <w:t>• High integration</w:t>
            </w:r>
            <w:r>
              <w:rPr>
                <w:rFonts w:hint="default" w:ascii="Times New Roman" w:hAnsi="Times New Roman" w:eastAsia="Segoe UI" w:cs="Times New Roman"/>
                <w:i w:val="0"/>
                <w:iCs w:val="0"/>
                <w:caps w:val="0"/>
                <w:color w:val="0F1115"/>
                <w:spacing w:val="0"/>
                <w:kern w:val="0"/>
                <w:sz w:val="22"/>
                <w:szCs w:val="22"/>
                <w:lang w:val="en-US" w:eastAsia="zh-CN" w:bidi="ar"/>
              </w:rPr>
              <w:br w:type="textWrapping"/>
            </w:r>
            <w:r>
              <w:rPr>
                <w:rFonts w:hint="default" w:ascii="Times New Roman" w:hAnsi="Times New Roman" w:eastAsia="Segoe UI" w:cs="Times New Roman"/>
                <w:i w:val="0"/>
                <w:iCs w:val="0"/>
                <w:caps w:val="0"/>
                <w:color w:val="0F1115"/>
                <w:spacing w:val="0"/>
                <w:kern w:val="0"/>
                <w:sz w:val="22"/>
                <w:szCs w:val="22"/>
                <w:lang w:val="en-US" w:eastAsia="zh-CN" w:bidi="ar"/>
              </w:rPr>
              <w:t>• Reduced search effort</w:t>
            </w:r>
            <w:r>
              <w:rPr>
                <w:rFonts w:hint="default" w:ascii="Times New Roman" w:hAnsi="Times New Roman" w:eastAsia="Segoe UI" w:cs="Times New Roman"/>
                <w:i w:val="0"/>
                <w:iCs w:val="0"/>
                <w:caps w:val="0"/>
                <w:color w:val="0F1115"/>
                <w:spacing w:val="0"/>
                <w:kern w:val="0"/>
                <w:sz w:val="22"/>
                <w:szCs w:val="22"/>
                <w:lang w:val="en-US" w:eastAsia="zh-CN" w:bidi="ar"/>
              </w:rPr>
              <w:br w:type="textWrapping"/>
            </w:r>
            <w:r>
              <w:rPr>
                <w:rFonts w:hint="default" w:ascii="Times New Roman" w:hAnsi="Times New Roman" w:eastAsia="Segoe UI" w:cs="Times New Roman"/>
                <w:i w:val="0"/>
                <w:iCs w:val="0"/>
                <w:caps w:val="0"/>
                <w:color w:val="0F1115"/>
                <w:spacing w:val="0"/>
                <w:kern w:val="0"/>
                <w:sz w:val="22"/>
                <w:szCs w:val="22"/>
                <w:lang w:val="en-US" w:eastAsia="zh-CN" w:bidi="ar"/>
              </w:rPr>
              <w:t>• Teaching coherence</w:t>
            </w:r>
          </w:p>
        </w:tc>
        <w:tc>
          <w:tcPr>
            <w:tcW w:w="1788" w:type="pct"/>
            <w:tcBorders>
              <w:top w:val="single" w:color="auto" w:sz="4" w:space="0"/>
              <w:left w:val="nil"/>
              <w:bottom w:val="nil"/>
              <w:right w:val="nil"/>
            </w:tcBorders>
            <w:shd w:val="clear" w:color="auto" w:fill="FFFFFF"/>
            <w:noWrap w:val="0"/>
            <w:tcMar>
              <w:top w:w="86" w:type="dxa"/>
              <w:left w:w="137" w:type="dxa"/>
              <w:bottom w:w="86" w:type="dxa"/>
              <w:right w:w="137" w:type="dxa"/>
            </w:tcMar>
            <w:vAlign w:val="center"/>
          </w:tcPr>
          <w:p w14:paraId="32C6B2FE">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kern w:val="0"/>
                <w:sz w:val="22"/>
                <w:szCs w:val="22"/>
                <w:lang w:val="en-US" w:eastAsia="zh-CN" w:bidi="ar"/>
              </w:rPr>
              <w:t>The digital tool integrates smoothly into clinical routines, enhancing operational efficiency and maintaining teaching continuity without requiring additional preparation or cognitive load.</w:t>
            </w:r>
          </w:p>
        </w:tc>
        <w:tc>
          <w:tcPr>
            <w:tcW w:w="1259" w:type="pct"/>
            <w:tcBorders>
              <w:top w:val="single" w:color="auto" w:sz="4" w:space="0"/>
              <w:left w:val="nil"/>
              <w:bottom w:val="nil"/>
              <w:right w:val="nil"/>
            </w:tcBorders>
            <w:shd w:val="clear" w:color="auto" w:fill="FFFFFF"/>
            <w:noWrap w:val="0"/>
            <w:tcMar>
              <w:top w:w="86" w:type="dxa"/>
              <w:left w:w="137" w:type="dxa"/>
              <w:bottom w:w="86" w:type="dxa"/>
              <w:right w:w="-1" w:type="dxa"/>
            </w:tcMar>
            <w:vAlign w:val="center"/>
          </w:tcPr>
          <w:p w14:paraId="22D0BB5C">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kern w:val="0"/>
                <w:sz w:val="22"/>
                <w:szCs w:val="22"/>
                <w:lang w:val="en-US" w:eastAsia="zh-CN" w:bidi="ar"/>
              </w:rPr>
              <w:t>“A complete system — I can just take it and directly educate the patient, very convenient.” (N</w:t>
            </w:r>
            <w:r>
              <w:rPr>
                <w:rFonts w:hint="eastAsia" w:ascii="Times New Roman" w:hAnsi="Times New Roman" w:eastAsia="Segoe UI" w:cs="Times New Roman"/>
                <w:i w:val="0"/>
                <w:iCs w:val="0"/>
                <w:caps w:val="0"/>
                <w:color w:val="0F1115"/>
                <w:spacing w:val="0"/>
                <w:kern w:val="0"/>
                <w:sz w:val="22"/>
                <w:szCs w:val="22"/>
                <w:lang w:val="en-US" w:eastAsia="zh-CN" w:bidi="ar"/>
              </w:rPr>
              <w:t>26</w:t>
            </w:r>
            <w:r>
              <w:rPr>
                <w:rFonts w:hint="default" w:ascii="Times New Roman" w:hAnsi="Times New Roman" w:eastAsia="Segoe UI" w:cs="Times New Roman"/>
                <w:i w:val="0"/>
                <w:iCs w:val="0"/>
                <w:caps w:val="0"/>
                <w:color w:val="0F1115"/>
                <w:spacing w:val="0"/>
                <w:kern w:val="0"/>
                <w:sz w:val="22"/>
                <w:szCs w:val="22"/>
                <w:lang w:val="en-US" w:eastAsia="zh-CN" w:bidi="ar"/>
              </w:rPr>
              <w:t>, Junior Nurse, 3 yrs)</w:t>
            </w:r>
          </w:p>
        </w:tc>
      </w:tr>
      <w:tr w14:paraId="41060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775" w:type="pct"/>
            <w:tcBorders>
              <w:top w:val="nil"/>
              <w:left w:val="nil"/>
              <w:bottom w:val="nil"/>
              <w:right w:val="nil"/>
            </w:tcBorders>
            <w:shd w:val="clear" w:color="auto" w:fill="FFFFFF"/>
            <w:noWrap w:val="0"/>
            <w:tcMar>
              <w:top w:w="86" w:type="dxa"/>
              <w:left w:w="-1" w:type="dxa"/>
              <w:bottom w:w="86" w:type="dxa"/>
              <w:right w:w="137" w:type="dxa"/>
            </w:tcMar>
            <w:vAlign w:val="center"/>
          </w:tcPr>
          <w:p w14:paraId="5B9DF7A5">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b/>
                <w:bCs/>
                <w:i w:val="0"/>
                <w:iCs w:val="0"/>
                <w:caps w:val="0"/>
                <w:color w:val="0F1115"/>
                <w:spacing w:val="0"/>
                <w:kern w:val="0"/>
                <w:sz w:val="22"/>
                <w:szCs w:val="22"/>
                <w:lang w:val="en-US" w:eastAsia="zh-CN" w:bidi="ar"/>
              </w:rPr>
              <w:t>Structured Scaffolding Reliance</w:t>
            </w:r>
          </w:p>
        </w:tc>
        <w:tc>
          <w:tcPr>
            <w:tcW w:w="1177" w:type="pct"/>
            <w:tcBorders>
              <w:top w:val="nil"/>
              <w:left w:val="nil"/>
              <w:bottom w:val="nil"/>
              <w:right w:val="nil"/>
            </w:tcBorders>
            <w:shd w:val="clear" w:color="auto" w:fill="FFFFFF"/>
            <w:noWrap w:val="0"/>
            <w:tcMar>
              <w:top w:w="86" w:type="dxa"/>
              <w:left w:w="137" w:type="dxa"/>
              <w:bottom w:w="86" w:type="dxa"/>
              <w:right w:w="137" w:type="dxa"/>
            </w:tcMar>
            <w:vAlign w:val="center"/>
          </w:tcPr>
          <w:p w14:paraId="5A473D33">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kern w:val="0"/>
                <w:sz w:val="22"/>
                <w:szCs w:val="22"/>
                <w:lang w:val="en-US" w:eastAsia="zh-CN" w:bidi="ar"/>
              </w:rPr>
              <w:t>• Step-by-step guidance preference</w:t>
            </w:r>
            <w:r>
              <w:rPr>
                <w:rFonts w:hint="default" w:ascii="Times New Roman" w:hAnsi="Times New Roman" w:eastAsia="Segoe UI" w:cs="Times New Roman"/>
                <w:i w:val="0"/>
                <w:iCs w:val="0"/>
                <w:caps w:val="0"/>
                <w:color w:val="0F1115"/>
                <w:spacing w:val="0"/>
                <w:kern w:val="0"/>
                <w:sz w:val="22"/>
                <w:szCs w:val="22"/>
                <w:lang w:val="en-US" w:eastAsia="zh-CN" w:bidi="ar"/>
              </w:rPr>
              <w:br w:type="textWrapping"/>
            </w:r>
            <w:r>
              <w:rPr>
                <w:rFonts w:hint="default" w:ascii="Times New Roman" w:hAnsi="Times New Roman" w:eastAsia="Segoe UI" w:cs="Times New Roman"/>
                <w:i w:val="0"/>
                <w:iCs w:val="0"/>
                <w:caps w:val="0"/>
                <w:color w:val="0F1115"/>
                <w:spacing w:val="0"/>
                <w:kern w:val="0"/>
                <w:sz w:val="22"/>
                <w:szCs w:val="22"/>
                <w:lang w:val="en-US" w:eastAsia="zh-CN" w:bidi="ar"/>
              </w:rPr>
              <w:t>• Fear of omission</w:t>
            </w:r>
            <w:r>
              <w:rPr>
                <w:rFonts w:hint="default" w:ascii="Times New Roman" w:hAnsi="Times New Roman" w:eastAsia="Segoe UI" w:cs="Times New Roman"/>
                <w:i w:val="0"/>
                <w:iCs w:val="0"/>
                <w:caps w:val="0"/>
                <w:color w:val="0F1115"/>
                <w:spacing w:val="0"/>
                <w:kern w:val="0"/>
                <w:sz w:val="22"/>
                <w:szCs w:val="22"/>
                <w:lang w:val="en-US" w:eastAsia="zh-CN" w:bidi="ar"/>
              </w:rPr>
              <w:br w:type="textWrapping"/>
            </w:r>
            <w:r>
              <w:rPr>
                <w:rFonts w:hint="default" w:ascii="Times New Roman" w:hAnsi="Times New Roman" w:eastAsia="Segoe UI" w:cs="Times New Roman"/>
                <w:i w:val="0"/>
                <w:iCs w:val="0"/>
                <w:caps w:val="0"/>
                <w:color w:val="0F1115"/>
                <w:spacing w:val="0"/>
                <w:kern w:val="0"/>
                <w:sz w:val="22"/>
                <w:szCs w:val="22"/>
                <w:lang w:val="en-US" w:eastAsia="zh-CN" w:bidi="ar"/>
              </w:rPr>
              <w:t>• Confidence building</w:t>
            </w:r>
          </w:p>
        </w:tc>
        <w:tc>
          <w:tcPr>
            <w:tcW w:w="1788" w:type="pct"/>
            <w:tcBorders>
              <w:top w:val="nil"/>
              <w:left w:val="nil"/>
              <w:bottom w:val="nil"/>
              <w:right w:val="nil"/>
            </w:tcBorders>
            <w:shd w:val="clear" w:color="auto" w:fill="FFFFFF"/>
            <w:noWrap w:val="0"/>
            <w:tcMar>
              <w:top w:w="86" w:type="dxa"/>
              <w:left w:w="137" w:type="dxa"/>
              <w:bottom w:w="86" w:type="dxa"/>
              <w:right w:w="137" w:type="dxa"/>
            </w:tcMar>
            <w:vAlign w:val="center"/>
          </w:tcPr>
          <w:p w14:paraId="1968B061">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kern w:val="0"/>
                <w:sz w:val="22"/>
                <w:szCs w:val="22"/>
                <w:lang w:val="en-US" w:eastAsia="zh-CN" w:bidi="ar"/>
              </w:rPr>
              <w:t>Novice clinicians depend on explicit, sequential guidance to mitigate uncertainty, reduce anxiety about procedural errors, and gradually build clinical self-efficacy.</w:t>
            </w:r>
          </w:p>
        </w:tc>
        <w:tc>
          <w:tcPr>
            <w:tcW w:w="1259" w:type="pct"/>
            <w:tcBorders>
              <w:top w:val="nil"/>
              <w:left w:val="nil"/>
              <w:bottom w:val="nil"/>
              <w:right w:val="nil"/>
            </w:tcBorders>
            <w:shd w:val="clear" w:color="auto" w:fill="FFFFFF"/>
            <w:noWrap w:val="0"/>
            <w:tcMar>
              <w:top w:w="86" w:type="dxa"/>
              <w:left w:w="137" w:type="dxa"/>
              <w:bottom w:w="86" w:type="dxa"/>
              <w:right w:w="-1" w:type="dxa"/>
            </w:tcMar>
            <w:vAlign w:val="center"/>
          </w:tcPr>
          <w:p w14:paraId="0427C8B3">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kern w:val="0"/>
                <w:sz w:val="22"/>
                <w:szCs w:val="22"/>
                <w:lang w:val="en-US" w:eastAsia="zh-CN" w:bidi="ar"/>
              </w:rPr>
              <w:t>“Just follow the steps, no need to worry about missing anything.” (N4, Nursing Intern, 0 yrs)</w:t>
            </w:r>
          </w:p>
        </w:tc>
      </w:tr>
      <w:tr w14:paraId="4619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775" w:type="pct"/>
            <w:tcBorders>
              <w:top w:val="nil"/>
              <w:left w:val="nil"/>
              <w:bottom w:val="single" w:color="auto" w:sz="12" w:space="0"/>
              <w:right w:val="nil"/>
            </w:tcBorders>
            <w:shd w:val="clear" w:color="auto" w:fill="FFFFFF"/>
            <w:noWrap w:val="0"/>
            <w:tcMar>
              <w:top w:w="86" w:type="dxa"/>
              <w:left w:w="-1" w:type="dxa"/>
              <w:bottom w:w="86" w:type="dxa"/>
              <w:right w:w="137" w:type="dxa"/>
            </w:tcMar>
            <w:vAlign w:val="center"/>
          </w:tcPr>
          <w:p w14:paraId="212A6155">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b/>
                <w:bCs/>
                <w:i w:val="0"/>
                <w:iCs w:val="0"/>
                <w:caps w:val="0"/>
                <w:color w:val="0F1115"/>
                <w:spacing w:val="0"/>
                <w:kern w:val="0"/>
                <w:sz w:val="22"/>
                <w:szCs w:val="22"/>
                <w:lang w:val="en-US" w:eastAsia="zh-CN" w:bidi="ar"/>
              </w:rPr>
              <w:t>Redundancy &amp; Efficiency Loss</w:t>
            </w:r>
          </w:p>
        </w:tc>
        <w:tc>
          <w:tcPr>
            <w:tcW w:w="1177" w:type="pct"/>
            <w:tcBorders>
              <w:top w:val="nil"/>
              <w:left w:val="nil"/>
              <w:bottom w:val="single" w:color="auto" w:sz="12" w:space="0"/>
              <w:right w:val="nil"/>
            </w:tcBorders>
            <w:shd w:val="clear" w:color="auto" w:fill="FFFFFF"/>
            <w:noWrap w:val="0"/>
            <w:tcMar>
              <w:top w:w="86" w:type="dxa"/>
              <w:left w:w="137" w:type="dxa"/>
              <w:bottom w:w="86" w:type="dxa"/>
              <w:right w:w="137" w:type="dxa"/>
            </w:tcMar>
            <w:vAlign w:val="center"/>
          </w:tcPr>
          <w:p w14:paraId="6EFE9E94">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kern w:val="0"/>
                <w:sz w:val="22"/>
                <w:szCs w:val="22"/>
                <w:lang w:val="en-US" w:eastAsia="zh-CN" w:bidi="ar"/>
              </w:rPr>
              <w:t>• High information density</w:t>
            </w:r>
            <w:r>
              <w:rPr>
                <w:rFonts w:hint="default" w:ascii="Times New Roman" w:hAnsi="Times New Roman" w:eastAsia="Segoe UI" w:cs="Times New Roman"/>
                <w:i w:val="0"/>
                <w:iCs w:val="0"/>
                <w:caps w:val="0"/>
                <w:color w:val="0F1115"/>
                <w:spacing w:val="0"/>
                <w:kern w:val="0"/>
                <w:sz w:val="22"/>
                <w:szCs w:val="22"/>
                <w:lang w:val="en-US" w:eastAsia="zh-CN" w:bidi="ar"/>
              </w:rPr>
              <w:br w:type="textWrapping"/>
            </w:r>
            <w:r>
              <w:rPr>
                <w:rFonts w:hint="default" w:ascii="Times New Roman" w:hAnsi="Times New Roman" w:eastAsia="Segoe UI" w:cs="Times New Roman"/>
                <w:i w:val="0"/>
                <w:iCs w:val="0"/>
                <w:caps w:val="0"/>
                <w:color w:val="0F1115"/>
                <w:spacing w:val="0"/>
                <w:kern w:val="0"/>
                <w:sz w:val="22"/>
                <w:szCs w:val="22"/>
                <w:lang w:val="en-US" w:eastAsia="zh-CN" w:bidi="ar"/>
              </w:rPr>
              <w:t>•Time-consuming filtering</w:t>
            </w:r>
            <w:r>
              <w:rPr>
                <w:rFonts w:hint="default" w:ascii="Times New Roman" w:hAnsi="Times New Roman" w:eastAsia="Segoe UI" w:cs="Times New Roman"/>
                <w:i w:val="0"/>
                <w:iCs w:val="0"/>
                <w:caps w:val="0"/>
                <w:color w:val="0F1115"/>
                <w:spacing w:val="0"/>
                <w:kern w:val="0"/>
                <w:sz w:val="22"/>
                <w:szCs w:val="22"/>
                <w:lang w:val="en-US" w:eastAsia="zh-CN" w:bidi="ar"/>
              </w:rPr>
              <w:br w:type="textWrapping"/>
            </w:r>
            <w:r>
              <w:rPr>
                <w:rFonts w:hint="default" w:ascii="Times New Roman" w:hAnsi="Times New Roman" w:eastAsia="Segoe UI" w:cs="Times New Roman"/>
                <w:i w:val="0"/>
                <w:iCs w:val="0"/>
                <w:caps w:val="0"/>
                <w:color w:val="0F1115"/>
                <w:spacing w:val="0"/>
                <w:kern w:val="0"/>
                <w:sz w:val="22"/>
                <w:szCs w:val="22"/>
                <w:lang w:val="en-US" w:eastAsia="zh-CN" w:bidi="ar"/>
              </w:rPr>
              <w:t>• Disruption of clinical decisions</w:t>
            </w:r>
          </w:p>
        </w:tc>
        <w:tc>
          <w:tcPr>
            <w:tcW w:w="1788" w:type="pct"/>
            <w:tcBorders>
              <w:top w:val="nil"/>
              <w:left w:val="nil"/>
              <w:bottom w:val="single" w:color="auto" w:sz="12" w:space="0"/>
              <w:right w:val="nil"/>
            </w:tcBorders>
            <w:shd w:val="clear" w:color="auto" w:fill="FFFFFF"/>
            <w:noWrap w:val="0"/>
            <w:tcMar>
              <w:top w:w="86" w:type="dxa"/>
              <w:left w:w="137" w:type="dxa"/>
              <w:bottom w:w="86" w:type="dxa"/>
              <w:right w:w="137" w:type="dxa"/>
            </w:tcMar>
            <w:vAlign w:val="center"/>
          </w:tcPr>
          <w:p w14:paraId="4B33C4A4">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kern w:val="0"/>
                <w:sz w:val="22"/>
                <w:szCs w:val="22"/>
                <w:lang w:val="en-US" w:eastAsia="zh-CN" w:bidi="ar"/>
              </w:rPr>
              <w:t>Experienced nurses perceive excessive or repetitive information as cognitive clutter, requiring additional effort to filter core content and interrupting intuitive, pattern-based clinical decision-making.</w:t>
            </w:r>
          </w:p>
        </w:tc>
        <w:tc>
          <w:tcPr>
            <w:tcW w:w="1259" w:type="pct"/>
            <w:tcBorders>
              <w:top w:val="nil"/>
              <w:left w:val="nil"/>
              <w:bottom w:val="single" w:color="auto" w:sz="12" w:space="0"/>
              <w:right w:val="nil"/>
            </w:tcBorders>
            <w:shd w:val="clear" w:color="auto" w:fill="FFFFFF"/>
            <w:noWrap w:val="0"/>
            <w:tcMar>
              <w:top w:w="86" w:type="dxa"/>
              <w:left w:w="137" w:type="dxa"/>
              <w:bottom w:w="86" w:type="dxa"/>
              <w:right w:w="-1" w:type="dxa"/>
            </w:tcMar>
            <w:vAlign w:val="center"/>
          </w:tcPr>
          <w:p w14:paraId="18328255">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kern w:val="0"/>
                <w:sz w:val="22"/>
                <w:szCs w:val="22"/>
                <w:lang w:val="en-US" w:eastAsia="zh-CN" w:bidi="ar"/>
              </w:rPr>
              <w:t>“There are too many QR codes and materials stuck everywhere — it’s visually</w:t>
            </w:r>
            <w:r>
              <w:rPr>
                <w:rFonts w:hint="eastAsia" w:ascii="Times New Roman" w:hAnsi="Times New Roman" w:eastAsia="Segoe UI" w:cs="Times New Roman"/>
                <w:i w:val="0"/>
                <w:iCs w:val="0"/>
                <w:caps w:val="0"/>
                <w:color w:val="0F1115"/>
                <w:spacing w:val="0"/>
                <w:kern w:val="0"/>
                <w:sz w:val="22"/>
                <w:szCs w:val="22"/>
                <w:lang w:val="en-US" w:eastAsia="zh-CN" w:bidi="ar"/>
              </w:rPr>
              <w:t xml:space="preserve"> </w:t>
            </w:r>
            <w:r>
              <w:rPr>
                <w:rFonts w:hint="default" w:ascii="Times New Roman" w:hAnsi="Times New Roman" w:eastAsia="Segoe UI" w:cs="Times New Roman"/>
                <w:i w:val="0"/>
                <w:iCs w:val="0"/>
                <w:caps w:val="0"/>
                <w:color w:val="0F1115"/>
                <w:spacing w:val="0"/>
                <w:kern w:val="0"/>
                <w:sz w:val="22"/>
                <w:szCs w:val="22"/>
                <w:lang w:val="en-US" w:eastAsia="zh-CN" w:bidi="ar"/>
              </w:rPr>
              <w:t>overwhelming.” (N6, Senior Nurse, 20 yrs)</w:t>
            </w:r>
          </w:p>
        </w:tc>
      </w:tr>
    </w:tbl>
    <w:p w14:paraId="7BA80C5A">
      <w:pPr>
        <w:spacing w:line="360" w:lineRule="auto"/>
        <w:rPr>
          <w:rFonts w:hint="default" w:ascii="Times New Roman" w:hAnsi="Times New Roman" w:cs="Times New Roman"/>
          <w:b w:val="0"/>
          <w:bCs w:val="0"/>
          <w:sz w:val="24"/>
          <w:szCs w:val="32"/>
        </w:rPr>
      </w:pPr>
    </w:p>
    <w:p w14:paraId="14FEE16D">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br w:type="page"/>
      </w:r>
    </w:p>
    <w:p w14:paraId="252B9B94">
      <w:pPr>
        <w:jc w:val="both"/>
        <w:rPr>
          <w:rFonts w:hint="default" w:ascii="Times New Roman" w:hAnsi="Times New Roman" w:eastAsia="Segoe UI" w:cs="Times New Roman"/>
          <w:b/>
          <w:bCs/>
          <w:caps w:val="0"/>
          <w:color w:val="0F1115"/>
          <w:spacing w:val="0"/>
          <w:sz w:val="28"/>
          <w:szCs w:val="28"/>
          <w:shd w:val="clear" w:fill="FFFFFF"/>
        </w:rPr>
      </w:pPr>
      <w:r>
        <w:rPr>
          <w:rFonts w:hint="default" w:ascii="Times New Roman" w:hAnsi="Times New Roman" w:cs="Times New Roman"/>
          <w:b/>
          <w:bCs/>
          <w:sz w:val="28"/>
          <w:szCs w:val="28"/>
        </w:rPr>
        <w:t>Supplementary Material S</w:t>
      </w:r>
      <w:r>
        <w:rPr>
          <w:rFonts w:hint="eastAsia" w:ascii="Times New Roman" w:hAnsi="Times New Roman" w:cs="Times New Roman"/>
          <w:b/>
          <w:bCs/>
          <w:sz w:val="28"/>
          <w:szCs w:val="28"/>
          <w:lang w:val="en-US" w:eastAsia="zh-CN"/>
        </w:rPr>
        <w:t>4</w:t>
      </w:r>
      <w:r>
        <w:rPr>
          <w:rFonts w:hint="default" w:ascii="Times New Roman" w:hAnsi="Times New Roman" w:cs="Times New Roman"/>
          <w:b/>
          <w:bCs/>
          <w:sz w:val="28"/>
          <w:szCs w:val="28"/>
        </w:rPr>
        <w:t>:</w:t>
      </w:r>
      <w:r>
        <w:rPr>
          <w:rFonts w:hint="eastAsia" w:ascii="Times New Roman" w:hAnsi="Times New Roman" w:cs="Times New Roman"/>
          <w:b/>
          <w:bCs/>
          <w:sz w:val="28"/>
          <w:szCs w:val="28"/>
          <w:lang w:val="en-US" w:eastAsia="zh-CN"/>
        </w:rPr>
        <w:t xml:space="preserve"> </w:t>
      </w:r>
      <w:r>
        <w:rPr>
          <w:rFonts w:hint="default" w:ascii="Times New Roman" w:hAnsi="Times New Roman" w:eastAsia="Segoe UI" w:cs="Times New Roman"/>
          <w:b/>
          <w:bCs/>
          <w:caps w:val="0"/>
          <w:color w:val="0F1115"/>
          <w:spacing w:val="0"/>
          <w:sz w:val="28"/>
          <w:szCs w:val="28"/>
          <w:shd w:val="clear" w:fill="FFFFFF"/>
        </w:rPr>
        <w:t>The Six GRAMMS Reporting Criteria</w:t>
      </w:r>
    </w:p>
    <w:p w14:paraId="132F9404">
      <w:pPr>
        <w:jc w:val="both"/>
        <w:rPr>
          <w:rFonts w:hint="default" w:ascii="Times New Roman" w:hAnsi="Times New Roman" w:eastAsia="Segoe UI" w:cs="Times New Roman"/>
          <w:b/>
          <w:bCs/>
          <w:caps w:val="0"/>
          <w:color w:val="0F1115"/>
          <w:spacing w:val="0"/>
          <w:sz w:val="28"/>
          <w:szCs w:val="28"/>
          <w:shd w:val="clear" w:fill="FFFFFF"/>
        </w:rPr>
      </w:pPr>
    </w:p>
    <w:tbl>
      <w:tblPr>
        <w:tblStyle w:val="7"/>
        <w:tblW w:w="638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829"/>
        <w:gridCol w:w="1748"/>
        <w:gridCol w:w="5567"/>
        <w:gridCol w:w="1653"/>
      </w:tblGrid>
      <w:tr w14:paraId="097B9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847" w:type="pct"/>
            <w:tcBorders>
              <w:top w:val="single" w:color="auto" w:sz="4" w:space="0"/>
              <w:left w:val="single" w:color="auto" w:sz="4" w:space="0"/>
              <w:bottom w:val="nil"/>
              <w:right w:val="nil"/>
            </w:tcBorders>
            <w:shd w:val="clear" w:color="auto" w:fill="FFFFFF"/>
            <w:noWrap w:val="0"/>
            <w:tcMar>
              <w:top w:w="86" w:type="dxa"/>
              <w:left w:w="-1" w:type="dxa"/>
              <w:bottom w:w="86" w:type="dxa"/>
              <w:right w:w="137" w:type="dxa"/>
            </w:tcMar>
            <w:vAlign w:val="center"/>
          </w:tcPr>
          <w:p w14:paraId="0259DCAF">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Segoe UI" w:cs="Times New Roman"/>
                <w:b/>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kern w:val="0"/>
                <w:sz w:val="24"/>
                <w:szCs w:val="24"/>
                <w:lang w:val="en-US" w:eastAsia="zh-CN" w:bidi="ar"/>
              </w:rPr>
              <w:t>GRAMMS Criterion</w:t>
            </w:r>
          </w:p>
        </w:tc>
        <w:tc>
          <w:tcPr>
            <w:tcW w:w="809" w:type="pct"/>
            <w:tcBorders>
              <w:top w:val="single" w:color="auto" w:sz="4" w:space="0"/>
              <w:left w:val="single" w:color="auto" w:sz="4" w:space="0"/>
              <w:bottom w:val="nil"/>
              <w:right w:val="nil"/>
            </w:tcBorders>
            <w:shd w:val="clear" w:color="auto" w:fill="FFFFFF"/>
            <w:noWrap w:val="0"/>
            <w:tcMar>
              <w:top w:w="86" w:type="dxa"/>
              <w:left w:w="137" w:type="dxa"/>
              <w:bottom w:w="86" w:type="dxa"/>
              <w:right w:w="137" w:type="dxa"/>
            </w:tcMar>
            <w:vAlign w:val="center"/>
          </w:tcPr>
          <w:p w14:paraId="688C6F78">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b/>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kern w:val="0"/>
                <w:sz w:val="24"/>
                <w:szCs w:val="24"/>
                <w:lang w:val="en-US" w:eastAsia="zh-CN" w:bidi="ar"/>
              </w:rPr>
              <w:t>Focus Area</w:t>
            </w:r>
          </w:p>
        </w:tc>
        <w:tc>
          <w:tcPr>
            <w:tcW w:w="2577" w:type="pct"/>
            <w:tcBorders>
              <w:top w:val="single" w:color="auto" w:sz="4" w:space="0"/>
              <w:left w:val="single" w:color="auto" w:sz="4" w:space="0"/>
              <w:bottom w:val="nil"/>
              <w:right w:val="nil"/>
            </w:tcBorders>
            <w:shd w:val="clear" w:color="auto" w:fill="FFFFFF"/>
            <w:noWrap w:val="0"/>
            <w:tcMar>
              <w:top w:w="86" w:type="dxa"/>
              <w:left w:w="137" w:type="dxa"/>
              <w:bottom w:w="86" w:type="dxa"/>
              <w:right w:w="137" w:type="dxa"/>
            </w:tcMar>
            <w:vAlign w:val="center"/>
          </w:tcPr>
          <w:p w14:paraId="04EE0441">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b/>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kern w:val="0"/>
                <w:sz w:val="24"/>
                <w:szCs w:val="24"/>
                <w:lang w:val="en-US" w:eastAsia="zh-CN" w:bidi="ar"/>
              </w:rPr>
              <w:t>Description</w:t>
            </w:r>
          </w:p>
        </w:tc>
        <w:tc>
          <w:tcPr>
            <w:tcW w:w="765" w:type="pct"/>
            <w:tcBorders>
              <w:top w:val="single" w:color="auto" w:sz="4" w:space="0"/>
              <w:left w:val="single" w:color="auto" w:sz="4" w:space="0"/>
              <w:bottom w:val="nil"/>
              <w:right w:val="single" w:color="auto" w:sz="4" w:space="0"/>
            </w:tcBorders>
            <w:shd w:val="clear" w:color="auto" w:fill="FFFFFF"/>
            <w:noWrap w:val="0"/>
            <w:tcMar>
              <w:top w:w="86" w:type="dxa"/>
              <w:left w:w="137" w:type="dxa"/>
              <w:bottom w:w="86" w:type="dxa"/>
              <w:right w:w="137" w:type="dxa"/>
            </w:tcMar>
            <w:vAlign w:val="center"/>
          </w:tcPr>
          <w:p w14:paraId="236FC0B6">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b/>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kern w:val="0"/>
                <w:sz w:val="24"/>
                <w:szCs w:val="24"/>
                <w:lang w:val="en-US" w:eastAsia="zh-CN" w:bidi="ar"/>
              </w:rPr>
              <w:t>Location in Manuscript</w:t>
            </w:r>
          </w:p>
        </w:tc>
      </w:tr>
      <w:tr w14:paraId="40D27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47" w:type="pct"/>
            <w:tcBorders>
              <w:top w:val="single" w:color="auto" w:sz="4" w:space="0"/>
              <w:left w:val="single" w:color="auto" w:sz="4" w:space="0"/>
              <w:bottom w:val="nil"/>
              <w:right w:val="nil"/>
            </w:tcBorders>
            <w:shd w:val="clear" w:color="auto" w:fill="FFFFFF"/>
            <w:noWrap w:val="0"/>
            <w:tcMar>
              <w:top w:w="86" w:type="dxa"/>
              <w:left w:w="-1" w:type="dxa"/>
              <w:bottom w:w="86" w:type="dxa"/>
              <w:right w:w="137" w:type="dxa"/>
            </w:tcMar>
            <w:vAlign w:val="center"/>
          </w:tcPr>
          <w:p w14:paraId="5872D6EC">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kern w:val="0"/>
                <w:sz w:val="24"/>
                <w:szCs w:val="24"/>
                <w:lang w:val="en-US" w:eastAsia="zh-CN" w:bidi="ar"/>
              </w:rPr>
              <w:t>1. Justification for mixed methods</w:t>
            </w:r>
          </w:p>
        </w:tc>
        <w:tc>
          <w:tcPr>
            <w:tcW w:w="809" w:type="pct"/>
            <w:tcBorders>
              <w:top w:val="single" w:color="auto" w:sz="4" w:space="0"/>
              <w:left w:val="single" w:color="auto" w:sz="4" w:space="0"/>
              <w:bottom w:val="nil"/>
              <w:right w:val="nil"/>
            </w:tcBorders>
            <w:shd w:val="clear" w:color="auto" w:fill="FFFFFF"/>
            <w:noWrap w:val="0"/>
            <w:tcMar>
              <w:top w:w="86" w:type="dxa"/>
              <w:left w:w="137" w:type="dxa"/>
              <w:bottom w:w="86" w:type="dxa"/>
              <w:right w:w="137" w:type="dxa"/>
            </w:tcMar>
            <w:vAlign w:val="center"/>
          </w:tcPr>
          <w:p w14:paraId="01173BB5">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Rationale for using mixed methods rather than a single method</w:t>
            </w:r>
          </w:p>
        </w:tc>
        <w:tc>
          <w:tcPr>
            <w:tcW w:w="2577" w:type="pct"/>
            <w:tcBorders>
              <w:top w:val="single" w:color="auto" w:sz="4" w:space="0"/>
              <w:left w:val="single" w:color="auto" w:sz="4" w:space="0"/>
              <w:bottom w:val="nil"/>
              <w:right w:val="nil"/>
            </w:tcBorders>
            <w:shd w:val="clear" w:color="auto" w:fill="FFFFFF"/>
            <w:noWrap w:val="0"/>
            <w:tcMar>
              <w:top w:w="86" w:type="dxa"/>
              <w:left w:w="137" w:type="dxa"/>
              <w:bottom w:w="86" w:type="dxa"/>
              <w:right w:w="137" w:type="dxa"/>
            </w:tcMar>
            <w:vAlign w:val="center"/>
          </w:tcPr>
          <w:p w14:paraId="18CC9F58">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The study employed mixed methods to address the limitations of using the System Usability Scale (SUS) alone. While SUS quantified perceived usability, it could not explain why usability perceptions varied across experience levels. Qualitative interviews were conducted to interpret the quantitative differences and explore the underlying cognitive mechanisms driving score variation.</w:t>
            </w:r>
          </w:p>
        </w:tc>
        <w:tc>
          <w:tcPr>
            <w:tcW w:w="765" w:type="pct"/>
            <w:tcBorders>
              <w:top w:val="single" w:color="auto" w:sz="4" w:space="0"/>
              <w:left w:val="single" w:color="auto" w:sz="4" w:space="0"/>
              <w:bottom w:val="nil"/>
              <w:right w:val="single" w:color="auto" w:sz="4" w:space="0"/>
            </w:tcBorders>
            <w:shd w:val="clear" w:color="auto" w:fill="FFFFFF"/>
            <w:noWrap w:val="0"/>
            <w:tcMar>
              <w:top w:w="86" w:type="dxa"/>
              <w:left w:w="137" w:type="dxa"/>
              <w:bottom w:w="86" w:type="dxa"/>
              <w:right w:w="-1" w:type="dxa"/>
            </w:tcMar>
            <w:vAlign w:val="center"/>
          </w:tcPr>
          <w:p w14:paraId="01B51291">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 xml:space="preserve">Introduction </w:t>
            </w:r>
          </w:p>
        </w:tc>
      </w:tr>
      <w:tr w14:paraId="7C3FE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47" w:type="pct"/>
            <w:tcBorders>
              <w:top w:val="single" w:color="auto" w:sz="4" w:space="0"/>
              <w:left w:val="single" w:color="auto" w:sz="4" w:space="0"/>
              <w:bottom w:val="single" w:color="auto" w:sz="4" w:space="0"/>
              <w:right w:val="nil"/>
            </w:tcBorders>
            <w:shd w:val="clear" w:color="auto" w:fill="FFFFFF"/>
            <w:noWrap w:val="0"/>
            <w:tcMar>
              <w:top w:w="86" w:type="dxa"/>
              <w:left w:w="-1" w:type="dxa"/>
              <w:bottom w:w="86" w:type="dxa"/>
              <w:right w:w="137" w:type="dxa"/>
            </w:tcMar>
            <w:vAlign w:val="center"/>
          </w:tcPr>
          <w:p w14:paraId="268A59CB">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kern w:val="0"/>
                <w:sz w:val="24"/>
                <w:szCs w:val="24"/>
                <w:lang w:val="en-US" w:eastAsia="zh-CN" w:bidi="ar"/>
              </w:rPr>
              <w:t>2. Description of design</w:t>
            </w:r>
          </w:p>
        </w:tc>
        <w:tc>
          <w:tcPr>
            <w:tcW w:w="809" w:type="pct"/>
            <w:tcBorders>
              <w:top w:val="single" w:color="auto" w:sz="4" w:space="0"/>
              <w:left w:val="single" w:color="auto" w:sz="4" w:space="0"/>
              <w:bottom w:val="single" w:color="auto" w:sz="4" w:space="0"/>
              <w:right w:val="nil"/>
            </w:tcBorders>
            <w:shd w:val="clear" w:color="auto" w:fill="FFFFFF"/>
            <w:noWrap w:val="0"/>
            <w:tcMar>
              <w:top w:w="86" w:type="dxa"/>
              <w:left w:w="137" w:type="dxa"/>
              <w:bottom w:w="86" w:type="dxa"/>
              <w:right w:w="137" w:type="dxa"/>
            </w:tcMar>
            <w:vAlign w:val="center"/>
          </w:tcPr>
          <w:p w14:paraId="0938DD7D">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Type, priority, and sequence of methods</w:t>
            </w:r>
          </w:p>
        </w:tc>
        <w:tc>
          <w:tcPr>
            <w:tcW w:w="2577" w:type="pct"/>
            <w:tcBorders>
              <w:top w:val="single" w:color="auto" w:sz="4" w:space="0"/>
              <w:left w:val="single" w:color="auto" w:sz="4" w:space="0"/>
              <w:bottom w:val="single" w:color="auto" w:sz="4" w:space="0"/>
              <w:right w:val="nil"/>
            </w:tcBorders>
            <w:shd w:val="clear" w:color="auto" w:fill="FFFFFF"/>
            <w:noWrap w:val="0"/>
            <w:tcMar>
              <w:top w:w="86" w:type="dxa"/>
              <w:left w:w="137" w:type="dxa"/>
              <w:bottom w:w="86" w:type="dxa"/>
              <w:right w:w="137" w:type="dxa"/>
            </w:tcMar>
            <w:vAlign w:val="center"/>
          </w:tcPr>
          <w:p w14:paraId="01F1D83D">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An</w:t>
            </w:r>
            <w:r>
              <w:rPr>
                <w:rFonts w:hint="eastAsia" w:ascii="Times New Roman" w:hAnsi="Times New Roman" w:eastAsia="Segoe UI" w:cs="Times New Roman"/>
                <w:i w:val="0"/>
                <w:iCs w:val="0"/>
                <w:caps w:val="0"/>
                <w:color w:val="0F1115"/>
                <w:spacing w:val="0"/>
                <w:kern w:val="0"/>
                <w:sz w:val="24"/>
                <w:szCs w:val="24"/>
                <w:lang w:val="en-US" w:eastAsia="zh-CN" w:bidi="ar"/>
              </w:rPr>
              <w:t xml:space="preserve"> </w:t>
            </w:r>
            <w:r>
              <w:rPr>
                <w:rFonts w:hint="default" w:ascii="Times New Roman" w:hAnsi="Times New Roman" w:eastAsia="Segoe UI" w:cs="Times New Roman"/>
                <w:b/>
                <w:bCs/>
                <w:i w:val="0"/>
                <w:iCs w:val="0"/>
                <w:caps w:val="0"/>
                <w:color w:val="0F1115"/>
                <w:spacing w:val="0"/>
                <w:kern w:val="0"/>
                <w:sz w:val="24"/>
                <w:szCs w:val="24"/>
                <w:lang w:val="en-US" w:eastAsia="zh-CN" w:bidi="ar"/>
              </w:rPr>
              <w:t>explanatory sequential mixed-methods design (QUAN → qual)</w:t>
            </w:r>
            <w:r>
              <w:rPr>
                <w:rFonts w:hint="eastAsia" w:ascii="Times New Roman" w:hAnsi="Times New Roman" w:eastAsia="Segoe UI" w:cs="Times New Roman"/>
                <w:b/>
                <w:bCs/>
                <w:i w:val="0"/>
                <w:iCs w:val="0"/>
                <w:caps w:val="0"/>
                <w:color w:val="0F1115"/>
                <w:spacing w:val="0"/>
                <w:kern w:val="0"/>
                <w:sz w:val="24"/>
                <w:szCs w:val="24"/>
                <w:lang w:val="en-US" w:eastAsia="zh-CN" w:bidi="ar"/>
              </w:rPr>
              <w:t xml:space="preserve"> </w:t>
            </w:r>
            <w:r>
              <w:rPr>
                <w:rFonts w:hint="default" w:ascii="Times New Roman" w:hAnsi="Times New Roman" w:eastAsia="Segoe UI" w:cs="Times New Roman"/>
                <w:i w:val="0"/>
                <w:iCs w:val="0"/>
                <w:caps w:val="0"/>
                <w:color w:val="0F1115"/>
                <w:spacing w:val="0"/>
                <w:kern w:val="0"/>
                <w:sz w:val="24"/>
                <w:szCs w:val="24"/>
                <w:lang w:val="en-US" w:eastAsia="zh-CN" w:bidi="ar"/>
              </w:rPr>
              <w:t>was used. Quantitative data were collected and analysed first (SUS), followed by qualitative interviews designed to explain the quantitative findings. Priority was given to the quantitative phase, with qualitative data serving a complementary explanatory role.</w:t>
            </w:r>
          </w:p>
        </w:tc>
        <w:tc>
          <w:tcPr>
            <w:tcW w:w="765" w:type="pct"/>
            <w:tcBorders>
              <w:top w:val="single" w:color="auto" w:sz="4" w:space="0"/>
              <w:left w:val="single" w:color="auto" w:sz="4" w:space="0"/>
              <w:bottom w:val="single" w:color="auto" w:sz="4" w:space="0"/>
              <w:right w:val="single" w:color="auto" w:sz="4" w:space="0"/>
            </w:tcBorders>
            <w:shd w:val="clear" w:color="auto" w:fill="FFFFFF"/>
            <w:noWrap w:val="0"/>
            <w:tcMar>
              <w:top w:w="86" w:type="dxa"/>
              <w:left w:w="137" w:type="dxa"/>
              <w:bottom w:w="86" w:type="dxa"/>
              <w:right w:w="-1" w:type="dxa"/>
            </w:tcMar>
            <w:vAlign w:val="center"/>
          </w:tcPr>
          <w:p w14:paraId="7001F617">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rPr>
              <w:t>Methods – Study Design</w:t>
            </w:r>
          </w:p>
        </w:tc>
      </w:tr>
      <w:tr w14:paraId="2EE5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398" w:hRule="atLeast"/>
          <w:jc w:val="center"/>
        </w:trPr>
        <w:tc>
          <w:tcPr>
            <w:tcW w:w="847" w:type="pct"/>
            <w:tcBorders>
              <w:top w:val="single" w:color="auto" w:sz="4" w:space="0"/>
              <w:left w:val="single" w:color="auto" w:sz="4" w:space="0"/>
              <w:bottom w:val="single" w:color="auto" w:sz="4" w:space="0"/>
              <w:right w:val="nil"/>
            </w:tcBorders>
            <w:shd w:val="clear" w:color="auto" w:fill="FFFFFF"/>
            <w:noWrap w:val="0"/>
            <w:tcMar>
              <w:top w:w="86" w:type="dxa"/>
              <w:left w:w="-1" w:type="dxa"/>
              <w:bottom w:w="86" w:type="dxa"/>
              <w:right w:w="137" w:type="dxa"/>
            </w:tcMar>
            <w:vAlign w:val="center"/>
          </w:tcPr>
          <w:p w14:paraId="0BB9CCE5">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kern w:val="0"/>
                <w:sz w:val="24"/>
                <w:szCs w:val="24"/>
                <w:lang w:val="en-US" w:eastAsia="zh-CN" w:bidi="ar"/>
              </w:rPr>
              <w:t>3. Methods detail</w:t>
            </w:r>
          </w:p>
        </w:tc>
        <w:tc>
          <w:tcPr>
            <w:tcW w:w="809" w:type="pct"/>
            <w:tcBorders>
              <w:top w:val="single" w:color="auto" w:sz="4" w:space="0"/>
              <w:left w:val="single" w:color="auto" w:sz="4" w:space="0"/>
              <w:bottom w:val="single" w:color="auto" w:sz="4" w:space="0"/>
              <w:right w:val="nil"/>
            </w:tcBorders>
            <w:shd w:val="clear" w:color="auto" w:fill="FFFFFF"/>
            <w:noWrap w:val="0"/>
            <w:tcMar>
              <w:top w:w="86" w:type="dxa"/>
              <w:left w:w="137" w:type="dxa"/>
              <w:bottom w:w="86" w:type="dxa"/>
              <w:right w:w="137" w:type="dxa"/>
            </w:tcMar>
            <w:vAlign w:val="center"/>
          </w:tcPr>
          <w:p w14:paraId="64A1F138">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Sampling and data analysis methods for both phases</w:t>
            </w:r>
          </w:p>
        </w:tc>
        <w:tc>
          <w:tcPr>
            <w:tcW w:w="2577" w:type="pct"/>
            <w:tcBorders>
              <w:top w:val="single" w:color="auto" w:sz="4" w:space="0"/>
              <w:left w:val="single" w:color="auto" w:sz="4" w:space="0"/>
              <w:bottom w:val="single" w:color="auto" w:sz="4" w:space="0"/>
              <w:right w:val="nil"/>
            </w:tcBorders>
            <w:shd w:val="clear" w:color="auto" w:fill="FFFFFF"/>
            <w:noWrap w:val="0"/>
            <w:tcMar>
              <w:top w:w="86" w:type="dxa"/>
              <w:left w:w="137" w:type="dxa"/>
              <w:bottom w:w="86" w:type="dxa"/>
              <w:right w:w="137" w:type="dxa"/>
            </w:tcMar>
            <w:vAlign w:val="center"/>
          </w:tcPr>
          <w:p w14:paraId="00834998">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kern w:val="0"/>
                <w:sz w:val="24"/>
                <w:szCs w:val="24"/>
                <w:lang w:val="en-US" w:eastAsia="zh-CN" w:bidi="ar"/>
              </w:rPr>
            </w:pPr>
            <w:r>
              <w:rPr>
                <w:rFonts w:hint="default" w:ascii="Times New Roman" w:hAnsi="Times New Roman" w:eastAsia="Segoe UI" w:cs="Times New Roman"/>
                <w:b/>
                <w:bCs/>
                <w:i w:val="0"/>
                <w:iCs w:val="0"/>
                <w:caps w:val="0"/>
                <w:color w:val="0F1115"/>
                <w:spacing w:val="0"/>
                <w:kern w:val="0"/>
                <w:sz w:val="24"/>
                <w:szCs w:val="24"/>
                <w:lang w:val="en-US" w:eastAsia="zh-CN" w:bidi="ar"/>
              </w:rPr>
              <w:t>Quantitative phase</w:t>
            </w:r>
            <w:r>
              <w:rPr>
                <w:rFonts w:hint="default" w:ascii="Times New Roman" w:hAnsi="Times New Roman" w:eastAsia="Segoe UI" w:cs="Times New Roman"/>
                <w:i w:val="0"/>
                <w:iCs w:val="0"/>
                <w:caps w:val="0"/>
                <w:color w:val="0F1115"/>
                <w:spacing w:val="0"/>
                <w:kern w:val="0"/>
                <w:sz w:val="24"/>
                <w:szCs w:val="24"/>
                <w:lang w:val="en-US" w:eastAsia="zh-CN" w:bidi="ar"/>
              </w:rPr>
              <w:t>:Convenience sampling recruited 26 nurses from the endocrinology ward of a tertiary hospital, including 9 specialist nurses rotating from nine other hospitals, 8 registered nurses, and 9 interns.</w:t>
            </w:r>
            <w:r>
              <w:rPr>
                <w:rFonts w:hint="eastAsia" w:ascii="Times New Roman" w:hAnsi="Times New Roman" w:eastAsia="Segoe UI" w:cs="Times New Roman"/>
                <w:i w:val="0"/>
                <w:iCs w:val="0"/>
                <w:caps w:val="0"/>
                <w:color w:val="0F1115"/>
                <w:spacing w:val="0"/>
                <w:kern w:val="0"/>
                <w:sz w:val="24"/>
                <w:szCs w:val="24"/>
                <w:lang w:val="en-US" w:eastAsia="zh-CN" w:bidi="ar"/>
              </w:rPr>
              <w:t xml:space="preserve"> </w:t>
            </w:r>
            <w:r>
              <w:rPr>
                <w:rFonts w:hint="default" w:ascii="Times New Roman" w:hAnsi="Times New Roman" w:eastAsia="Segoe UI" w:cs="Times New Roman"/>
                <w:i w:val="0"/>
                <w:iCs w:val="0"/>
                <w:caps w:val="0"/>
                <w:color w:val="0F1115"/>
                <w:spacing w:val="0"/>
                <w:kern w:val="0"/>
                <w:sz w:val="24"/>
                <w:szCs w:val="24"/>
                <w:lang w:val="en-US" w:eastAsia="zh-CN" w:bidi="ar"/>
              </w:rPr>
              <w:t>Data were analysed using SPSS 26.0. Normality was assessed via Shapiro</w:t>
            </w:r>
            <w:r>
              <w:rPr>
                <w:rFonts w:hint="default" w:ascii="Times New Roman" w:hAnsi="Times New Roman" w:eastAsia="Segoe UI" w:cs="Times New Roman"/>
                <w:i w:val="0"/>
                <w:iCs w:val="0"/>
                <w:caps w:val="0"/>
                <w:color w:val="0F1115"/>
                <w:spacing w:val="0"/>
                <w:kern w:val="0"/>
                <w:sz w:val="24"/>
                <w:szCs w:val="24"/>
                <w:lang w:val="en-US" w:eastAsia="zh-CN" w:bidi="ar"/>
              </w:rPr>
              <w:noBreakHyphen/>
            </w:r>
            <w:r>
              <w:rPr>
                <w:rFonts w:hint="default" w:ascii="Times New Roman" w:hAnsi="Times New Roman" w:eastAsia="Segoe UI" w:cs="Times New Roman"/>
                <w:i w:val="0"/>
                <w:iCs w:val="0"/>
                <w:caps w:val="0"/>
                <w:color w:val="0F1115"/>
                <w:spacing w:val="0"/>
                <w:kern w:val="0"/>
                <w:sz w:val="24"/>
                <w:szCs w:val="24"/>
                <w:lang w:val="en-US" w:eastAsia="zh-CN" w:bidi="ar"/>
              </w:rPr>
              <w:t>Wilk tests; Kruskal</w:t>
            </w:r>
            <w:r>
              <w:rPr>
                <w:rFonts w:hint="default" w:ascii="Times New Roman" w:hAnsi="Times New Roman" w:eastAsia="Segoe UI" w:cs="Times New Roman"/>
                <w:i w:val="0"/>
                <w:iCs w:val="0"/>
                <w:caps w:val="0"/>
                <w:color w:val="0F1115"/>
                <w:spacing w:val="0"/>
                <w:kern w:val="0"/>
                <w:sz w:val="24"/>
                <w:szCs w:val="24"/>
                <w:lang w:val="en-US" w:eastAsia="zh-CN" w:bidi="ar"/>
              </w:rPr>
              <w:noBreakHyphen/>
            </w:r>
            <w:r>
              <w:rPr>
                <w:rFonts w:hint="default" w:ascii="Times New Roman" w:hAnsi="Times New Roman" w:eastAsia="Segoe UI" w:cs="Times New Roman"/>
                <w:i w:val="0"/>
                <w:iCs w:val="0"/>
                <w:caps w:val="0"/>
                <w:color w:val="0F1115"/>
                <w:spacing w:val="0"/>
                <w:kern w:val="0"/>
                <w:sz w:val="24"/>
                <w:szCs w:val="24"/>
                <w:lang w:val="en-US" w:eastAsia="zh-CN" w:bidi="ar"/>
              </w:rPr>
              <w:t>Wallis H tests were used for inter</w:t>
            </w:r>
            <w:r>
              <w:rPr>
                <w:rFonts w:hint="default" w:ascii="Times New Roman" w:hAnsi="Times New Roman" w:eastAsia="Segoe UI" w:cs="Times New Roman"/>
                <w:i w:val="0"/>
                <w:iCs w:val="0"/>
                <w:caps w:val="0"/>
                <w:color w:val="0F1115"/>
                <w:spacing w:val="0"/>
                <w:kern w:val="0"/>
                <w:sz w:val="24"/>
                <w:szCs w:val="24"/>
                <w:lang w:val="en-US" w:eastAsia="zh-CN" w:bidi="ar"/>
              </w:rPr>
              <w:noBreakHyphen/>
            </w:r>
            <w:r>
              <w:rPr>
                <w:rFonts w:hint="default" w:ascii="Times New Roman" w:hAnsi="Times New Roman" w:eastAsia="Segoe UI" w:cs="Times New Roman"/>
                <w:i w:val="0"/>
                <w:iCs w:val="0"/>
                <w:caps w:val="0"/>
                <w:color w:val="0F1115"/>
                <w:spacing w:val="0"/>
                <w:kern w:val="0"/>
                <w:sz w:val="24"/>
                <w:szCs w:val="24"/>
                <w:lang w:val="en-US" w:eastAsia="zh-CN" w:bidi="ar"/>
              </w:rPr>
              <w:t>group comparisons, with Bonferroni post</w:t>
            </w:r>
            <w:r>
              <w:rPr>
                <w:rFonts w:hint="default" w:ascii="Times New Roman" w:hAnsi="Times New Roman" w:eastAsia="Segoe UI" w:cs="Times New Roman"/>
                <w:i w:val="0"/>
                <w:iCs w:val="0"/>
                <w:caps w:val="0"/>
                <w:color w:val="0F1115"/>
                <w:spacing w:val="0"/>
                <w:kern w:val="0"/>
                <w:sz w:val="24"/>
                <w:szCs w:val="24"/>
                <w:lang w:val="en-US" w:eastAsia="zh-CN" w:bidi="ar"/>
              </w:rPr>
              <w:noBreakHyphen/>
            </w:r>
            <w:r>
              <w:rPr>
                <w:rFonts w:hint="default" w:ascii="Times New Roman" w:hAnsi="Times New Roman" w:eastAsia="Segoe UI" w:cs="Times New Roman"/>
                <w:i w:val="0"/>
                <w:iCs w:val="0"/>
                <w:caps w:val="0"/>
                <w:color w:val="0F1115"/>
                <w:spacing w:val="0"/>
                <w:kern w:val="0"/>
                <w:sz w:val="24"/>
                <w:szCs w:val="24"/>
                <w:lang w:val="en-US" w:eastAsia="zh-CN" w:bidi="ar"/>
              </w:rPr>
              <w:t>hoc tests for pairwise contrasts. Effect sizes were reported as</w:t>
            </w:r>
            <w:r>
              <w:rPr>
                <w:rFonts w:hint="eastAsia" w:ascii="Times New Roman" w:hAnsi="Times New Roman" w:eastAsia="Segoe UI" w:cs="Times New Roman"/>
                <w:i w:val="0"/>
                <w:iCs w:val="0"/>
                <w:caps w:val="0"/>
                <w:color w:val="0F1115"/>
                <w:spacing w:val="0"/>
                <w:kern w:val="0"/>
                <w:sz w:val="24"/>
                <w:szCs w:val="24"/>
                <w:lang w:val="en-US" w:eastAsia="zh-CN" w:bidi="ar"/>
              </w:rPr>
              <w:t xml:space="preserve"> </w:t>
            </w:r>
            <w:r>
              <w:rPr>
                <w:rFonts w:hint="default" w:ascii="Times New Roman" w:hAnsi="Times New Roman" w:eastAsia="Segoe UI" w:cs="Times New Roman"/>
                <w:i/>
                <w:iCs/>
                <w:caps w:val="0"/>
                <w:color w:val="0F1115"/>
                <w:spacing w:val="0"/>
                <w:kern w:val="0"/>
                <w:sz w:val="24"/>
                <w:szCs w:val="24"/>
                <w:lang w:val="en-US" w:eastAsia="zh-CN" w:bidi="ar"/>
              </w:rPr>
              <w:t>η²</w:t>
            </w:r>
            <w:r>
              <w:rPr>
                <w:rFonts w:hint="default" w:ascii="Times New Roman" w:hAnsi="Times New Roman" w:eastAsia="Segoe UI" w:cs="Times New Roman"/>
                <w:i w:val="0"/>
                <w:iCs w:val="0"/>
                <w:caps w:val="0"/>
                <w:color w:val="0F1115"/>
                <w:spacing w:val="0"/>
                <w:kern w:val="0"/>
                <w:sz w:val="24"/>
                <w:szCs w:val="24"/>
                <w:lang w:val="en-US" w:eastAsia="zh-CN" w:bidi="ar"/>
              </w:rPr>
              <w:t>(omnibus) and rank</w:t>
            </w:r>
            <w:r>
              <w:rPr>
                <w:rFonts w:hint="default" w:ascii="Times New Roman" w:hAnsi="Times New Roman" w:eastAsia="Segoe UI" w:cs="Times New Roman"/>
                <w:i w:val="0"/>
                <w:iCs w:val="0"/>
                <w:caps w:val="0"/>
                <w:color w:val="0F1115"/>
                <w:spacing w:val="0"/>
                <w:kern w:val="0"/>
                <w:sz w:val="24"/>
                <w:szCs w:val="24"/>
                <w:lang w:val="en-US" w:eastAsia="zh-CN" w:bidi="ar"/>
              </w:rPr>
              <w:noBreakHyphen/>
            </w:r>
            <w:r>
              <w:rPr>
                <w:rFonts w:hint="default" w:ascii="Times New Roman" w:hAnsi="Times New Roman" w:eastAsia="Segoe UI" w:cs="Times New Roman"/>
                <w:i w:val="0"/>
                <w:iCs w:val="0"/>
                <w:caps w:val="0"/>
                <w:color w:val="0F1115"/>
                <w:spacing w:val="0"/>
                <w:kern w:val="0"/>
                <w:sz w:val="24"/>
                <w:szCs w:val="24"/>
                <w:lang w:val="en-US" w:eastAsia="zh-CN" w:bidi="ar"/>
              </w:rPr>
              <w:t>biserial</w:t>
            </w:r>
            <w:r>
              <w:rPr>
                <w:rFonts w:hint="eastAsia" w:ascii="Times New Roman" w:hAnsi="Times New Roman" w:eastAsia="Segoe UI" w:cs="Times New Roman"/>
                <w:i w:val="0"/>
                <w:iCs w:val="0"/>
                <w:caps w:val="0"/>
                <w:color w:val="0F1115"/>
                <w:spacing w:val="0"/>
                <w:kern w:val="0"/>
                <w:sz w:val="24"/>
                <w:szCs w:val="24"/>
                <w:lang w:val="en-US" w:eastAsia="zh-CN" w:bidi="ar"/>
              </w:rPr>
              <w:t xml:space="preserve"> </w:t>
            </w:r>
            <w:r>
              <w:rPr>
                <w:rFonts w:hint="default" w:ascii="Times New Roman" w:hAnsi="Times New Roman" w:eastAsia="Segoe UI" w:cs="Times New Roman"/>
                <w:i/>
                <w:iCs/>
                <w:caps w:val="0"/>
                <w:color w:val="0F1115"/>
                <w:spacing w:val="0"/>
                <w:kern w:val="0"/>
                <w:sz w:val="24"/>
                <w:szCs w:val="24"/>
                <w:lang w:val="en-US" w:eastAsia="zh-CN" w:bidi="ar"/>
              </w:rPr>
              <w:t>r</w:t>
            </w:r>
            <w:r>
              <w:rPr>
                <w:rFonts w:hint="eastAsia" w:ascii="Times New Roman" w:hAnsi="Times New Roman" w:eastAsia="Segoe UI" w:cs="Times New Roman"/>
                <w:i/>
                <w:iCs/>
                <w:caps w:val="0"/>
                <w:color w:val="0F1115"/>
                <w:spacing w:val="0"/>
                <w:kern w:val="0"/>
                <w:sz w:val="24"/>
                <w:szCs w:val="24"/>
                <w:lang w:val="en-US" w:eastAsia="zh-CN" w:bidi="ar"/>
              </w:rPr>
              <w:t xml:space="preserve"> </w:t>
            </w:r>
            <w:r>
              <w:rPr>
                <w:rFonts w:hint="default" w:ascii="Times New Roman" w:hAnsi="Times New Roman" w:eastAsia="Segoe UI" w:cs="Times New Roman"/>
                <w:i w:val="0"/>
                <w:iCs w:val="0"/>
                <w:caps w:val="0"/>
                <w:color w:val="0F1115"/>
                <w:spacing w:val="0"/>
                <w:kern w:val="0"/>
                <w:sz w:val="24"/>
                <w:szCs w:val="24"/>
                <w:lang w:val="en-US" w:eastAsia="zh-CN" w:bidi="ar"/>
              </w:rPr>
              <w:t>(pairwise).</w:t>
            </w:r>
          </w:p>
          <w:p w14:paraId="7BB8C46B">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kern w:val="0"/>
                <w:sz w:val="24"/>
                <w:szCs w:val="24"/>
                <w:lang w:val="en-US" w:eastAsia="zh-CN" w:bidi="ar"/>
              </w:rPr>
            </w:pPr>
          </w:p>
          <w:p w14:paraId="34C9CB8A">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kern w:val="0"/>
                <w:sz w:val="24"/>
                <w:szCs w:val="24"/>
                <w:lang w:val="en-US" w:eastAsia="zh-CN" w:bidi="ar"/>
              </w:rPr>
              <w:t>Qualitative phase</w:t>
            </w:r>
            <w:r>
              <w:rPr>
                <w:rFonts w:hint="default" w:ascii="Times New Roman" w:hAnsi="Times New Roman" w:eastAsia="Segoe UI" w:cs="Times New Roman"/>
                <w:i w:val="0"/>
                <w:iCs w:val="0"/>
                <w:caps w:val="0"/>
                <w:color w:val="0F1115"/>
                <w:spacing w:val="0"/>
                <w:kern w:val="0"/>
                <w:sz w:val="24"/>
                <w:szCs w:val="24"/>
                <w:lang w:val="en-US" w:eastAsia="zh-CN" w:bidi="ar"/>
              </w:rPr>
              <w:t>: All 26 participants were interviewed. Thematic analysis followed Braun and Clarke’s framework using NVivo 12. Two independent coders achieved 85% inter</w:t>
            </w:r>
            <w:r>
              <w:rPr>
                <w:rFonts w:hint="default" w:ascii="Times New Roman" w:hAnsi="Times New Roman" w:eastAsia="Segoe UI" w:cs="Times New Roman"/>
                <w:i w:val="0"/>
                <w:iCs w:val="0"/>
                <w:caps w:val="0"/>
                <w:color w:val="0F1115"/>
                <w:spacing w:val="0"/>
                <w:kern w:val="0"/>
                <w:sz w:val="24"/>
                <w:szCs w:val="24"/>
                <w:lang w:val="en-US" w:eastAsia="zh-CN" w:bidi="ar"/>
              </w:rPr>
              <w:noBreakHyphen/>
            </w:r>
            <w:r>
              <w:rPr>
                <w:rFonts w:hint="default" w:ascii="Times New Roman" w:hAnsi="Times New Roman" w:eastAsia="Segoe UI" w:cs="Times New Roman"/>
                <w:i w:val="0"/>
                <w:iCs w:val="0"/>
                <w:caps w:val="0"/>
                <w:color w:val="0F1115"/>
                <w:spacing w:val="0"/>
                <w:kern w:val="0"/>
                <w:sz w:val="24"/>
                <w:szCs w:val="24"/>
                <w:lang w:val="en-US" w:eastAsia="zh-CN" w:bidi="ar"/>
              </w:rPr>
              <w:t>rater agreement. Extreme cases (N4, N6) were further analysed individually to compare their responses with the rest of the sample.</w:t>
            </w:r>
          </w:p>
        </w:tc>
        <w:tc>
          <w:tcPr>
            <w:tcW w:w="765" w:type="pct"/>
            <w:tcBorders>
              <w:top w:val="single" w:color="auto" w:sz="4" w:space="0"/>
              <w:left w:val="single" w:color="auto" w:sz="4" w:space="0"/>
              <w:bottom w:val="single" w:color="auto" w:sz="4" w:space="0"/>
              <w:right w:val="single" w:color="auto" w:sz="4" w:space="0"/>
            </w:tcBorders>
            <w:shd w:val="clear" w:color="auto" w:fill="FFFFFF"/>
            <w:noWrap w:val="0"/>
            <w:tcMar>
              <w:top w:w="86" w:type="dxa"/>
              <w:left w:w="137" w:type="dxa"/>
              <w:bottom w:w="86" w:type="dxa"/>
              <w:right w:w="-1" w:type="dxa"/>
            </w:tcMar>
            <w:vAlign w:val="center"/>
          </w:tcPr>
          <w:p w14:paraId="344019B7">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rPr>
              <w:t>Methods – Participants and Setting; Methods – Data Analysis</w:t>
            </w:r>
          </w:p>
        </w:tc>
      </w:tr>
      <w:tr w14:paraId="57C81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47" w:type="pct"/>
            <w:tcBorders>
              <w:top w:val="single" w:color="auto" w:sz="4" w:space="0"/>
              <w:left w:val="single" w:color="auto" w:sz="4" w:space="0"/>
              <w:bottom w:val="single" w:color="auto" w:sz="4" w:space="0"/>
              <w:right w:val="nil"/>
            </w:tcBorders>
            <w:shd w:val="clear" w:color="auto" w:fill="FFFFFF"/>
            <w:noWrap w:val="0"/>
            <w:tcMar>
              <w:top w:w="86" w:type="dxa"/>
              <w:left w:w="-1" w:type="dxa"/>
              <w:bottom w:w="86" w:type="dxa"/>
              <w:right w:w="137" w:type="dxa"/>
            </w:tcMar>
            <w:vAlign w:val="center"/>
          </w:tcPr>
          <w:p w14:paraId="3588172C">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kern w:val="0"/>
                <w:sz w:val="24"/>
                <w:szCs w:val="24"/>
                <w:lang w:val="en-US" w:eastAsia="zh-CN" w:bidi="ar"/>
              </w:rPr>
              <w:t>4. Integration</w:t>
            </w:r>
          </w:p>
        </w:tc>
        <w:tc>
          <w:tcPr>
            <w:tcW w:w="809" w:type="pct"/>
            <w:tcBorders>
              <w:top w:val="single" w:color="auto" w:sz="4" w:space="0"/>
              <w:left w:val="single" w:color="auto" w:sz="4" w:space="0"/>
              <w:bottom w:val="single" w:color="auto" w:sz="4" w:space="0"/>
              <w:right w:val="nil"/>
            </w:tcBorders>
            <w:shd w:val="clear" w:color="auto" w:fill="FFFFFF"/>
            <w:noWrap w:val="0"/>
            <w:tcMar>
              <w:top w:w="86" w:type="dxa"/>
              <w:left w:w="137" w:type="dxa"/>
              <w:bottom w:w="86" w:type="dxa"/>
              <w:right w:w="137" w:type="dxa"/>
            </w:tcMar>
            <w:vAlign w:val="center"/>
          </w:tcPr>
          <w:p w14:paraId="0B088856">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How quantitative and qualitative data were integrated</w:t>
            </w:r>
          </w:p>
        </w:tc>
        <w:tc>
          <w:tcPr>
            <w:tcW w:w="2577" w:type="pct"/>
            <w:tcBorders>
              <w:top w:val="single" w:color="auto" w:sz="4" w:space="0"/>
              <w:left w:val="single" w:color="auto" w:sz="4" w:space="0"/>
              <w:bottom w:val="single" w:color="auto" w:sz="4" w:space="0"/>
              <w:right w:val="nil"/>
            </w:tcBorders>
            <w:shd w:val="clear" w:color="auto" w:fill="FFFFFF"/>
            <w:noWrap w:val="0"/>
            <w:tcMar>
              <w:top w:w="86" w:type="dxa"/>
              <w:left w:w="137" w:type="dxa"/>
              <w:bottom w:w="86" w:type="dxa"/>
              <w:right w:w="137" w:type="dxa"/>
            </w:tcMar>
            <w:vAlign w:val="center"/>
          </w:tcPr>
          <w:p w14:paraId="5FD1F9E6">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kern w:val="0"/>
                <w:sz w:val="24"/>
                <w:szCs w:val="24"/>
                <w:lang w:val="en-US" w:eastAsia="zh-CN" w:bidi="ar"/>
              </w:rPr>
            </w:pPr>
            <w:r>
              <w:rPr>
                <w:rFonts w:hint="default" w:ascii="Times New Roman" w:hAnsi="Times New Roman" w:eastAsia="Segoe UI" w:cs="Times New Roman"/>
                <w:i w:val="0"/>
                <w:iCs w:val="0"/>
                <w:caps w:val="0"/>
                <w:color w:val="0F1115"/>
                <w:spacing w:val="0"/>
                <w:kern w:val="0"/>
                <w:sz w:val="24"/>
                <w:szCs w:val="24"/>
                <w:lang w:val="en-US" w:eastAsia="zh-CN" w:bidi="ar"/>
              </w:rPr>
              <w:t>Integration followed a </w:t>
            </w:r>
            <w:r>
              <w:rPr>
                <w:rFonts w:hint="default" w:ascii="Times New Roman" w:hAnsi="Times New Roman" w:eastAsia="Segoe UI" w:cs="Times New Roman"/>
                <w:b/>
                <w:bCs/>
                <w:i w:val="0"/>
                <w:iCs w:val="0"/>
                <w:caps w:val="0"/>
                <w:color w:val="0F1115"/>
                <w:spacing w:val="0"/>
                <w:kern w:val="0"/>
                <w:sz w:val="24"/>
                <w:szCs w:val="24"/>
                <w:lang w:val="en-US" w:eastAsia="zh-CN" w:bidi="ar"/>
              </w:rPr>
              <w:t>connecting strategy</w:t>
            </w:r>
            <w:r>
              <w:rPr>
                <w:rFonts w:hint="default" w:ascii="Times New Roman" w:hAnsi="Times New Roman" w:eastAsia="Segoe UI" w:cs="Times New Roman"/>
                <w:i w:val="0"/>
                <w:iCs w:val="0"/>
                <w:caps w:val="0"/>
                <w:color w:val="0F1115"/>
                <w:spacing w:val="0"/>
                <w:kern w:val="0"/>
                <w:sz w:val="24"/>
                <w:szCs w:val="24"/>
                <w:lang w:val="en-US" w:eastAsia="zh-CN" w:bidi="ar"/>
              </w:rPr>
              <w:t>. Quantitative SUS scores were used to guide sampling: participants were dichotomized into high</w:t>
            </w:r>
            <w:r>
              <w:rPr>
                <w:rFonts w:hint="default" w:ascii="Times New Roman" w:hAnsi="Times New Roman" w:eastAsia="Segoe UI" w:cs="Times New Roman"/>
                <w:i w:val="0"/>
                <w:iCs w:val="0"/>
                <w:caps w:val="0"/>
                <w:color w:val="0F1115"/>
                <w:spacing w:val="0"/>
                <w:kern w:val="0"/>
                <w:sz w:val="24"/>
                <w:szCs w:val="24"/>
                <w:lang w:val="en-US" w:eastAsia="zh-CN" w:bidi="ar"/>
              </w:rPr>
              <w:noBreakHyphen/>
            </w:r>
            <w:r>
              <w:rPr>
                <w:rFonts w:hint="default" w:ascii="Times New Roman" w:hAnsi="Times New Roman" w:eastAsia="Segoe UI" w:cs="Times New Roman"/>
                <w:i w:val="0"/>
                <w:iCs w:val="0"/>
                <w:caps w:val="0"/>
                <w:color w:val="0F1115"/>
                <w:spacing w:val="0"/>
                <w:kern w:val="0"/>
                <w:sz w:val="24"/>
                <w:szCs w:val="24"/>
                <w:lang w:val="en-US" w:eastAsia="zh-CN" w:bidi="ar"/>
              </w:rPr>
              <w:t xml:space="preserve"> (SUS ≥ 86,</w:t>
            </w:r>
            <w:r>
              <w:rPr>
                <w:rFonts w:hint="default" w:ascii="Times New Roman" w:hAnsi="Times New Roman" w:eastAsia="Segoe UI" w:cs="Times New Roman"/>
                <w:i/>
                <w:iCs/>
                <w:caps w:val="0"/>
                <w:color w:val="0F1115"/>
                <w:spacing w:val="0"/>
                <w:kern w:val="0"/>
                <w:sz w:val="24"/>
                <w:szCs w:val="24"/>
                <w:lang w:val="en-US" w:eastAsia="zh-CN" w:bidi="ar"/>
              </w:rPr>
              <w:t> n </w:t>
            </w:r>
            <w:r>
              <w:rPr>
                <w:rFonts w:hint="default" w:ascii="Times New Roman" w:hAnsi="Times New Roman" w:eastAsia="Segoe UI" w:cs="Times New Roman"/>
                <w:i w:val="0"/>
                <w:iCs w:val="0"/>
                <w:caps w:val="0"/>
                <w:color w:val="0F1115"/>
                <w:spacing w:val="0"/>
                <w:kern w:val="0"/>
                <w:sz w:val="24"/>
                <w:szCs w:val="24"/>
                <w:lang w:val="en-US" w:eastAsia="zh-CN" w:bidi="ar"/>
              </w:rPr>
              <w:t>= 13) and low</w:t>
            </w:r>
            <w:r>
              <w:rPr>
                <w:rFonts w:hint="default" w:ascii="Times New Roman" w:hAnsi="Times New Roman" w:eastAsia="Segoe UI" w:cs="Times New Roman"/>
                <w:i w:val="0"/>
                <w:iCs w:val="0"/>
                <w:caps w:val="0"/>
                <w:color w:val="0F1115"/>
                <w:spacing w:val="0"/>
                <w:kern w:val="0"/>
                <w:sz w:val="24"/>
                <w:szCs w:val="24"/>
                <w:lang w:val="en-US" w:eastAsia="zh-CN" w:bidi="ar"/>
              </w:rPr>
              <w:noBreakHyphen/>
            </w:r>
            <w:r>
              <w:rPr>
                <w:rFonts w:hint="default" w:ascii="Times New Roman" w:hAnsi="Times New Roman" w:eastAsia="Segoe UI" w:cs="Times New Roman"/>
                <w:i w:val="0"/>
                <w:iCs w:val="0"/>
                <w:caps w:val="0"/>
                <w:color w:val="0F1115"/>
                <w:spacing w:val="0"/>
                <w:kern w:val="0"/>
                <w:sz w:val="24"/>
                <w:szCs w:val="24"/>
                <w:lang w:val="en-US" w:eastAsia="zh-CN" w:bidi="ar"/>
              </w:rPr>
              <w:t>scoring (SUS &lt; 86, </w:t>
            </w:r>
            <w:r>
              <w:rPr>
                <w:rFonts w:hint="default" w:ascii="Times New Roman" w:hAnsi="Times New Roman" w:eastAsia="Segoe UI" w:cs="Times New Roman"/>
                <w:i/>
                <w:iCs/>
                <w:caps w:val="0"/>
                <w:color w:val="0F1115"/>
                <w:spacing w:val="0"/>
                <w:kern w:val="0"/>
                <w:sz w:val="24"/>
                <w:szCs w:val="24"/>
                <w:lang w:val="en-US" w:eastAsia="zh-CN" w:bidi="ar"/>
              </w:rPr>
              <w:t>n</w:t>
            </w:r>
            <w:r>
              <w:rPr>
                <w:rFonts w:hint="default" w:ascii="Times New Roman" w:hAnsi="Times New Roman" w:eastAsia="Segoe UI" w:cs="Times New Roman"/>
                <w:i w:val="0"/>
                <w:iCs w:val="0"/>
                <w:caps w:val="0"/>
                <w:color w:val="0F1115"/>
                <w:spacing w:val="0"/>
                <w:kern w:val="0"/>
                <w:sz w:val="24"/>
                <w:szCs w:val="24"/>
                <w:lang w:val="en-US" w:eastAsia="zh-CN" w:bidi="ar"/>
              </w:rPr>
              <w:t xml:space="preserve"> = 13) groups based on the sample median. </w:t>
            </w:r>
          </w:p>
          <w:p w14:paraId="3A9D8190">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A</w:t>
            </w:r>
            <w:r>
              <w:rPr>
                <w:rFonts w:hint="eastAsia" w:ascii="Times New Roman" w:hAnsi="Times New Roman" w:eastAsia="Segoe UI" w:cs="Times New Roman"/>
                <w:i w:val="0"/>
                <w:iCs w:val="0"/>
                <w:caps w:val="0"/>
                <w:color w:val="0F1115"/>
                <w:spacing w:val="0"/>
                <w:kern w:val="0"/>
                <w:sz w:val="24"/>
                <w:szCs w:val="24"/>
                <w:lang w:val="en-US" w:eastAsia="zh-CN" w:bidi="ar"/>
              </w:rPr>
              <w:t xml:space="preserve"> </w:t>
            </w:r>
            <w:r>
              <w:rPr>
                <w:rFonts w:hint="default" w:ascii="Times New Roman" w:hAnsi="Times New Roman" w:eastAsia="Segoe UI" w:cs="Times New Roman"/>
                <w:b/>
                <w:bCs/>
                <w:i w:val="0"/>
                <w:iCs w:val="0"/>
                <w:caps w:val="0"/>
                <w:color w:val="0F1115"/>
                <w:spacing w:val="0"/>
                <w:kern w:val="0"/>
                <w:sz w:val="24"/>
                <w:szCs w:val="24"/>
                <w:lang w:val="en-US" w:eastAsia="zh-CN" w:bidi="ar"/>
              </w:rPr>
              <w:t>joint display matrix</w:t>
            </w:r>
            <w:r>
              <w:rPr>
                <w:rFonts w:hint="eastAsia" w:ascii="Times New Roman" w:hAnsi="Times New Roman" w:eastAsia="Segoe UI" w:cs="Times New Roman"/>
                <w:b/>
                <w:bCs/>
                <w:i w:val="0"/>
                <w:iCs w:val="0"/>
                <w:caps w:val="0"/>
                <w:color w:val="0F1115"/>
                <w:spacing w:val="0"/>
                <w:kern w:val="0"/>
                <w:sz w:val="24"/>
                <w:szCs w:val="24"/>
                <w:lang w:val="en-US" w:eastAsia="zh-CN" w:bidi="ar"/>
              </w:rPr>
              <w:t xml:space="preserve"> </w:t>
            </w:r>
            <w:r>
              <w:rPr>
                <w:rFonts w:hint="default" w:ascii="Times New Roman" w:hAnsi="Times New Roman" w:eastAsia="Segoe UI" w:cs="Times New Roman"/>
                <w:i w:val="0"/>
                <w:iCs w:val="0"/>
                <w:caps w:val="0"/>
                <w:color w:val="0F1115"/>
                <w:spacing w:val="0"/>
                <w:kern w:val="0"/>
                <w:sz w:val="24"/>
                <w:szCs w:val="24"/>
                <w:lang w:val="en-US" w:eastAsia="zh-CN" w:bidi="ar"/>
              </w:rPr>
              <w:t>(Table 4) was constructed to cross</w:t>
            </w:r>
            <w:r>
              <w:rPr>
                <w:rFonts w:hint="default" w:ascii="Times New Roman" w:hAnsi="Times New Roman" w:eastAsia="Segoe UI" w:cs="Times New Roman"/>
                <w:i w:val="0"/>
                <w:iCs w:val="0"/>
                <w:caps w:val="0"/>
                <w:color w:val="0F1115"/>
                <w:spacing w:val="0"/>
                <w:kern w:val="0"/>
                <w:sz w:val="24"/>
                <w:szCs w:val="24"/>
                <w:lang w:val="en-US" w:eastAsia="zh-CN" w:bidi="ar"/>
              </w:rPr>
              <w:noBreakHyphen/>
            </w:r>
            <w:r>
              <w:rPr>
                <w:rFonts w:hint="default" w:ascii="Times New Roman" w:hAnsi="Times New Roman" w:eastAsia="Segoe UI" w:cs="Times New Roman"/>
                <w:i w:val="0"/>
                <w:iCs w:val="0"/>
                <w:caps w:val="0"/>
                <w:color w:val="0F1115"/>
                <w:spacing w:val="0"/>
                <w:kern w:val="0"/>
                <w:sz w:val="24"/>
                <w:szCs w:val="24"/>
                <w:lang w:val="en-US" w:eastAsia="zh-CN" w:bidi="ar"/>
              </w:rPr>
              <w:t>reference quantitative trajectories with qualitative themes, generating meta</w:t>
            </w:r>
            <w:r>
              <w:rPr>
                <w:rFonts w:hint="default" w:ascii="Times New Roman" w:hAnsi="Times New Roman" w:eastAsia="Segoe UI" w:cs="Times New Roman"/>
                <w:i w:val="0"/>
                <w:iCs w:val="0"/>
                <w:caps w:val="0"/>
                <w:color w:val="0F1115"/>
                <w:spacing w:val="0"/>
                <w:kern w:val="0"/>
                <w:sz w:val="24"/>
                <w:szCs w:val="24"/>
                <w:lang w:val="en-US" w:eastAsia="zh-CN" w:bidi="ar"/>
              </w:rPr>
              <w:noBreakHyphen/>
            </w:r>
            <w:r>
              <w:rPr>
                <w:rFonts w:hint="default" w:ascii="Times New Roman" w:hAnsi="Times New Roman" w:eastAsia="Segoe UI" w:cs="Times New Roman"/>
                <w:i w:val="0"/>
                <w:iCs w:val="0"/>
                <w:caps w:val="0"/>
                <w:color w:val="0F1115"/>
                <w:spacing w:val="0"/>
                <w:kern w:val="0"/>
                <w:sz w:val="24"/>
                <w:szCs w:val="24"/>
                <w:lang w:val="en-US" w:eastAsia="zh-CN" w:bidi="ar"/>
              </w:rPr>
              <w:t>inferences. This enabled systematic triangulation and hypothesis generation.</w:t>
            </w:r>
          </w:p>
        </w:tc>
        <w:tc>
          <w:tcPr>
            <w:tcW w:w="765" w:type="pct"/>
            <w:tcBorders>
              <w:top w:val="single" w:color="auto" w:sz="4" w:space="0"/>
              <w:left w:val="single" w:color="auto" w:sz="4" w:space="0"/>
              <w:bottom w:val="single" w:color="auto" w:sz="4" w:space="0"/>
              <w:right w:val="single" w:color="auto" w:sz="4" w:space="0"/>
            </w:tcBorders>
            <w:shd w:val="clear" w:color="auto" w:fill="FFFFFF"/>
            <w:noWrap w:val="0"/>
            <w:tcMar>
              <w:top w:w="86" w:type="dxa"/>
              <w:left w:w="137" w:type="dxa"/>
              <w:bottom w:w="86" w:type="dxa"/>
              <w:right w:w="-1" w:type="dxa"/>
            </w:tcMar>
            <w:vAlign w:val="center"/>
          </w:tcPr>
          <w:p w14:paraId="525722DA">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rPr>
              <w:t>Methods – Data Analysis; Results – Mixed-Methods Integration</w:t>
            </w:r>
          </w:p>
        </w:tc>
      </w:tr>
      <w:tr w14:paraId="1BB78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47" w:type="pct"/>
            <w:tcBorders>
              <w:top w:val="single" w:color="auto" w:sz="4" w:space="0"/>
              <w:left w:val="single" w:color="auto" w:sz="4" w:space="0"/>
              <w:bottom w:val="single" w:color="auto" w:sz="4" w:space="0"/>
              <w:right w:val="nil"/>
            </w:tcBorders>
            <w:shd w:val="clear" w:color="auto" w:fill="FFFFFF"/>
            <w:noWrap w:val="0"/>
            <w:tcMar>
              <w:top w:w="86" w:type="dxa"/>
              <w:left w:w="-1" w:type="dxa"/>
              <w:bottom w:w="86" w:type="dxa"/>
              <w:right w:w="137" w:type="dxa"/>
            </w:tcMar>
            <w:vAlign w:val="center"/>
          </w:tcPr>
          <w:p w14:paraId="462D3AF2">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kern w:val="0"/>
                <w:sz w:val="24"/>
                <w:szCs w:val="24"/>
                <w:lang w:val="en-US" w:eastAsia="zh-CN" w:bidi="ar"/>
              </w:rPr>
              <w:t>5. Method limitations</w:t>
            </w:r>
          </w:p>
        </w:tc>
        <w:tc>
          <w:tcPr>
            <w:tcW w:w="809" w:type="pct"/>
            <w:tcBorders>
              <w:top w:val="single" w:color="auto" w:sz="4" w:space="0"/>
              <w:left w:val="single" w:color="auto" w:sz="4" w:space="0"/>
              <w:bottom w:val="single" w:color="auto" w:sz="4" w:space="0"/>
              <w:right w:val="nil"/>
            </w:tcBorders>
            <w:shd w:val="clear" w:color="auto" w:fill="FFFFFF"/>
            <w:noWrap w:val="0"/>
            <w:tcMar>
              <w:top w:w="86" w:type="dxa"/>
              <w:left w:w="137" w:type="dxa"/>
              <w:bottom w:w="86" w:type="dxa"/>
              <w:right w:w="137" w:type="dxa"/>
            </w:tcMar>
            <w:vAlign w:val="center"/>
          </w:tcPr>
          <w:p w14:paraId="28237D66">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Limitations specific to the mixed</w:t>
            </w:r>
            <w:r>
              <w:rPr>
                <w:rFonts w:hint="default" w:ascii="Times New Roman" w:hAnsi="Times New Roman" w:eastAsia="Segoe UI" w:cs="Times New Roman"/>
                <w:i w:val="0"/>
                <w:iCs w:val="0"/>
                <w:caps w:val="0"/>
                <w:color w:val="0F1115"/>
                <w:spacing w:val="0"/>
                <w:kern w:val="0"/>
                <w:sz w:val="24"/>
                <w:szCs w:val="24"/>
                <w:lang w:val="en-US" w:eastAsia="zh-CN" w:bidi="ar"/>
              </w:rPr>
              <w:noBreakHyphen/>
            </w:r>
            <w:r>
              <w:rPr>
                <w:rFonts w:hint="default" w:ascii="Times New Roman" w:hAnsi="Times New Roman" w:eastAsia="Segoe UI" w:cs="Times New Roman"/>
                <w:i w:val="0"/>
                <w:iCs w:val="0"/>
                <w:caps w:val="0"/>
                <w:color w:val="0F1115"/>
                <w:spacing w:val="0"/>
                <w:kern w:val="0"/>
                <w:sz w:val="24"/>
                <w:szCs w:val="24"/>
                <w:lang w:val="en-US" w:eastAsia="zh-CN" w:bidi="ar"/>
              </w:rPr>
              <w:t>methods design</w:t>
            </w:r>
          </w:p>
        </w:tc>
        <w:tc>
          <w:tcPr>
            <w:tcW w:w="2577" w:type="pct"/>
            <w:tcBorders>
              <w:top w:val="single" w:color="auto" w:sz="4" w:space="0"/>
              <w:left w:val="single" w:color="auto" w:sz="4" w:space="0"/>
              <w:bottom w:val="single" w:color="auto" w:sz="4" w:space="0"/>
              <w:right w:val="nil"/>
            </w:tcBorders>
            <w:shd w:val="clear" w:color="auto" w:fill="FFFFFF"/>
            <w:noWrap w:val="0"/>
            <w:tcMar>
              <w:top w:w="86" w:type="dxa"/>
              <w:left w:w="137" w:type="dxa"/>
              <w:bottom w:w="86" w:type="dxa"/>
              <w:right w:w="137" w:type="dxa"/>
            </w:tcMar>
            <w:vAlign w:val="center"/>
          </w:tcPr>
          <w:p w14:paraId="5E6AED6C">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rPr>
              <w:t>The explanatory sequential design did not employ purposive sampling of qualitative participants based on quantitative results, as all 26 participants were interviewed. While this allowed for a broader exploration of score heterogeneity, it limited the depth of explanation that could have been achieved with a more targeted sampling strategy. Additionally, the current study did not extend member checking to the integrated joint display matrix; participant validation was limited to thematic summaries only, meaning the meta-inferences derived from integration were not directly validated by participants.</w:t>
            </w:r>
          </w:p>
        </w:tc>
        <w:tc>
          <w:tcPr>
            <w:tcW w:w="765" w:type="pct"/>
            <w:tcBorders>
              <w:top w:val="single" w:color="auto" w:sz="4" w:space="0"/>
              <w:left w:val="single" w:color="auto" w:sz="4" w:space="0"/>
              <w:bottom w:val="single" w:color="auto" w:sz="4" w:space="0"/>
              <w:right w:val="single" w:color="auto" w:sz="4" w:space="0"/>
            </w:tcBorders>
            <w:shd w:val="clear" w:color="auto" w:fill="FFFFFF"/>
            <w:noWrap w:val="0"/>
            <w:tcMar>
              <w:top w:w="86" w:type="dxa"/>
              <w:left w:w="137" w:type="dxa"/>
              <w:bottom w:w="86" w:type="dxa"/>
              <w:right w:w="-1" w:type="dxa"/>
            </w:tcMar>
            <w:vAlign w:val="center"/>
          </w:tcPr>
          <w:p w14:paraId="05037193">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 xml:space="preserve">Discussion – Strengths and Limitations </w:t>
            </w:r>
          </w:p>
        </w:tc>
      </w:tr>
      <w:tr w14:paraId="4212C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47" w:type="pct"/>
            <w:tcBorders>
              <w:top w:val="single" w:color="auto" w:sz="4" w:space="0"/>
              <w:left w:val="single" w:color="auto" w:sz="4" w:space="0"/>
              <w:bottom w:val="single" w:color="auto" w:sz="4" w:space="0"/>
              <w:right w:val="nil"/>
            </w:tcBorders>
            <w:shd w:val="clear" w:color="auto" w:fill="FFFFFF"/>
            <w:noWrap w:val="0"/>
            <w:tcMar>
              <w:top w:w="86" w:type="dxa"/>
              <w:left w:w="-1" w:type="dxa"/>
              <w:bottom w:w="86" w:type="dxa"/>
              <w:right w:w="137" w:type="dxa"/>
            </w:tcMar>
            <w:vAlign w:val="center"/>
          </w:tcPr>
          <w:p w14:paraId="63895EE7">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kern w:val="0"/>
                <w:sz w:val="24"/>
                <w:szCs w:val="24"/>
                <w:lang w:val="en-US" w:eastAsia="zh-CN" w:bidi="ar"/>
              </w:rPr>
              <w:t>6. Insights from integration</w:t>
            </w:r>
          </w:p>
        </w:tc>
        <w:tc>
          <w:tcPr>
            <w:tcW w:w="809" w:type="pct"/>
            <w:tcBorders>
              <w:top w:val="single" w:color="auto" w:sz="4" w:space="0"/>
              <w:left w:val="single" w:color="auto" w:sz="4" w:space="0"/>
              <w:bottom w:val="single" w:color="auto" w:sz="4" w:space="0"/>
              <w:right w:val="nil"/>
            </w:tcBorders>
            <w:shd w:val="clear" w:color="auto" w:fill="FFFFFF"/>
            <w:noWrap w:val="0"/>
            <w:tcMar>
              <w:top w:w="86" w:type="dxa"/>
              <w:left w:w="137" w:type="dxa"/>
              <w:bottom w:w="86" w:type="dxa"/>
              <w:right w:w="137" w:type="dxa"/>
            </w:tcMar>
            <w:vAlign w:val="center"/>
          </w:tcPr>
          <w:p w14:paraId="05228727">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New knowledge gained through integration</w:t>
            </w:r>
          </w:p>
        </w:tc>
        <w:tc>
          <w:tcPr>
            <w:tcW w:w="2577" w:type="pct"/>
            <w:tcBorders>
              <w:top w:val="single" w:color="auto" w:sz="4" w:space="0"/>
              <w:left w:val="single" w:color="auto" w:sz="4" w:space="0"/>
              <w:bottom w:val="single" w:color="auto" w:sz="4" w:space="0"/>
              <w:right w:val="nil"/>
            </w:tcBorders>
            <w:shd w:val="clear" w:color="auto" w:fill="FFFFFF"/>
            <w:noWrap w:val="0"/>
            <w:tcMar>
              <w:top w:w="86" w:type="dxa"/>
              <w:left w:w="137" w:type="dxa"/>
              <w:bottom w:w="86" w:type="dxa"/>
              <w:right w:w="137" w:type="dxa"/>
            </w:tcMar>
            <w:vAlign w:val="center"/>
          </w:tcPr>
          <w:p w14:paraId="5973CA6D">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kern w:val="0"/>
                <w:sz w:val="24"/>
                <w:szCs w:val="24"/>
                <w:lang w:val="en-US" w:eastAsia="zh-CN" w:bidi="ar"/>
              </w:rPr>
            </w:pPr>
            <w:r>
              <w:rPr>
                <w:rFonts w:hint="default" w:ascii="Times New Roman" w:hAnsi="Times New Roman" w:eastAsia="Segoe UI" w:cs="Times New Roman"/>
                <w:i w:val="0"/>
                <w:iCs w:val="0"/>
                <w:caps w:val="0"/>
                <w:color w:val="0F1115"/>
                <w:spacing w:val="0"/>
                <w:kern w:val="0"/>
                <w:sz w:val="24"/>
                <w:szCs w:val="24"/>
                <w:lang w:val="en-US" w:eastAsia="zh-CN" w:bidi="ar"/>
              </w:rPr>
              <w:t>Integration of quantitative and qualitative data yielded three key insights:</w:t>
            </w:r>
          </w:p>
          <w:p w14:paraId="07FD6666">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kern w:val="0"/>
                <w:sz w:val="24"/>
                <w:szCs w:val="24"/>
                <w:lang w:val="en-US" w:eastAsia="zh-CN" w:bidi="ar"/>
              </w:rPr>
            </w:pPr>
            <w:r>
              <w:rPr>
                <w:rFonts w:hint="default" w:ascii="Times New Roman" w:hAnsi="Times New Roman" w:eastAsia="Segoe UI" w:cs="Times New Roman"/>
                <w:i w:val="0"/>
                <w:iCs w:val="0"/>
                <w:caps w:val="0"/>
                <w:color w:val="0F1115"/>
                <w:spacing w:val="0"/>
                <w:kern w:val="0"/>
                <w:sz w:val="24"/>
                <w:szCs w:val="24"/>
                <w:lang w:val="en-US" w:eastAsia="zh-CN" w:bidi="ar"/>
              </w:rPr>
              <w:t xml:space="preserve"> (1) the experience-related usability hypothesis, which suggests that perceived usability may follow a non-linear trajectory and is highest among junior nurses; (2) a descriptive three-phase pattern (interns → junior nurses → senior nurses) that highlights the need for experience-sensitive design strategies and (3) stratified design principles </w:t>
            </w:r>
            <w:r>
              <w:rPr>
                <w:rFonts w:hint="default" w:ascii="Times New Roman" w:hAnsi="Times New Roman" w:eastAsia="Segoe UI" w:cs="Times New Roman"/>
                <w:i w:val="0"/>
                <w:iCs w:val="0"/>
                <w:caps w:val="0"/>
                <w:color w:val="0F1115"/>
                <w:spacing w:val="0"/>
                <w:kern w:val="0"/>
                <w:sz w:val="24"/>
                <w:szCs w:val="24"/>
                <w:highlight w:val="none"/>
                <w:lang w:val="en-US" w:eastAsia="zh-CN" w:bidi="ar"/>
              </w:rPr>
              <w:t>(see Supplementary S</w:t>
            </w:r>
            <w:r>
              <w:rPr>
                <w:rFonts w:hint="eastAsia" w:ascii="Times New Roman" w:hAnsi="Times New Roman" w:eastAsia="Segoe UI" w:cs="Times New Roman"/>
                <w:i w:val="0"/>
                <w:iCs w:val="0"/>
                <w:caps w:val="0"/>
                <w:color w:val="0F1115"/>
                <w:spacing w:val="0"/>
                <w:kern w:val="0"/>
                <w:sz w:val="24"/>
                <w:szCs w:val="24"/>
                <w:highlight w:val="none"/>
                <w:lang w:val="en-US" w:eastAsia="zh-CN" w:bidi="ar"/>
              </w:rPr>
              <w:t>8</w:t>
            </w:r>
            <w:r>
              <w:rPr>
                <w:rFonts w:hint="default" w:ascii="Times New Roman" w:hAnsi="Times New Roman" w:eastAsia="Segoe UI" w:cs="Times New Roman"/>
                <w:i w:val="0"/>
                <w:iCs w:val="0"/>
                <w:caps w:val="0"/>
                <w:color w:val="0F1115"/>
                <w:spacing w:val="0"/>
                <w:kern w:val="0"/>
                <w:sz w:val="24"/>
                <w:szCs w:val="24"/>
                <w:highlight w:val="none"/>
                <w:lang w:val="en-US" w:eastAsia="zh-CN" w:bidi="ar"/>
              </w:rPr>
              <w:t xml:space="preserve">) </w:t>
            </w:r>
            <w:r>
              <w:rPr>
                <w:rFonts w:hint="default" w:ascii="Times New Roman" w:hAnsi="Times New Roman" w:eastAsia="Segoe UI" w:cs="Times New Roman"/>
                <w:i w:val="0"/>
                <w:iCs w:val="0"/>
                <w:caps w:val="0"/>
                <w:color w:val="0F1115"/>
                <w:spacing w:val="0"/>
                <w:kern w:val="0"/>
                <w:sz w:val="24"/>
                <w:szCs w:val="24"/>
                <w:lang w:val="en-US" w:eastAsia="zh-CN" w:bidi="ar"/>
              </w:rPr>
              <w:t>translating empirical findings into experience-sensitive pedagogical strategies.</w:t>
            </w:r>
          </w:p>
          <w:p w14:paraId="50650098">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kern w:val="0"/>
                <w:sz w:val="24"/>
                <w:szCs w:val="24"/>
                <w:lang w:val="en-US" w:eastAsia="zh-CN" w:bidi="ar"/>
              </w:rPr>
              <w:t>These insights emerged from triangulating quantitative patterns with qualitative narratives, rather than from either method alone.</w:t>
            </w:r>
          </w:p>
        </w:tc>
        <w:tc>
          <w:tcPr>
            <w:tcW w:w="765" w:type="pct"/>
            <w:tcBorders>
              <w:top w:val="single" w:color="auto" w:sz="4" w:space="0"/>
              <w:left w:val="single" w:color="auto" w:sz="4" w:space="0"/>
              <w:bottom w:val="single" w:color="auto" w:sz="4" w:space="0"/>
              <w:right w:val="single" w:color="auto" w:sz="4" w:space="0"/>
            </w:tcBorders>
            <w:shd w:val="clear" w:color="auto" w:fill="FFFFFF"/>
            <w:noWrap w:val="0"/>
            <w:tcMar>
              <w:top w:w="86" w:type="dxa"/>
              <w:left w:w="137" w:type="dxa"/>
              <w:bottom w:w="86" w:type="dxa"/>
              <w:right w:w="-1" w:type="dxa"/>
            </w:tcMar>
            <w:vAlign w:val="center"/>
          </w:tcPr>
          <w:p w14:paraId="294A2608">
            <w:pPr>
              <w:keepNext w:val="0"/>
              <w:keepLines w:val="0"/>
              <w:widowControl/>
              <w:suppressLineNumbers w:val="0"/>
              <w:snapToGrid w:val="0"/>
              <w:spacing w:line="360" w:lineRule="auto"/>
              <w:ind w:left="0" w:leftChars="0" w:right="0" w:rightChars="0" w:firstLine="0" w:firstLineChars="0"/>
              <w:jc w:val="left"/>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rPr>
              <w:t>Results – Mixed-Methods Integration; Discussion – Main Finding; Discussion – Cognitive Stages and Perceived Usability; Supplementary Table S5</w:t>
            </w:r>
          </w:p>
        </w:tc>
      </w:tr>
    </w:tbl>
    <w:p w14:paraId="3A4E8F54">
      <w:pPr>
        <w:jc w:val="left"/>
        <w:rPr>
          <w:rFonts w:hint="default" w:ascii="Times New Roman" w:hAnsi="Times New Roman" w:cs="Times New Roman"/>
        </w:rPr>
      </w:pPr>
    </w:p>
    <w:p w14:paraId="3347A5FA">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br w:type="page"/>
      </w:r>
    </w:p>
    <w:p w14:paraId="106CC3F5">
      <w:pPr>
        <w:pStyle w:val="6"/>
        <w:keepNext w:val="0"/>
        <w:keepLines w:val="0"/>
        <w:widowControl/>
        <w:suppressLineNumbers w:val="0"/>
        <w:shd w:val="clear" w:fill="FFFFFF"/>
        <w:spacing w:before="137" w:beforeAutospacing="0" w:after="137" w:afterAutospacing="0"/>
        <w:ind w:left="0" w:right="0" w:firstLine="0"/>
        <w:jc w:val="left"/>
        <w:rPr>
          <w:rFonts w:hint="default" w:ascii="Times New Roman" w:hAnsi="Times New Roman" w:eastAsia="Segoe UI" w:cs="Times New Roman"/>
          <w:i w:val="0"/>
          <w:iCs w:val="0"/>
          <w:caps w:val="0"/>
          <w:color w:val="0F1115"/>
          <w:spacing w:val="0"/>
          <w:sz w:val="28"/>
          <w:szCs w:val="28"/>
        </w:rPr>
      </w:pPr>
      <w:r>
        <w:rPr>
          <w:rFonts w:hint="default" w:ascii="Times New Roman" w:hAnsi="Times New Roman" w:eastAsia="Segoe UI" w:cs="Times New Roman"/>
          <w:b/>
          <w:bCs/>
          <w:i w:val="0"/>
          <w:iCs w:val="0"/>
          <w:caps w:val="0"/>
          <w:color w:val="0F1115"/>
          <w:spacing w:val="0"/>
          <w:sz w:val="28"/>
          <w:szCs w:val="28"/>
          <w:shd w:val="clear" w:fill="FFFFFF"/>
        </w:rPr>
        <w:t>Supplementary Material S</w:t>
      </w:r>
      <w:r>
        <w:rPr>
          <w:rFonts w:hint="eastAsia" w:ascii="Times New Roman" w:hAnsi="Times New Roman" w:eastAsia="宋体" w:cs="Times New Roman"/>
          <w:b/>
          <w:bCs/>
          <w:i w:val="0"/>
          <w:iCs w:val="0"/>
          <w:caps w:val="0"/>
          <w:color w:val="0F1115"/>
          <w:spacing w:val="0"/>
          <w:sz w:val="28"/>
          <w:szCs w:val="28"/>
          <w:shd w:val="clear" w:fill="FFFFFF"/>
          <w:lang w:val="en-US" w:eastAsia="zh-CN"/>
        </w:rPr>
        <w:t>5</w:t>
      </w:r>
      <w:r>
        <w:rPr>
          <w:rFonts w:hint="default" w:ascii="Times New Roman" w:hAnsi="Times New Roman" w:eastAsia="Segoe UI" w:cs="Times New Roman"/>
          <w:b/>
          <w:bCs/>
          <w:i w:val="0"/>
          <w:iCs w:val="0"/>
          <w:caps w:val="0"/>
          <w:color w:val="0F1115"/>
          <w:spacing w:val="0"/>
          <w:sz w:val="28"/>
          <w:szCs w:val="28"/>
          <w:shd w:val="clear" w:fill="FFFFFF"/>
        </w:rPr>
        <w:t>: Critical Incident Technique (CIT) Analysis Summary</w:t>
      </w:r>
    </w:p>
    <w:p w14:paraId="7BACACA9">
      <w:pPr>
        <w:pStyle w:val="6"/>
        <w:keepNext w:val="0"/>
        <w:keepLines w:val="0"/>
        <w:widowControl/>
        <w:suppressLineNumbers w:val="0"/>
        <w:shd w:val="clear" w:fill="FFFFFF"/>
        <w:spacing w:before="137" w:beforeAutospacing="0" w:after="137" w:afterAutospacing="0" w:line="360" w:lineRule="auto"/>
        <w:ind w:left="0" w:right="0" w:firstLine="0"/>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Methodological Note:</w:t>
      </w:r>
    </w:p>
    <w:p w14:paraId="4358A510">
      <w:pPr>
        <w:pStyle w:val="6"/>
        <w:keepNext w:val="0"/>
        <w:keepLines w:val="0"/>
        <w:widowControl/>
        <w:suppressLineNumbers w:val="0"/>
        <w:shd w:val="clear" w:fill="FFFFFF"/>
        <w:spacing w:before="137" w:beforeAutospacing="0" w:after="137" w:afterAutospacing="0" w:line="360" w:lineRule="auto"/>
        <w:ind w:left="0" w:right="0" w:firstLine="0"/>
        <w:jc w:val="both"/>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This table summarises key critical incidents identified from participant interviews following Flanagan</w:t>
      </w:r>
      <w:r>
        <w:rPr>
          <w:rFonts w:hint="default" w:ascii="Times New Roman" w:hAnsi="Times New Roman" w:eastAsia="宋体"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s (1954) critical incident technique [3</w:t>
      </w:r>
      <w:r>
        <w:rPr>
          <w:rFonts w:hint="eastAsia" w:ascii="Times New Roman" w:hAnsi="Times New Roman" w:eastAsia="宋体" w:cs="Times New Roman"/>
          <w:i w:val="0"/>
          <w:iCs w:val="0"/>
          <w:caps w:val="0"/>
          <w:color w:val="0F1115"/>
          <w:spacing w:val="0"/>
          <w:sz w:val="24"/>
          <w:szCs w:val="24"/>
          <w:shd w:val="clear" w:fill="FFFFFF"/>
          <w:lang w:val="en-US" w:eastAsia="zh-CN"/>
        </w:rPr>
        <w:t>1</w:t>
      </w:r>
      <w:r>
        <w:rPr>
          <w:rFonts w:hint="default" w:ascii="Times New Roman" w:hAnsi="Times New Roman" w:eastAsia="Segoe UI" w:cs="Times New Roman"/>
          <w:i w:val="0"/>
          <w:iCs w:val="0"/>
          <w:caps w:val="0"/>
          <w:color w:val="0F1115"/>
          <w:spacing w:val="0"/>
          <w:sz w:val="24"/>
          <w:szCs w:val="24"/>
          <w:shd w:val="clear" w:fill="FFFFFF"/>
        </w:rPr>
        <w:t>], with reference to Hedqvist et al. (2025)[3</w:t>
      </w:r>
      <w:r>
        <w:rPr>
          <w:rFonts w:hint="eastAsia" w:ascii="Times New Roman" w:hAnsi="Times New Roman" w:eastAsia="宋体" w:cs="Times New Roman"/>
          <w:i w:val="0"/>
          <w:iCs w:val="0"/>
          <w:caps w:val="0"/>
          <w:color w:val="0F1115"/>
          <w:spacing w:val="0"/>
          <w:sz w:val="24"/>
          <w:szCs w:val="24"/>
          <w:shd w:val="clear" w:fill="FFFFFF"/>
          <w:lang w:val="en-US" w:eastAsia="zh-CN"/>
        </w:rPr>
        <w:t>2</w:t>
      </w:r>
      <w:r>
        <w:rPr>
          <w:rFonts w:hint="default" w:ascii="Times New Roman" w:hAnsi="Times New Roman" w:eastAsia="Segoe UI" w:cs="Times New Roman"/>
          <w:i w:val="0"/>
          <w:iCs w:val="0"/>
          <w:caps w:val="0"/>
          <w:color w:val="0F1115"/>
          <w:spacing w:val="0"/>
          <w:sz w:val="24"/>
          <w:szCs w:val="24"/>
          <w:shd w:val="clear" w:fill="FFFFFF"/>
        </w:rPr>
        <w:t>] for application in clinical nursing research contexts. The selected incidents represent specific, observable events that significantly shaped participants’ perceived usability of the toolbox, rather than general opinions. Incidents were identified through systematic review of interview transcripts and mapped to SUS score groups (high: ≥86; low: &lt;86) based on the sample median. This mapping illustrates divergent usability experiences across experience levels, providing qualitative context for the descriptive pattern reported in the main analysis.</w:t>
      </w:r>
    </w:p>
    <w:p w14:paraId="3F4701B3">
      <w:pPr>
        <w:pStyle w:val="6"/>
        <w:keepNext w:val="0"/>
        <w:keepLines w:val="0"/>
        <w:widowControl/>
        <w:suppressLineNumbers w:val="0"/>
        <w:shd w:val="clear" w:fill="FFFFFF"/>
        <w:spacing w:before="137" w:beforeAutospacing="0" w:after="137" w:afterAutospacing="0" w:line="360" w:lineRule="auto"/>
        <w:ind w:left="0" w:right="0" w:firstLine="0"/>
        <w:jc w:val="center"/>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Selection Criteria</w:t>
      </w:r>
    </w:p>
    <w:tbl>
      <w:tblPr>
        <w:tblStyle w:val="7"/>
        <w:tblW w:w="500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464"/>
        <w:gridCol w:w="7006"/>
      </w:tblGrid>
      <w:tr w14:paraId="0BC53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864" w:type="pct"/>
            <w:tcBorders>
              <w:top w:val="single" w:color="auto" w:sz="12" w:space="0"/>
              <w:left w:val="nil"/>
              <w:bottom w:val="nil"/>
              <w:right w:val="nil"/>
            </w:tcBorders>
            <w:shd w:val="clear" w:color="auto" w:fill="auto"/>
            <w:noWrap w:val="0"/>
            <w:tcMar>
              <w:top w:w="86" w:type="dxa"/>
              <w:left w:w="-1" w:type="dxa"/>
              <w:bottom w:w="86" w:type="dxa"/>
              <w:right w:w="137" w:type="dxa"/>
            </w:tcMar>
            <w:vAlign w:val="center"/>
          </w:tcPr>
          <w:p w14:paraId="0FE05D7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sz w:val="24"/>
                <w:szCs w:val="24"/>
              </w:rPr>
            </w:pPr>
            <w:r>
              <w:rPr>
                <w:rFonts w:hint="default" w:ascii="Times New Roman" w:hAnsi="Times New Roman" w:eastAsia="Segoe UI" w:cs="Times New Roman"/>
                <w:b/>
                <w:bCs/>
                <w:kern w:val="0"/>
                <w:sz w:val="24"/>
                <w:szCs w:val="24"/>
                <w:lang w:val="en-US" w:eastAsia="zh-CN" w:bidi="ar"/>
              </w:rPr>
              <w:t>Criterion</w:t>
            </w:r>
          </w:p>
        </w:tc>
        <w:tc>
          <w:tcPr>
            <w:tcW w:w="4135" w:type="pct"/>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0707CE0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sz w:val="24"/>
                <w:szCs w:val="24"/>
              </w:rPr>
            </w:pPr>
            <w:r>
              <w:rPr>
                <w:rFonts w:hint="default" w:ascii="Times New Roman" w:hAnsi="Times New Roman" w:eastAsia="Segoe UI" w:cs="Times New Roman"/>
                <w:b/>
                <w:bCs/>
                <w:kern w:val="0"/>
                <w:sz w:val="24"/>
                <w:szCs w:val="24"/>
                <w:lang w:val="en-US" w:eastAsia="zh-CN" w:bidi="ar"/>
              </w:rPr>
              <w:t>Description</w:t>
            </w:r>
          </w:p>
        </w:tc>
      </w:tr>
      <w:tr w14:paraId="16D58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64" w:type="pct"/>
            <w:tcBorders>
              <w:top w:val="single" w:color="auto" w:sz="4" w:space="0"/>
              <w:left w:val="nil"/>
              <w:bottom w:val="nil"/>
              <w:right w:val="nil"/>
            </w:tcBorders>
            <w:shd w:val="clear" w:color="auto" w:fill="auto"/>
            <w:noWrap w:val="0"/>
            <w:tcMar>
              <w:top w:w="86" w:type="dxa"/>
              <w:left w:w="-1" w:type="dxa"/>
              <w:bottom w:w="86" w:type="dxa"/>
              <w:right w:w="137" w:type="dxa"/>
            </w:tcMar>
            <w:vAlign w:val="center"/>
          </w:tcPr>
          <w:p w14:paraId="1BD6581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b/>
                <w:bCs/>
                <w:kern w:val="0"/>
                <w:sz w:val="24"/>
                <w:szCs w:val="24"/>
                <w:lang w:val="en-US" w:eastAsia="zh-CN" w:bidi="ar"/>
              </w:rPr>
              <w:t>Specificity</w:t>
            </w:r>
          </w:p>
        </w:tc>
        <w:tc>
          <w:tcPr>
            <w:tcW w:w="4135" w:type="pct"/>
            <w:tcBorders>
              <w:top w:val="single" w:color="auto" w:sz="4" w:space="0"/>
              <w:left w:val="nil"/>
              <w:bottom w:val="nil"/>
              <w:right w:val="nil"/>
            </w:tcBorders>
            <w:shd w:val="clear" w:color="auto" w:fill="auto"/>
            <w:noWrap w:val="0"/>
            <w:tcMar>
              <w:top w:w="86" w:type="dxa"/>
              <w:left w:w="137" w:type="dxa"/>
              <w:bottom w:w="86" w:type="dxa"/>
              <w:right w:w="-1" w:type="dxa"/>
            </w:tcMar>
            <w:vAlign w:val="center"/>
          </w:tcPr>
          <w:p w14:paraId="6463515D">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Participant described a concrete clinical event with temporal and contextual details, not a general opinion.</w:t>
            </w:r>
          </w:p>
        </w:tc>
      </w:tr>
      <w:tr w14:paraId="1906F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864" w:type="pct"/>
            <w:tcBorders>
              <w:top w:val="nil"/>
              <w:left w:val="nil"/>
              <w:bottom w:val="nil"/>
              <w:right w:val="nil"/>
            </w:tcBorders>
            <w:shd w:val="clear" w:color="auto" w:fill="auto"/>
            <w:noWrap w:val="0"/>
            <w:tcMar>
              <w:top w:w="86" w:type="dxa"/>
              <w:left w:w="-1" w:type="dxa"/>
              <w:bottom w:w="86" w:type="dxa"/>
              <w:right w:w="137" w:type="dxa"/>
            </w:tcMar>
            <w:vAlign w:val="center"/>
          </w:tcPr>
          <w:p w14:paraId="567782A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b/>
                <w:bCs/>
                <w:kern w:val="0"/>
                <w:sz w:val="24"/>
                <w:szCs w:val="24"/>
                <w:lang w:val="en-US" w:eastAsia="zh-CN" w:bidi="ar"/>
              </w:rPr>
              <w:t>Relevance</w:t>
            </w:r>
          </w:p>
        </w:tc>
        <w:tc>
          <w:tcPr>
            <w:tcW w:w="4135" w:type="pct"/>
            <w:tcBorders>
              <w:top w:val="nil"/>
              <w:left w:val="nil"/>
              <w:bottom w:val="nil"/>
              <w:right w:val="nil"/>
            </w:tcBorders>
            <w:shd w:val="clear" w:color="auto" w:fill="auto"/>
            <w:noWrap w:val="0"/>
            <w:tcMar>
              <w:top w:w="86" w:type="dxa"/>
              <w:left w:w="137" w:type="dxa"/>
              <w:bottom w:w="86" w:type="dxa"/>
              <w:right w:w="-1" w:type="dxa"/>
            </w:tcMar>
            <w:vAlign w:val="center"/>
          </w:tcPr>
          <w:p w14:paraId="52E7E71B">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Event directly related to tool</w:t>
            </w:r>
            <w:r>
              <w:rPr>
                <w:rFonts w:hint="eastAsia" w:ascii="Times New Roman" w:hAnsi="Times New Roman" w:eastAsia="Segoe UI" w:cs="Times New Roman"/>
                <w:kern w:val="0"/>
                <w:sz w:val="24"/>
                <w:szCs w:val="24"/>
                <w:lang w:val="en-US" w:eastAsia="zh-CN" w:bidi="ar"/>
              </w:rPr>
              <w:t>k</w:t>
            </w:r>
            <w:r>
              <w:rPr>
                <w:rFonts w:hint="default" w:ascii="Times New Roman" w:hAnsi="Times New Roman" w:eastAsia="Segoe UI" w:cs="Times New Roman"/>
                <w:kern w:val="0"/>
                <w:sz w:val="24"/>
                <w:szCs w:val="24"/>
                <w:lang w:val="en-US" w:eastAsia="zh-CN" w:bidi="ar"/>
              </w:rPr>
              <w:t xml:space="preserve"> usability experience during clinical or educational activities.</w:t>
            </w:r>
          </w:p>
        </w:tc>
      </w:tr>
      <w:tr w14:paraId="06778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64" w:type="pct"/>
            <w:tcBorders>
              <w:top w:val="nil"/>
              <w:left w:val="nil"/>
              <w:bottom w:val="single" w:color="auto" w:sz="12" w:space="0"/>
              <w:right w:val="nil"/>
            </w:tcBorders>
            <w:shd w:val="clear" w:color="auto" w:fill="auto"/>
            <w:noWrap w:val="0"/>
            <w:tcMar>
              <w:top w:w="86" w:type="dxa"/>
              <w:left w:w="-1" w:type="dxa"/>
              <w:bottom w:w="86" w:type="dxa"/>
              <w:right w:w="137" w:type="dxa"/>
            </w:tcMar>
            <w:vAlign w:val="center"/>
          </w:tcPr>
          <w:p w14:paraId="7AA6882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b/>
                <w:bCs/>
                <w:kern w:val="0"/>
                <w:sz w:val="24"/>
                <w:szCs w:val="24"/>
                <w:lang w:val="en-US" w:eastAsia="zh-CN" w:bidi="ar"/>
              </w:rPr>
              <w:t>Salience</w:t>
            </w:r>
          </w:p>
        </w:tc>
        <w:tc>
          <w:tcPr>
            <w:tcW w:w="4135" w:type="pct"/>
            <w:tcBorders>
              <w:top w:val="nil"/>
              <w:left w:val="nil"/>
              <w:bottom w:val="single" w:color="auto" w:sz="12" w:space="0"/>
              <w:right w:val="nil"/>
            </w:tcBorders>
            <w:shd w:val="clear" w:color="auto" w:fill="auto"/>
            <w:noWrap w:val="0"/>
            <w:tcMar>
              <w:top w:w="86" w:type="dxa"/>
              <w:left w:w="137" w:type="dxa"/>
              <w:bottom w:w="86" w:type="dxa"/>
              <w:right w:w="-1" w:type="dxa"/>
            </w:tcMar>
            <w:vAlign w:val="center"/>
          </w:tcPr>
          <w:p w14:paraId="1CB42C5F">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Event was emphasised by the participant as particularly memorable, challenging, or impactful.</w:t>
            </w:r>
          </w:p>
        </w:tc>
      </w:tr>
    </w:tbl>
    <w:p w14:paraId="4FF2DCE7">
      <w:pPr>
        <w:pStyle w:val="6"/>
        <w:keepNext w:val="0"/>
        <w:keepLines w:val="0"/>
        <w:widowControl/>
        <w:suppressLineNumbers w:val="0"/>
        <w:shd w:val="clear" w:fill="FFFFFF"/>
        <w:spacing w:before="137" w:beforeAutospacing="0" w:after="137" w:afterAutospacing="0" w:line="360" w:lineRule="auto"/>
        <w:ind w:left="0" w:right="0" w:firstLine="0"/>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Incidents that did not meet these criteria (e.g., general satisfaction statements without specific event context) were excluded from this summary but retained in the full coding dataset. Selection was performed by two independent coders reviewing all 26 transcripts; consensus was reached on all included incidents.</w:t>
      </w:r>
    </w:p>
    <w:p w14:paraId="2E4E6E41">
      <w:pPr>
        <w:rPr>
          <w:rFonts w:hint="default" w:ascii="Times New Roman" w:hAnsi="Times New Roman" w:eastAsia="Segoe UI" w:cs="Times New Roman"/>
          <w:b/>
          <w:bCs/>
          <w:i w:val="0"/>
          <w:iCs w:val="0"/>
          <w:caps w:val="0"/>
          <w:color w:val="0F1115"/>
          <w:spacing w:val="0"/>
          <w:sz w:val="24"/>
          <w:szCs w:val="24"/>
          <w:shd w:val="clear" w:fill="FFFFFF"/>
        </w:rPr>
      </w:pPr>
      <w:r>
        <w:rPr>
          <w:rFonts w:hint="default" w:ascii="Times New Roman" w:hAnsi="Times New Roman" w:eastAsia="Segoe UI" w:cs="Times New Roman"/>
          <w:b/>
          <w:bCs/>
          <w:i w:val="0"/>
          <w:iCs w:val="0"/>
          <w:caps w:val="0"/>
          <w:color w:val="0F1115"/>
          <w:spacing w:val="0"/>
          <w:sz w:val="24"/>
          <w:szCs w:val="24"/>
          <w:shd w:val="clear" w:fill="FFFFFF"/>
        </w:rPr>
        <w:br w:type="page"/>
      </w:r>
    </w:p>
    <w:p w14:paraId="61656F77">
      <w:pPr>
        <w:jc w:val="center"/>
        <w:rPr>
          <w:rFonts w:hint="default" w:ascii="Times New Roman" w:hAnsi="Times New Roman" w:eastAsia="Segoe UI" w:cs="Times New Roman"/>
          <w:b/>
          <w:bCs/>
          <w:i w:val="0"/>
          <w:iCs w:val="0"/>
          <w:caps w:val="0"/>
          <w:color w:val="0F1115"/>
          <w:spacing w:val="0"/>
          <w:sz w:val="24"/>
          <w:szCs w:val="24"/>
          <w:shd w:val="clear" w:fill="FFFFFF"/>
        </w:rPr>
      </w:pPr>
      <w:r>
        <w:rPr>
          <w:rFonts w:hint="default" w:ascii="Times New Roman" w:hAnsi="Times New Roman" w:eastAsia="Segoe UI" w:cs="Times New Roman"/>
          <w:b/>
          <w:bCs/>
          <w:i w:val="0"/>
          <w:iCs w:val="0"/>
          <w:caps w:val="0"/>
          <w:color w:val="0F1115"/>
          <w:spacing w:val="0"/>
          <w:sz w:val="24"/>
          <w:szCs w:val="24"/>
          <w:shd w:val="clear" w:fill="FFFFFF"/>
        </w:rPr>
        <w:t>Summary of Critical Incidents</w:t>
      </w:r>
    </w:p>
    <w:p w14:paraId="6A35DA7D">
      <w:pPr>
        <w:jc w:val="center"/>
        <w:rPr>
          <w:rFonts w:hint="default" w:ascii="Times New Roman" w:hAnsi="Times New Roman" w:eastAsia="Segoe UI" w:cs="Times New Roman"/>
          <w:b/>
          <w:bCs/>
          <w:i w:val="0"/>
          <w:iCs w:val="0"/>
          <w:caps w:val="0"/>
          <w:color w:val="0F1115"/>
          <w:spacing w:val="0"/>
          <w:sz w:val="24"/>
          <w:szCs w:val="24"/>
          <w:shd w:val="clear" w:fill="FFFFFF"/>
        </w:rPr>
      </w:pPr>
    </w:p>
    <w:tbl>
      <w:tblPr>
        <w:tblStyle w:val="7"/>
        <w:tblW w:w="514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74"/>
        <w:gridCol w:w="1470"/>
        <w:gridCol w:w="1784"/>
        <w:gridCol w:w="1536"/>
        <w:gridCol w:w="2047"/>
        <w:gridCol w:w="995"/>
      </w:tblGrid>
      <w:tr w14:paraId="041FD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501" w:type="pct"/>
            <w:tcBorders>
              <w:top w:val="single" w:color="auto" w:sz="12" w:space="0"/>
              <w:left w:val="nil"/>
              <w:bottom w:val="nil"/>
              <w:right w:val="nil"/>
            </w:tcBorders>
            <w:shd w:val="clear" w:color="auto" w:fill="auto"/>
            <w:noWrap w:val="0"/>
            <w:tcMar>
              <w:top w:w="86" w:type="dxa"/>
              <w:left w:w="-1" w:type="dxa"/>
              <w:bottom w:w="86" w:type="dxa"/>
              <w:right w:w="137" w:type="dxa"/>
            </w:tcMar>
            <w:vAlign w:val="center"/>
          </w:tcPr>
          <w:p w14:paraId="7B59B79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sz w:val="24"/>
                <w:szCs w:val="24"/>
              </w:rPr>
            </w:pPr>
            <w:r>
              <w:rPr>
                <w:rFonts w:hint="default" w:ascii="Times New Roman" w:hAnsi="Times New Roman" w:eastAsia="Segoe UI" w:cs="Times New Roman"/>
                <w:b/>
                <w:bCs/>
                <w:kern w:val="0"/>
                <w:sz w:val="24"/>
                <w:szCs w:val="24"/>
                <w:lang w:val="en-US" w:eastAsia="zh-CN" w:bidi="ar"/>
              </w:rPr>
              <w:t>Event ID</w:t>
            </w:r>
          </w:p>
        </w:tc>
        <w:tc>
          <w:tcPr>
            <w:tcW w:w="844" w:type="pct"/>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6D22C0FD">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b/>
                <w:sz w:val="24"/>
                <w:szCs w:val="24"/>
              </w:rPr>
            </w:pPr>
            <w:r>
              <w:rPr>
                <w:rFonts w:hint="default" w:ascii="Times New Roman" w:hAnsi="Times New Roman" w:eastAsia="Segoe UI" w:cs="Times New Roman"/>
                <w:b/>
                <w:bCs/>
                <w:kern w:val="0"/>
                <w:sz w:val="24"/>
                <w:szCs w:val="24"/>
                <w:lang w:val="en-US" w:eastAsia="zh-CN" w:bidi="ar"/>
              </w:rPr>
              <w:t>Participant Role</w:t>
            </w:r>
          </w:p>
        </w:tc>
        <w:tc>
          <w:tcPr>
            <w:tcW w:w="1024" w:type="pct"/>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2D1FC420">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b/>
                <w:sz w:val="24"/>
                <w:szCs w:val="24"/>
              </w:rPr>
            </w:pPr>
            <w:r>
              <w:rPr>
                <w:rFonts w:hint="default" w:ascii="Times New Roman" w:hAnsi="Times New Roman" w:eastAsia="Segoe UI" w:cs="Times New Roman"/>
                <w:b/>
                <w:bCs/>
                <w:kern w:val="0"/>
                <w:sz w:val="24"/>
                <w:szCs w:val="24"/>
                <w:lang w:val="en-US" w:eastAsia="zh-CN" w:bidi="ar"/>
              </w:rPr>
              <w:t>KeyIncident Description</w:t>
            </w:r>
          </w:p>
        </w:tc>
        <w:tc>
          <w:tcPr>
            <w:tcW w:w="882" w:type="pct"/>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09C84AA4">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b/>
                <w:sz w:val="24"/>
                <w:szCs w:val="24"/>
              </w:rPr>
            </w:pPr>
            <w:r>
              <w:rPr>
                <w:rFonts w:hint="default" w:ascii="Times New Roman" w:hAnsi="Times New Roman" w:eastAsia="Segoe UI" w:cs="Times New Roman"/>
                <w:b/>
                <w:bCs/>
                <w:kern w:val="0"/>
                <w:sz w:val="24"/>
                <w:szCs w:val="24"/>
                <w:lang w:val="en-US" w:eastAsia="zh-CN" w:bidi="ar"/>
              </w:rPr>
              <w:t>Event Type</w:t>
            </w:r>
          </w:p>
        </w:tc>
        <w:tc>
          <w:tcPr>
            <w:tcW w:w="1175" w:type="pct"/>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01CC92F8">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b/>
                <w:sz w:val="24"/>
                <w:szCs w:val="24"/>
              </w:rPr>
            </w:pPr>
            <w:r>
              <w:rPr>
                <w:rFonts w:hint="default" w:ascii="Times New Roman" w:hAnsi="Times New Roman" w:eastAsia="Segoe UI" w:cs="Times New Roman"/>
                <w:b/>
                <w:bCs/>
                <w:kern w:val="0"/>
                <w:sz w:val="24"/>
                <w:szCs w:val="24"/>
                <w:lang w:val="en-US" w:eastAsia="zh-CN" w:bidi="ar"/>
              </w:rPr>
              <w:t>Triggering Context</w:t>
            </w:r>
          </w:p>
        </w:tc>
        <w:tc>
          <w:tcPr>
            <w:tcW w:w="571" w:type="pct"/>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4BA330D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sz w:val="24"/>
                <w:szCs w:val="24"/>
              </w:rPr>
            </w:pPr>
            <w:r>
              <w:rPr>
                <w:rFonts w:hint="default" w:ascii="Times New Roman" w:hAnsi="Times New Roman" w:eastAsia="Segoe UI" w:cs="Times New Roman"/>
                <w:b/>
                <w:bCs/>
                <w:kern w:val="0"/>
                <w:sz w:val="24"/>
                <w:szCs w:val="24"/>
                <w:lang w:val="en-US" w:eastAsia="zh-CN" w:bidi="ar"/>
              </w:rPr>
              <w:t>SUS Group</w:t>
            </w:r>
          </w:p>
        </w:tc>
      </w:tr>
      <w:tr w14:paraId="71FBA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501" w:type="pct"/>
            <w:tcBorders>
              <w:top w:val="single" w:color="auto" w:sz="4" w:space="0"/>
              <w:left w:val="nil"/>
              <w:bottom w:val="nil"/>
              <w:right w:val="nil"/>
            </w:tcBorders>
            <w:shd w:val="clear" w:color="auto" w:fill="auto"/>
            <w:noWrap w:val="0"/>
            <w:tcMar>
              <w:top w:w="86" w:type="dxa"/>
              <w:left w:w="-1" w:type="dxa"/>
              <w:bottom w:w="86" w:type="dxa"/>
              <w:right w:w="137" w:type="dxa"/>
            </w:tcMar>
            <w:vAlign w:val="center"/>
          </w:tcPr>
          <w:p w14:paraId="494DC96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CIT-01</w:t>
            </w:r>
          </w:p>
        </w:tc>
        <w:tc>
          <w:tcPr>
            <w:tcW w:w="844" w:type="pct"/>
            <w:tcBorders>
              <w:top w:val="single" w:color="auto" w:sz="4" w:space="0"/>
              <w:left w:val="nil"/>
              <w:bottom w:val="nil"/>
              <w:right w:val="nil"/>
            </w:tcBorders>
            <w:shd w:val="clear" w:color="auto" w:fill="auto"/>
            <w:noWrap w:val="0"/>
            <w:tcMar>
              <w:top w:w="86" w:type="dxa"/>
              <w:left w:w="137" w:type="dxa"/>
              <w:bottom w:w="86" w:type="dxa"/>
              <w:right w:w="137" w:type="dxa"/>
            </w:tcMar>
            <w:vAlign w:val="center"/>
          </w:tcPr>
          <w:p w14:paraId="5BFE5498">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Nursing Intern (100)</w:t>
            </w:r>
          </w:p>
        </w:tc>
        <w:tc>
          <w:tcPr>
            <w:tcW w:w="1024" w:type="pct"/>
            <w:tcBorders>
              <w:top w:val="single" w:color="auto" w:sz="4" w:space="0"/>
              <w:left w:val="nil"/>
              <w:bottom w:val="nil"/>
              <w:right w:val="nil"/>
            </w:tcBorders>
            <w:shd w:val="clear" w:color="auto" w:fill="auto"/>
            <w:noWrap w:val="0"/>
            <w:tcMar>
              <w:top w:w="86" w:type="dxa"/>
              <w:left w:w="137" w:type="dxa"/>
              <w:bottom w:w="86" w:type="dxa"/>
              <w:right w:w="137" w:type="dxa"/>
            </w:tcMar>
            <w:vAlign w:val="center"/>
          </w:tcPr>
          <w:p w14:paraId="1E49B0C0">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“Just follow the steps, no need to worry</w:t>
            </w:r>
            <w:r>
              <w:rPr>
                <w:rFonts w:hint="eastAsia" w:ascii="Times New Roman" w:hAnsi="Times New Roman" w:eastAsia="Segoe UI" w:cs="Times New Roman"/>
                <w:kern w:val="0"/>
                <w:sz w:val="24"/>
                <w:szCs w:val="24"/>
                <w:lang w:val="en-US" w:eastAsia="zh-CN" w:bidi="ar"/>
              </w:rPr>
              <w:t xml:space="preserve"> </w:t>
            </w:r>
            <w:r>
              <w:rPr>
                <w:rFonts w:hint="default" w:ascii="Times New Roman" w:hAnsi="Times New Roman" w:eastAsia="Segoe UI" w:cs="Times New Roman"/>
                <w:kern w:val="0"/>
                <w:sz w:val="24"/>
                <w:szCs w:val="24"/>
                <w:lang w:val="en-US" w:eastAsia="zh-CN" w:bidi="ar"/>
              </w:rPr>
              <w:t>about missing anything.”</w:t>
            </w:r>
          </w:p>
        </w:tc>
        <w:tc>
          <w:tcPr>
            <w:tcW w:w="882" w:type="pct"/>
            <w:tcBorders>
              <w:top w:val="single" w:color="auto" w:sz="4" w:space="0"/>
              <w:left w:val="nil"/>
              <w:bottom w:val="nil"/>
              <w:right w:val="nil"/>
            </w:tcBorders>
            <w:shd w:val="clear" w:color="auto" w:fill="auto"/>
            <w:noWrap w:val="0"/>
            <w:tcMar>
              <w:top w:w="86" w:type="dxa"/>
              <w:left w:w="137" w:type="dxa"/>
              <w:bottom w:w="86" w:type="dxa"/>
              <w:right w:w="137" w:type="dxa"/>
            </w:tcMar>
            <w:vAlign w:val="center"/>
          </w:tcPr>
          <w:p w14:paraId="250AF4D5">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Cognitive Scaffolding</w:t>
            </w:r>
          </w:p>
        </w:tc>
        <w:tc>
          <w:tcPr>
            <w:tcW w:w="1175" w:type="pct"/>
            <w:tcBorders>
              <w:top w:val="single" w:color="auto" w:sz="4" w:space="0"/>
              <w:left w:val="nil"/>
              <w:bottom w:val="nil"/>
              <w:right w:val="nil"/>
            </w:tcBorders>
            <w:shd w:val="clear" w:color="auto" w:fill="auto"/>
            <w:noWrap w:val="0"/>
            <w:tcMar>
              <w:top w:w="86" w:type="dxa"/>
              <w:left w:w="137" w:type="dxa"/>
              <w:bottom w:w="86" w:type="dxa"/>
              <w:right w:w="137" w:type="dxa"/>
            </w:tcMar>
            <w:vAlign w:val="center"/>
          </w:tcPr>
          <w:p w14:paraId="1D1F37B3">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First independent patient education without supervisor presence</w:t>
            </w:r>
          </w:p>
        </w:tc>
        <w:tc>
          <w:tcPr>
            <w:tcW w:w="571" w:type="pct"/>
            <w:tcBorders>
              <w:top w:val="single" w:color="auto" w:sz="4" w:space="0"/>
              <w:left w:val="nil"/>
              <w:bottom w:val="nil"/>
              <w:right w:val="nil"/>
            </w:tcBorders>
            <w:shd w:val="clear" w:color="auto" w:fill="auto"/>
            <w:noWrap w:val="0"/>
            <w:tcMar>
              <w:top w:w="86" w:type="dxa"/>
              <w:left w:w="137" w:type="dxa"/>
              <w:bottom w:w="86" w:type="dxa"/>
              <w:right w:w="-1" w:type="dxa"/>
            </w:tcMar>
            <w:vAlign w:val="center"/>
          </w:tcPr>
          <w:p w14:paraId="20E61ED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High (≥86)</w:t>
            </w:r>
          </w:p>
        </w:tc>
      </w:tr>
      <w:tr w14:paraId="5B591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501" w:type="pct"/>
            <w:tcBorders>
              <w:top w:val="nil"/>
              <w:left w:val="nil"/>
              <w:bottom w:val="nil"/>
              <w:right w:val="nil"/>
            </w:tcBorders>
            <w:shd w:val="clear" w:color="auto" w:fill="auto"/>
            <w:noWrap w:val="0"/>
            <w:tcMar>
              <w:top w:w="86" w:type="dxa"/>
              <w:left w:w="-1" w:type="dxa"/>
              <w:bottom w:w="86" w:type="dxa"/>
              <w:right w:w="137" w:type="dxa"/>
            </w:tcMar>
            <w:vAlign w:val="center"/>
          </w:tcPr>
          <w:p w14:paraId="3F230D9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CIT-02</w:t>
            </w:r>
          </w:p>
        </w:tc>
        <w:tc>
          <w:tcPr>
            <w:tcW w:w="844" w:type="pct"/>
            <w:tcBorders>
              <w:top w:val="nil"/>
              <w:left w:val="nil"/>
              <w:bottom w:val="nil"/>
              <w:right w:val="nil"/>
            </w:tcBorders>
            <w:shd w:val="clear" w:color="auto" w:fill="auto"/>
            <w:noWrap w:val="0"/>
            <w:tcMar>
              <w:top w:w="86" w:type="dxa"/>
              <w:left w:w="137" w:type="dxa"/>
              <w:bottom w:w="86" w:type="dxa"/>
              <w:right w:w="137" w:type="dxa"/>
            </w:tcMar>
            <w:vAlign w:val="center"/>
          </w:tcPr>
          <w:p w14:paraId="465A5ABA">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Nursing Intern (100)</w:t>
            </w:r>
          </w:p>
        </w:tc>
        <w:tc>
          <w:tcPr>
            <w:tcW w:w="1024" w:type="pct"/>
            <w:tcBorders>
              <w:top w:val="nil"/>
              <w:left w:val="nil"/>
              <w:bottom w:val="nil"/>
              <w:right w:val="nil"/>
            </w:tcBorders>
            <w:shd w:val="clear" w:color="auto" w:fill="auto"/>
            <w:noWrap w:val="0"/>
            <w:tcMar>
              <w:top w:w="86" w:type="dxa"/>
              <w:left w:w="137" w:type="dxa"/>
              <w:bottom w:w="86" w:type="dxa"/>
              <w:right w:w="137" w:type="dxa"/>
            </w:tcMar>
            <w:vAlign w:val="center"/>
          </w:tcPr>
          <w:p w14:paraId="1395DD58">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“Very organized and complete, and easy to use. Sometimes I worry about forgetting things, but the toolbox has reminders.”</w:t>
            </w:r>
          </w:p>
        </w:tc>
        <w:tc>
          <w:tcPr>
            <w:tcW w:w="882" w:type="pct"/>
            <w:tcBorders>
              <w:top w:val="nil"/>
              <w:left w:val="nil"/>
              <w:bottom w:val="nil"/>
              <w:right w:val="nil"/>
            </w:tcBorders>
            <w:shd w:val="clear" w:color="auto" w:fill="auto"/>
            <w:noWrap w:val="0"/>
            <w:tcMar>
              <w:top w:w="86" w:type="dxa"/>
              <w:left w:w="137" w:type="dxa"/>
              <w:bottom w:w="86" w:type="dxa"/>
              <w:right w:w="137" w:type="dxa"/>
            </w:tcMar>
            <w:vAlign w:val="center"/>
          </w:tcPr>
          <w:p w14:paraId="5FF58712">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Confidence Building</w:t>
            </w:r>
          </w:p>
        </w:tc>
        <w:tc>
          <w:tcPr>
            <w:tcW w:w="1175" w:type="pct"/>
            <w:tcBorders>
              <w:top w:val="nil"/>
              <w:left w:val="nil"/>
              <w:bottom w:val="nil"/>
              <w:right w:val="nil"/>
            </w:tcBorders>
            <w:shd w:val="clear" w:color="auto" w:fill="auto"/>
            <w:noWrap w:val="0"/>
            <w:tcMar>
              <w:top w:w="86" w:type="dxa"/>
              <w:left w:w="137" w:type="dxa"/>
              <w:bottom w:w="86" w:type="dxa"/>
              <w:right w:w="137" w:type="dxa"/>
            </w:tcMar>
            <w:vAlign w:val="center"/>
          </w:tcPr>
          <w:p w14:paraId="1161B604">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Initial exposure to the toolbox, independent exploration without detailed guidance</w:t>
            </w:r>
          </w:p>
        </w:tc>
        <w:tc>
          <w:tcPr>
            <w:tcW w:w="571" w:type="pct"/>
            <w:tcBorders>
              <w:top w:val="nil"/>
              <w:left w:val="nil"/>
              <w:bottom w:val="nil"/>
              <w:right w:val="nil"/>
            </w:tcBorders>
            <w:shd w:val="clear" w:color="auto" w:fill="auto"/>
            <w:noWrap w:val="0"/>
            <w:tcMar>
              <w:top w:w="86" w:type="dxa"/>
              <w:left w:w="137" w:type="dxa"/>
              <w:bottom w:w="86" w:type="dxa"/>
              <w:right w:w="-1" w:type="dxa"/>
            </w:tcMar>
            <w:vAlign w:val="center"/>
          </w:tcPr>
          <w:p w14:paraId="0D2C3C1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High (≥86)</w:t>
            </w:r>
          </w:p>
        </w:tc>
      </w:tr>
      <w:tr w14:paraId="52644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501" w:type="pct"/>
            <w:tcBorders>
              <w:top w:val="nil"/>
              <w:left w:val="nil"/>
              <w:bottom w:val="nil"/>
              <w:right w:val="nil"/>
            </w:tcBorders>
            <w:shd w:val="clear" w:color="auto" w:fill="auto"/>
            <w:noWrap w:val="0"/>
            <w:tcMar>
              <w:top w:w="86" w:type="dxa"/>
              <w:left w:w="-1" w:type="dxa"/>
              <w:bottom w:w="86" w:type="dxa"/>
              <w:right w:w="137" w:type="dxa"/>
            </w:tcMar>
            <w:vAlign w:val="center"/>
          </w:tcPr>
          <w:p w14:paraId="3CFE0F0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CIT-03</w:t>
            </w:r>
          </w:p>
        </w:tc>
        <w:tc>
          <w:tcPr>
            <w:tcW w:w="844" w:type="pct"/>
            <w:tcBorders>
              <w:top w:val="nil"/>
              <w:left w:val="nil"/>
              <w:bottom w:val="nil"/>
              <w:right w:val="nil"/>
            </w:tcBorders>
            <w:shd w:val="clear" w:color="auto" w:fill="auto"/>
            <w:noWrap w:val="0"/>
            <w:tcMar>
              <w:top w:w="86" w:type="dxa"/>
              <w:left w:w="137" w:type="dxa"/>
              <w:bottom w:w="86" w:type="dxa"/>
              <w:right w:w="137" w:type="dxa"/>
            </w:tcMar>
            <w:vAlign w:val="center"/>
          </w:tcPr>
          <w:p w14:paraId="68917F1D">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Junior Nurse (92.5)</w:t>
            </w:r>
          </w:p>
        </w:tc>
        <w:tc>
          <w:tcPr>
            <w:tcW w:w="1024" w:type="pct"/>
            <w:tcBorders>
              <w:top w:val="nil"/>
              <w:left w:val="nil"/>
              <w:bottom w:val="nil"/>
              <w:right w:val="nil"/>
            </w:tcBorders>
            <w:shd w:val="clear" w:color="auto" w:fill="auto"/>
            <w:noWrap w:val="0"/>
            <w:tcMar>
              <w:top w:w="86" w:type="dxa"/>
              <w:left w:w="137" w:type="dxa"/>
              <w:bottom w:w="86" w:type="dxa"/>
              <w:right w:w="137" w:type="dxa"/>
            </w:tcMar>
            <w:vAlign w:val="center"/>
          </w:tcPr>
          <w:p w14:paraId="5FB22D47">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“A complete system — I can just take it and directly educate the patient, very convenient.”</w:t>
            </w:r>
          </w:p>
        </w:tc>
        <w:tc>
          <w:tcPr>
            <w:tcW w:w="882" w:type="pct"/>
            <w:tcBorders>
              <w:top w:val="nil"/>
              <w:left w:val="nil"/>
              <w:bottom w:val="nil"/>
              <w:right w:val="nil"/>
            </w:tcBorders>
            <w:shd w:val="clear" w:color="auto" w:fill="auto"/>
            <w:noWrap w:val="0"/>
            <w:tcMar>
              <w:top w:w="86" w:type="dxa"/>
              <w:left w:w="137" w:type="dxa"/>
              <w:bottom w:w="86" w:type="dxa"/>
              <w:right w:w="137" w:type="dxa"/>
            </w:tcMar>
            <w:vAlign w:val="center"/>
          </w:tcPr>
          <w:p w14:paraId="7D7643B7">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Workflow Integration</w:t>
            </w:r>
          </w:p>
        </w:tc>
        <w:tc>
          <w:tcPr>
            <w:tcW w:w="1175" w:type="pct"/>
            <w:tcBorders>
              <w:top w:val="nil"/>
              <w:left w:val="nil"/>
              <w:bottom w:val="nil"/>
              <w:right w:val="nil"/>
            </w:tcBorders>
            <w:shd w:val="clear" w:color="auto" w:fill="auto"/>
            <w:noWrap w:val="0"/>
            <w:tcMar>
              <w:top w:w="86" w:type="dxa"/>
              <w:left w:w="137" w:type="dxa"/>
              <w:bottom w:w="86" w:type="dxa"/>
              <w:right w:w="137" w:type="dxa"/>
            </w:tcMar>
            <w:vAlign w:val="center"/>
          </w:tcPr>
          <w:p w14:paraId="19D8D05D">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Routine bedside teaching requiring efficient patient education</w:t>
            </w:r>
          </w:p>
        </w:tc>
        <w:tc>
          <w:tcPr>
            <w:tcW w:w="571" w:type="pct"/>
            <w:tcBorders>
              <w:top w:val="nil"/>
              <w:left w:val="nil"/>
              <w:bottom w:val="nil"/>
              <w:right w:val="nil"/>
            </w:tcBorders>
            <w:shd w:val="clear" w:color="auto" w:fill="auto"/>
            <w:noWrap w:val="0"/>
            <w:tcMar>
              <w:top w:w="86" w:type="dxa"/>
              <w:left w:w="137" w:type="dxa"/>
              <w:bottom w:w="86" w:type="dxa"/>
              <w:right w:w="-1" w:type="dxa"/>
            </w:tcMar>
            <w:vAlign w:val="center"/>
          </w:tcPr>
          <w:p w14:paraId="0BA1DA0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High (≥86)</w:t>
            </w:r>
          </w:p>
        </w:tc>
      </w:tr>
      <w:tr w14:paraId="21B4F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01" w:type="pct"/>
            <w:tcBorders>
              <w:top w:val="nil"/>
              <w:left w:val="nil"/>
              <w:bottom w:val="nil"/>
              <w:right w:val="nil"/>
            </w:tcBorders>
            <w:shd w:val="clear" w:color="auto" w:fill="auto"/>
            <w:noWrap w:val="0"/>
            <w:tcMar>
              <w:top w:w="86" w:type="dxa"/>
              <w:left w:w="-1" w:type="dxa"/>
              <w:bottom w:w="86" w:type="dxa"/>
              <w:right w:w="137" w:type="dxa"/>
            </w:tcMar>
            <w:vAlign w:val="center"/>
          </w:tcPr>
          <w:p w14:paraId="64950AD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CIT-04</w:t>
            </w:r>
          </w:p>
        </w:tc>
        <w:tc>
          <w:tcPr>
            <w:tcW w:w="844" w:type="pct"/>
            <w:tcBorders>
              <w:top w:val="nil"/>
              <w:left w:val="nil"/>
              <w:bottom w:val="nil"/>
              <w:right w:val="nil"/>
            </w:tcBorders>
            <w:shd w:val="clear" w:color="auto" w:fill="auto"/>
            <w:noWrap w:val="0"/>
            <w:tcMar>
              <w:top w:w="86" w:type="dxa"/>
              <w:left w:w="137" w:type="dxa"/>
              <w:bottom w:w="86" w:type="dxa"/>
              <w:right w:w="137" w:type="dxa"/>
            </w:tcMar>
            <w:vAlign w:val="center"/>
          </w:tcPr>
          <w:p w14:paraId="79C4122F">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Senior Nurse (75)</w:t>
            </w:r>
          </w:p>
        </w:tc>
        <w:tc>
          <w:tcPr>
            <w:tcW w:w="1024" w:type="pct"/>
            <w:tcBorders>
              <w:top w:val="nil"/>
              <w:left w:val="nil"/>
              <w:bottom w:val="nil"/>
              <w:right w:val="nil"/>
            </w:tcBorders>
            <w:shd w:val="clear" w:color="auto" w:fill="auto"/>
            <w:noWrap w:val="0"/>
            <w:tcMar>
              <w:top w:w="86" w:type="dxa"/>
              <w:left w:w="137" w:type="dxa"/>
              <w:bottom w:w="86" w:type="dxa"/>
              <w:right w:w="137" w:type="dxa"/>
            </w:tcMar>
            <w:vAlign w:val="center"/>
          </w:tcPr>
          <w:p w14:paraId="73BEA473">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“There are QR codes and various things pasted all around; it feels like there‘s too much content.”</w:t>
            </w:r>
          </w:p>
        </w:tc>
        <w:tc>
          <w:tcPr>
            <w:tcW w:w="882" w:type="pct"/>
            <w:tcBorders>
              <w:top w:val="nil"/>
              <w:left w:val="nil"/>
              <w:bottom w:val="nil"/>
              <w:right w:val="nil"/>
            </w:tcBorders>
            <w:shd w:val="clear" w:color="auto" w:fill="auto"/>
            <w:noWrap w:val="0"/>
            <w:tcMar>
              <w:top w:w="86" w:type="dxa"/>
              <w:left w:w="137" w:type="dxa"/>
              <w:bottom w:w="86" w:type="dxa"/>
              <w:right w:w="137" w:type="dxa"/>
            </w:tcMar>
            <w:vAlign w:val="center"/>
          </w:tcPr>
          <w:p w14:paraId="660AAC50">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Information Redundancy</w:t>
            </w:r>
          </w:p>
        </w:tc>
        <w:tc>
          <w:tcPr>
            <w:tcW w:w="1175" w:type="pct"/>
            <w:tcBorders>
              <w:top w:val="nil"/>
              <w:left w:val="nil"/>
              <w:bottom w:val="nil"/>
              <w:right w:val="nil"/>
            </w:tcBorders>
            <w:shd w:val="clear" w:color="auto" w:fill="auto"/>
            <w:noWrap w:val="0"/>
            <w:tcMar>
              <w:top w:w="86" w:type="dxa"/>
              <w:left w:w="137" w:type="dxa"/>
              <w:bottom w:w="86" w:type="dxa"/>
              <w:right w:w="137" w:type="dxa"/>
            </w:tcMar>
            <w:vAlign w:val="center"/>
          </w:tcPr>
          <w:p w14:paraId="62792E3E">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Screening educational materials for newly admitted patients</w:t>
            </w:r>
          </w:p>
        </w:tc>
        <w:tc>
          <w:tcPr>
            <w:tcW w:w="571" w:type="pct"/>
            <w:tcBorders>
              <w:top w:val="nil"/>
              <w:left w:val="nil"/>
              <w:bottom w:val="nil"/>
              <w:right w:val="nil"/>
            </w:tcBorders>
            <w:shd w:val="clear" w:color="auto" w:fill="auto"/>
            <w:noWrap w:val="0"/>
            <w:tcMar>
              <w:top w:w="86" w:type="dxa"/>
              <w:left w:w="137" w:type="dxa"/>
              <w:bottom w:w="86" w:type="dxa"/>
              <w:right w:w="-1" w:type="dxa"/>
            </w:tcMar>
            <w:vAlign w:val="center"/>
          </w:tcPr>
          <w:p w14:paraId="50C5329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Low (&lt;86)</w:t>
            </w:r>
          </w:p>
        </w:tc>
      </w:tr>
      <w:tr w14:paraId="2AAA6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501" w:type="pct"/>
            <w:tcBorders>
              <w:top w:val="nil"/>
              <w:left w:val="nil"/>
              <w:bottom w:val="single" w:color="auto" w:sz="12" w:space="0"/>
              <w:right w:val="nil"/>
            </w:tcBorders>
            <w:shd w:val="clear" w:color="auto" w:fill="auto"/>
            <w:noWrap w:val="0"/>
            <w:tcMar>
              <w:top w:w="86" w:type="dxa"/>
              <w:left w:w="-1" w:type="dxa"/>
              <w:bottom w:w="86" w:type="dxa"/>
              <w:right w:w="137" w:type="dxa"/>
            </w:tcMar>
            <w:vAlign w:val="center"/>
          </w:tcPr>
          <w:p w14:paraId="085D6ED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CIT-05</w:t>
            </w:r>
          </w:p>
        </w:tc>
        <w:tc>
          <w:tcPr>
            <w:tcW w:w="844" w:type="pct"/>
            <w:tcBorders>
              <w:top w:val="nil"/>
              <w:left w:val="nil"/>
              <w:bottom w:val="single" w:color="auto" w:sz="12" w:space="0"/>
              <w:right w:val="nil"/>
            </w:tcBorders>
            <w:shd w:val="clear" w:color="auto" w:fill="auto"/>
            <w:noWrap w:val="0"/>
            <w:tcMar>
              <w:top w:w="86" w:type="dxa"/>
              <w:left w:w="137" w:type="dxa"/>
              <w:bottom w:w="86" w:type="dxa"/>
              <w:right w:w="137" w:type="dxa"/>
            </w:tcMar>
            <w:vAlign w:val="center"/>
          </w:tcPr>
          <w:p w14:paraId="674F3E78">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Senior Nurse (75)</w:t>
            </w:r>
          </w:p>
        </w:tc>
        <w:tc>
          <w:tcPr>
            <w:tcW w:w="1024" w:type="pct"/>
            <w:tcBorders>
              <w:top w:val="nil"/>
              <w:left w:val="nil"/>
              <w:bottom w:val="single" w:color="auto" w:sz="12" w:space="0"/>
              <w:right w:val="nil"/>
            </w:tcBorders>
            <w:shd w:val="clear" w:color="auto" w:fill="auto"/>
            <w:noWrap w:val="0"/>
            <w:tcMar>
              <w:top w:w="86" w:type="dxa"/>
              <w:left w:w="137" w:type="dxa"/>
              <w:bottom w:w="86" w:type="dxa"/>
              <w:right w:w="137" w:type="dxa"/>
            </w:tcMar>
            <w:vAlign w:val="center"/>
          </w:tcPr>
          <w:p w14:paraId="6681F912">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“Too many dense prompt cards; I have to search for core parameters each time, which slows me down.”</w:t>
            </w:r>
          </w:p>
        </w:tc>
        <w:tc>
          <w:tcPr>
            <w:tcW w:w="882" w:type="pct"/>
            <w:tcBorders>
              <w:top w:val="nil"/>
              <w:left w:val="nil"/>
              <w:bottom w:val="single" w:color="auto" w:sz="12" w:space="0"/>
              <w:right w:val="nil"/>
            </w:tcBorders>
            <w:shd w:val="clear" w:color="auto" w:fill="auto"/>
            <w:noWrap w:val="0"/>
            <w:tcMar>
              <w:top w:w="86" w:type="dxa"/>
              <w:left w:w="137" w:type="dxa"/>
              <w:bottom w:w="86" w:type="dxa"/>
              <w:right w:w="137" w:type="dxa"/>
            </w:tcMar>
            <w:vAlign w:val="center"/>
          </w:tcPr>
          <w:p w14:paraId="296447C8">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Workflow Disruption</w:t>
            </w:r>
          </w:p>
        </w:tc>
        <w:tc>
          <w:tcPr>
            <w:tcW w:w="1175" w:type="pct"/>
            <w:tcBorders>
              <w:top w:val="nil"/>
              <w:left w:val="nil"/>
              <w:bottom w:val="single" w:color="auto" w:sz="12" w:space="0"/>
              <w:right w:val="nil"/>
            </w:tcBorders>
            <w:shd w:val="clear" w:color="auto" w:fill="auto"/>
            <w:noWrap w:val="0"/>
            <w:tcMar>
              <w:top w:w="86" w:type="dxa"/>
              <w:left w:w="137" w:type="dxa"/>
              <w:bottom w:w="86" w:type="dxa"/>
              <w:right w:w="137" w:type="dxa"/>
            </w:tcMar>
            <w:vAlign w:val="center"/>
          </w:tcPr>
          <w:p w14:paraId="5704153A">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High-workload period with multiple patients requiring concurrent education</w:t>
            </w:r>
          </w:p>
        </w:tc>
        <w:tc>
          <w:tcPr>
            <w:tcW w:w="571" w:type="pct"/>
            <w:tcBorders>
              <w:top w:val="nil"/>
              <w:left w:val="nil"/>
              <w:bottom w:val="single" w:color="auto" w:sz="12" w:space="0"/>
              <w:right w:val="nil"/>
            </w:tcBorders>
            <w:shd w:val="clear" w:color="auto" w:fill="auto"/>
            <w:noWrap w:val="0"/>
            <w:tcMar>
              <w:top w:w="86" w:type="dxa"/>
              <w:left w:w="137" w:type="dxa"/>
              <w:bottom w:w="86" w:type="dxa"/>
              <w:right w:w="-1" w:type="dxa"/>
            </w:tcMar>
            <w:vAlign w:val="center"/>
          </w:tcPr>
          <w:p w14:paraId="255AD86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4"/>
                <w:szCs w:val="24"/>
              </w:rPr>
            </w:pPr>
            <w:r>
              <w:rPr>
                <w:rFonts w:hint="default" w:ascii="Times New Roman" w:hAnsi="Times New Roman" w:eastAsia="Segoe UI" w:cs="Times New Roman"/>
                <w:kern w:val="0"/>
                <w:sz w:val="24"/>
                <w:szCs w:val="24"/>
                <w:lang w:val="en-US" w:eastAsia="zh-CN" w:bidi="ar"/>
              </w:rPr>
              <w:t>Low (&lt;86)</w:t>
            </w:r>
          </w:p>
        </w:tc>
      </w:tr>
    </w:tbl>
    <w:p w14:paraId="4D9338C2">
      <w:pPr>
        <w:keepNext w:val="0"/>
        <w:keepLines w:val="0"/>
        <w:widowControl/>
        <w:suppressLineNumbers w:val="0"/>
        <w:pBdr>
          <w:top w:val="none" w:color="auto" w:sz="0" w:space="0"/>
          <w:left w:val="none" w:color="auto" w:sz="0" w:space="0"/>
          <w:bottom w:val="none" w:color="auto" w:sz="0" w:space="0"/>
          <w:right w:val="none" w:color="auto" w:sz="0" w:space="0"/>
        </w:pBdr>
        <w:spacing w:before="274" w:beforeAutospacing="0" w:after="274" w:afterAutospacing="0"/>
        <w:ind w:left="0" w:right="0" w:firstLine="0"/>
        <w:rPr>
          <w:rFonts w:hint="default" w:ascii="Times New Roman" w:hAnsi="Times New Roman" w:eastAsia="Segoe UI" w:cs="Times New Roman"/>
          <w:i w:val="0"/>
          <w:iCs w:val="0"/>
          <w:caps w:val="0"/>
          <w:spacing w:val="0"/>
          <w:sz w:val="24"/>
          <w:szCs w:val="24"/>
        </w:rPr>
      </w:pPr>
    </w:p>
    <w:p w14:paraId="46C7722D">
      <w:pPr>
        <w:rPr>
          <w:rFonts w:hint="default" w:ascii="Times New Roman" w:hAnsi="Times New Roman" w:cs="Times New Roman"/>
          <w:sz w:val="24"/>
          <w:szCs w:val="24"/>
        </w:rPr>
      </w:pPr>
    </w:p>
    <w:p w14:paraId="1FE3E00F">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br w:type="page"/>
      </w:r>
    </w:p>
    <w:p w14:paraId="51367C25">
      <w:pPr>
        <w:bidi w:val="0"/>
        <w:rPr>
          <w:rFonts w:hint="default" w:ascii="Times New Roman" w:hAnsi="Times New Roman" w:cs="Times New Roman"/>
          <w:b/>
          <w:bCs/>
          <w:sz w:val="28"/>
          <w:szCs w:val="28"/>
        </w:rPr>
      </w:pPr>
      <w:r>
        <w:rPr>
          <w:rFonts w:hint="default" w:ascii="Times New Roman" w:hAnsi="Times New Roman" w:cs="Times New Roman"/>
          <w:b/>
          <w:bCs/>
          <w:sz w:val="28"/>
          <w:szCs w:val="28"/>
        </w:rPr>
        <w:t>Supplementary Material S</w:t>
      </w:r>
      <w:r>
        <w:rPr>
          <w:rFonts w:hint="eastAsia" w:ascii="Times New Roman" w:hAnsi="Times New Roman" w:cs="Times New Roman"/>
          <w:b/>
          <w:bCs/>
          <w:sz w:val="28"/>
          <w:szCs w:val="28"/>
          <w:lang w:val="en-US" w:eastAsia="zh-CN"/>
        </w:rPr>
        <w:t>6</w:t>
      </w:r>
      <w:r>
        <w:rPr>
          <w:rFonts w:hint="default" w:ascii="Times New Roman" w:hAnsi="Times New Roman" w:cs="Times New Roman"/>
          <w:b/>
          <w:bCs/>
          <w:sz w:val="28"/>
          <w:szCs w:val="28"/>
        </w:rPr>
        <w:t>: SUS Raw Data</w:t>
      </w:r>
    </w:p>
    <w:p w14:paraId="7002AA43">
      <w:pPr>
        <w:pStyle w:val="6"/>
        <w:keepNext w:val="0"/>
        <w:keepLines w:val="0"/>
        <w:widowControl/>
        <w:suppressLineNumbers w:val="0"/>
        <w:shd w:val="clear" w:fill="FFFFFF"/>
        <w:spacing w:before="137" w:beforeAutospacing="0" w:after="137" w:afterAutospacing="0"/>
        <w:ind w:left="0" w:right="0" w:firstLine="0"/>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b/>
          <w:bCs/>
          <w:i w:val="0"/>
          <w:iCs w:val="0"/>
          <w:caps w:val="0"/>
          <w:color w:val="0F1115"/>
          <w:spacing w:val="0"/>
          <w:sz w:val="20"/>
          <w:szCs w:val="20"/>
          <w:shd w:val="clear" w:fill="FFFFFF"/>
        </w:rPr>
        <w:t>Note:</w:t>
      </w:r>
      <w:r>
        <w:rPr>
          <w:rFonts w:hint="default" w:ascii="Times New Roman" w:hAnsi="Times New Roman" w:eastAsia="Segoe UI" w:cs="Times New Roman"/>
          <w:i w:val="0"/>
          <w:iCs w:val="0"/>
          <w:caps w:val="0"/>
          <w:color w:val="0F1115"/>
          <w:spacing w:val="0"/>
          <w:sz w:val="20"/>
          <w:szCs w:val="20"/>
          <w:shd w:val="clear" w:fill="FFFFFF"/>
        </w:rPr>
        <w:t> SUS scores range from 0 to 100. Groups are defined by professional title and experience level: Nursing Intern (0 years), Junior Nurse (1–7 years), Senior Nurse (&gt;7 years). Sample median = 86; mean = 85.75 ± 9.97 (N = 26).</w:t>
      </w:r>
    </w:p>
    <w:tbl>
      <w:tblPr>
        <w:tblStyle w:val="7"/>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864"/>
        <w:gridCol w:w="3499"/>
        <w:gridCol w:w="2214"/>
      </w:tblGrid>
      <w:tr w14:paraId="7436F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blHeader/>
          <w:jc w:val="center"/>
        </w:trPr>
        <w:tc>
          <w:tcPr>
            <w:tcW w:w="1669" w:type="pct"/>
            <w:tcBorders>
              <w:top w:val="single" w:color="auto" w:sz="12" w:space="0"/>
              <w:left w:val="nil"/>
              <w:bottom w:val="nil"/>
              <w:right w:val="nil"/>
            </w:tcBorders>
            <w:shd w:val="clear" w:color="auto" w:fill="FFFFFF"/>
            <w:noWrap w:val="0"/>
            <w:tcMar>
              <w:top w:w="86" w:type="dxa"/>
              <w:left w:w="137" w:type="dxa"/>
              <w:bottom w:w="86" w:type="dxa"/>
              <w:right w:w="137" w:type="dxa"/>
            </w:tcMar>
            <w:vAlign w:val="center"/>
          </w:tcPr>
          <w:p w14:paraId="7218D9C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i w:val="0"/>
                <w:iCs w:val="0"/>
                <w:caps w:val="0"/>
                <w:color w:val="0F1115"/>
                <w:spacing w:val="0"/>
                <w:kern w:val="0"/>
                <w:sz w:val="20"/>
                <w:szCs w:val="20"/>
                <w:lang w:val="en-US" w:eastAsia="zh-CN" w:bidi="ar"/>
              </w:rPr>
            </w:pPr>
            <w:r>
              <w:rPr>
                <w:rFonts w:hint="default" w:ascii="Times New Roman" w:hAnsi="Times New Roman" w:eastAsia="Segoe UI" w:cs="Times New Roman"/>
                <w:b/>
                <w:i w:val="0"/>
                <w:iCs w:val="0"/>
                <w:caps w:val="0"/>
                <w:color w:val="0F1115"/>
                <w:spacing w:val="0"/>
                <w:kern w:val="0"/>
                <w:sz w:val="20"/>
                <w:szCs w:val="20"/>
                <w:lang w:val="en-US" w:eastAsia="zh-CN" w:bidi="ar"/>
              </w:rPr>
              <w:t>Participant ID</w:t>
            </w:r>
          </w:p>
        </w:tc>
        <w:tc>
          <w:tcPr>
            <w:tcW w:w="2039" w:type="pct"/>
            <w:tcBorders>
              <w:top w:val="single" w:color="auto" w:sz="12" w:space="0"/>
              <w:left w:val="nil"/>
              <w:bottom w:val="nil"/>
              <w:right w:val="nil"/>
            </w:tcBorders>
            <w:shd w:val="clear" w:color="auto" w:fill="FFFFFF"/>
            <w:noWrap w:val="0"/>
            <w:tcMar>
              <w:top w:w="86" w:type="dxa"/>
              <w:left w:w="137" w:type="dxa"/>
              <w:bottom w:w="86" w:type="dxa"/>
              <w:right w:w="137" w:type="dxa"/>
            </w:tcMar>
            <w:vAlign w:val="center"/>
          </w:tcPr>
          <w:p w14:paraId="7DC2082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i w:val="0"/>
                <w:iCs w:val="0"/>
                <w:caps w:val="0"/>
                <w:color w:val="0F1115"/>
                <w:spacing w:val="0"/>
                <w:sz w:val="20"/>
                <w:szCs w:val="20"/>
              </w:rPr>
            </w:pPr>
            <w:r>
              <w:rPr>
                <w:rFonts w:hint="default" w:ascii="Times New Roman" w:hAnsi="Times New Roman" w:eastAsia="Segoe UI" w:cs="Times New Roman"/>
                <w:b/>
                <w:i w:val="0"/>
                <w:iCs w:val="0"/>
                <w:caps w:val="0"/>
                <w:color w:val="0F1115"/>
                <w:spacing w:val="0"/>
                <w:kern w:val="0"/>
                <w:sz w:val="20"/>
                <w:szCs w:val="20"/>
                <w:lang w:val="en-US" w:eastAsia="zh-CN" w:bidi="ar"/>
              </w:rPr>
              <w:t>Experience Group</w:t>
            </w:r>
          </w:p>
        </w:tc>
        <w:tc>
          <w:tcPr>
            <w:tcW w:w="1290" w:type="pct"/>
            <w:tcBorders>
              <w:top w:val="single" w:color="auto" w:sz="12" w:space="0"/>
              <w:left w:val="nil"/>
              <w:bottom w:val="nil"/>
              <w:right w:val="nil"/>
            </w:tcBorders>
            <w:shd w:val="clear" w:color="auto" w:fill="FFFFFF"/>
            <w:noWrap w:val="0"/>
            <w:tcMar>
              <w:top w:w="86" w:type="dxa"/>
              <w:left w:w="137" w:type="dxa"/>
              <w:bottom w:w="86" w:type="dxa"/>
              <w:right w:w="137" w:type="dxa"/>
            </w:tcMar>
            <w:vAlign w:val="center"/>
          </w:tcPr>
          <w:p w14:paraId="5A4A0F7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i w:val="0"/>
                <w:iCs w:val="0"/>
                <w:caps w:val="0"/>
                <w:color w:val="0F1115"/>
                <w:spacing w:val="0"/>
                <w:sz w:val="20"/>
                <w:szCs w:val="20"/>
              </w:rPr>
            </w:pPr>
            <w:r>
              <w:rPr>
                <w:rFonts w:hint="default" w:ascii="Times New Roman" w:hAnsi="Times New Roman" w:eastAsia="Segoe UI" w:cs="Times New Roman"/>
                <w:b/>
                <w:i w:val="0"/>
                <w:iCs w:val="0"/>
                <w:caps w:val="0"/>
                <w:color w:val="0F1115"/>
                <w:spacing w:val="0"/>
                <w:kern w:val="0"/>
                <w:sz w:val="20"/>
                <w:szCs w:val="20"/>
                <w:lang w:val="en-US" w:eastAsia="zh-CN" w:bidi="ar"/>
              </w:rPr>
              <w:t>SUS Score</w:t>
            </w:r>
          </w:p>
        </w:tc>
      </w:tr>
      <w:tr w14:paraId="4C98B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669" w:type="pct"/>
            <w:tcBorders>
              <w:top w:val="single" w:color="auto" w:sz="4" w:space="0"/>
              <w:left w:val="nil"/>
              <w:bottom w:val="nil"/>
              <w:right w:val="nil"/>
            </w:tcBorders>
            <w:shd w:val="clear" w:color="auto" w:fill="FFFFFF"/>
            <w:noWrap w:val="0"/>
            <w:tcMar>
              <w:top w:w="86" w:type="dxa"/>
              <w:left w:w="137" w:type="dxa"/>
              <w:bottom w:w="86" w:type="dxa"/>
              <w:right w:w="137" w:type="dxa"/>
            </w:tcMar>
            <w:vAlign w:val="center"/>
          </w:tcPr>
          <w:p w14:paraId="6D01121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N10</w:t>
            </w:r>
          </w:p>
        </w:tc>
        <w:tc>
          <w:tcPr>
            <w:tcW w:w="2039" w:type="pct"/>
            <w:tcBorders>
              <w:top w:val="single" w:color="auto" w:sz="4" w:space="0"/>
              <w:left w:val="nil"/>
              <w:bottom w:val="nil"/>
              <w:right w:val="nil"/>
            </w:tcBorders>
            <w:shd w:val="clear" w:color="auto" w:fill="FFFFFF"/>
            <w:noWrap w:val="0"/>
            <w:tcMar>
              <w:top w:w="86" w:type="dxa"/>
              <w:left w:w="137" w:type="dxa"/>
              <w:bottom w:w="86" w:type="dxa"/>
              <w:right w:w="137" w:type="dxa"/>
            </w:tcMar>
            <w:vAlign w:val="center"/>
          </w:tcPr>
          <w:p w14:paraId="44478D5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Nursing Intern</w:t>
            </w:r>
          </w:p>
        </w:tc>
        <w:tc>
          <w:tcPr>
            <w:tcW w:w="1290" w:type="pct"/>
            <w:tcBorders>
              <w:top w:val="single" w:color="auto" w:sz="4" w:space="0"/>
              <w:left w:val="nil"/>
              <w:bottom w:val="nil"/>
              <w:right w:val="nil"/>
            </w:tcBorders>
            <w:shd w:val="clear" w:color="auto" w:fill="FFFFFF"/>
            <w:noWrap w:val="0"/>
            <w:tcMar>
              <w:top w:w="86" w:type="dxa"/>
              <w:left w:w="137" w:type="dxa"/>
              <w:bottom w:w="86" w:type="dxa"/>
              <w:right w:w="-1" w:type="dxa"/>
            </w:tcMar>
            <w:vAlign w:val="center"/>
          </w:tcPr>
          <w:p w14:paraId="4CA2116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72.50</w:t>
            </w:r>
          </w:p>
        </w:tc>
      </w:tr>
      <w:tr w14:paraId="490F2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3AA6C3E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N14</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3D97CB0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Nursing Intern</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3364B73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72.50</w:t>
            </w:r>
          </w:p>
        </w:tc>
      </w:tr>
      <w:tr w14:paraId="399F0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7A4B798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N17</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6CD06EF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Nursing Intern</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3B2896D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85.00</w:t>
            </w:r>
          </w:p>
        </w:tc>
      </w:tr>
      <w:tr w14:paraId="1537D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04837E9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N4</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219D305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Nursing Intern</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3860762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100.00</w:t>
            </w:r>
          </w:p>
        </w:tc>
      </w:tr>
      <w:tr w14:paraId="6D59D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73244BD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N9</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744F347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Nursing Intern</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2AF1AED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82.50</w:t>
            </w:r>
          </w:p>
        </w:tc>
      </w:tr>
      <w:tr w14:paraId="776B7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4DC7E2B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N18</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4868278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Nursing Intern</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0D2427B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70.00</w:t>
            </w:r>
          </w:p>
        </w:tc>
      </w:tr>
      <w:tr w14:paraId="767B7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1B6099A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N3</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7412D80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Nursing Intern</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4EA2DE1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75.00</w:t>
            </w:r>
          </w:p>
        </w:tc>
      </w:tr>
      <w:tr w14:paraId="518FF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7823B3A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N16</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02F7DC0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Nursing Intern</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6AC931C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70.00</w:t>
            </w:r>
          </w:p>
        </w:tc>
      </w:tr>
      <w:tr w14:paraId="0C41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0C32217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N8</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21B77D1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Nursing Intern</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09ECE29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90.00</w:t>
            </w:r>
          </w:p>
        </w:tc>
      </w:tr>
      <w:tr w14:paraId="7E7FC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02DDF0A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N24</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0996636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Junior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46058C3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90.00</w:t>
            </w:r>
          </w:p>
        </w:tc>
      </w:tr>
      <w:tr w14:paraId="51F1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37F7E5A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N12</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403C433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Junior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10B75B4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100.00</w:t>
            </w:r>
          </w:p>
        </w:tc>
      </w:tr>
      <w:tr w14:paraId="7095D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3E66A59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N21</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0F0AB2D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Junior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7C615CC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100.00</w:t>
            </w:r>
          </w:p>
        </w:tc>
      </w:tr>
      <w:tr w14:paraId="7DA6B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46A6592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N13</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67E76DB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Junior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0BADBA2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100.00</w:t>
            </w:r>
          </w:p>
        </w:tc>
      </w:tr>
      <w:tr w14:paraId="4444E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122FEF1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N23</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7316D6B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Junior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4BA0E5D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87.00</w:t>
            </w:r>
          </w:p>
        </w:tc>
      </w:tr>
      <w:tr w14:paraId="05530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04B80B6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highlight w:val="none"/>
                <w:lang w:val="en-US" w:eastAsia="zh-CN" w:bidi="ar"/>
              </w:rPr>
            </w:pPr>
            <w:r>
              <w:rPr>
                <w:rFonts w:hint="eastAsia" w:ascii="Times New Roman" w:hAnsi="Times New Roman" w:eastAsia="Segoe UI" w:cs="Times New Roman"/>
                <w:i w:val="0"/>
                <w:iCs w:val="0"/>
                <w:caps w:val="0"/>
                <w:color w:val="0F1115"/>
                <w:spacing w:val="0"/>
                <w:kern w:val="0"/>
                <w:sz w:val="20"/>
                <w:szCs w:val="20"/>
                <w:highlight w:val="none"/>
                <w:lang w:val="en-US" w:eastAsia="zh-CN" w:bidi="ar"/>
              </w:rPr>
              <w:t>N22</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5784F33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Junior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3D371C5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75.00</w:t>
            </w:r>
          </w:p>
        </w:tc>
      </w:tr>
      <w:tr w14:paraId="370C9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532FDAE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highlight w:val="none"/>
                <w:lang w:val="en-US" w:eastAsia="zh-CN" w:bidi="ar"/>
              </w:rPr>
            </w:pPr>
            <w:r>
              <w:rPr>
                <w:rFonts w:hint="eastAsia" w:ascii="Times New Roman" w:hAnsi="Times New Roman" w:eastAsia="Segoe UI" w:cs="Times New Roman"/>
                <w:i w:val="0"/>
                <w:iCs w:val="0"/>
                <w:caps w:val="0"/>
                <w:color w:val="0F1115"/>
                <w:spacing w:val="0"/>
                <w:kern w:val="0"/>
                <w:sz w:val="20"/>
                <w:szCs w:val="20"/>
                <w:highlight w:val="none"/>
                <w:lang w:val="en-US" w:eastAsia="zh-CN" w:bidi="ar"/>
              </w:rPr>
              <w:t>N26</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5D24877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Junior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78DF290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92.50</w:t>
            </w:r>
          </w:p>
        </w:tc>
      </w:tr>
      <w:tr w14:paraId="2C218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15AE324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highlight w:val="none"/>
                <w:lang w:val="en-US" w:eastAsia="zh-CN" w:bidi="ar"/>
              </w:rPr>
            </w:pPr>
            <w:r>
              <w:rPr>
                <w:rFonts w:hint="eastAsia" w:ascii="Times New Roman" w:hAnsi="Times New Roman" w:eastAsia="Segoe UI" w:cs="Times New Roman"/>
                <w:i w:val="0"/>
                <w:iCs w:val="0"/>
                <w:caps w:val="0"/>
                <w:color w:val="0F1115"/>
                <w:spacing w:val="0"/>
                <w:kern w:val="0"/>
                <w:sz w:val="20"/>
                <w:szCs w:val="20"/>
                <w:highlight w:val="none"/>
                <w:lang w:val="en-US" w:eastAsia="zh-CN" w:bidi="ar"/>
              </w:rPr>
              <w:t>N1</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28FE6C1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Senior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1000BD9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75.00</w:t>
            </w:r>
          </w:p>
        </w:tc>
      </w:tr>
      <w:tr w14:paraId="4828C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77D02D7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highlight w:val="none"/>
                <w:lang w:val="en-US" w:eastAsia="zh-CN" w:bidi="ar"/>
              </w:rPr>
            </w:pPr>
            <w:r>
              <w:rPr>
                <w:rFonts w:hint="eastAsia" w:ascii="Times New Roman" w:hAnsi="Times New Roman" w:eastAsia="Segoe UI" w:cs="Times New Roman"/>
                <w:i w:val="0"/>
                <w:iCs w:val="0"/>
                <w:caps w:val="0"/>
                <w:color w:val="0F1115"/>
                <w:spacing w:val="0"/>
                <w:kern w:val="0"/>
                <w:sz w:val="20"/>
                <w:szCs w:val="20"/>
                <w:highlight w:val="none"/>
                <w:lang w:val="en-US" w:eastAsia="zh-CN" w:bidi="ar"/>
              </w:rPr>
              <w:t>N2</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42E97D0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Senior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2E36233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80.00</w:t>
            </w:r>
          </w:p>
        </w:tc>
      </w:tr>
      <w:tr w14:paraId="38B7D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3D4B599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highlight w:val="none"/>
                <w:lang w:val="en-US" w:eastAsia="zh-CN" w:bidi="ar"/>
              </w:rPr>
            </w:pPr>
            <w:r>
              <w:rPr>
                <w:rFonts w:hint="eastAsia" w:ascii="Times New Roman" w:hAnsi="Times New Roman" w:eastAsia="Segoe UI" w:cs="Times New Roman"/>
                <w:i w:val="0"/>
                <w:iCs w:val="0"/>
                <w:caps w:val="0"/>
                <w:color w:val="0F1115"/>
                <w:spacing w:val="0"/>
                <w:kern w:val="0"/>
                <w:sz w:val="20"/>
                <w:szCs w:val="20"/>
                <w:highlight w:val="none"/>
                <w:lang w:val="en-US" w:eastAsia="zh-CN" w:bidi="ar"/>
              </w:rPr>
              <w:t>N6</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0B6BCAF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Senior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76BE0D0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75.00</w:t>
            </w:r>
          </w:p>
        </w:tc>
      </w:tr>
      <w:tr w14:paraId="0CC77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59210F9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highlight w:val="none"/>
                <w:lang w:val="en-US" w:eastAsia="zh-CN" w:bidi="ar"/>
              </w:rPr>
            </w:pPr>
            <w:r>
              <w:rPr>
                <w:rFonts w:hint="eastAsia" w:ascii="Times New Roman" w:hAnsi="Times New Roman" w:eastAsia="Segoe UI" w:cs="Times New Roman"/>
                <w:i w:val="0"/>
                <w:iCs w:val="0"/>
                <w:caps w:val="0"/>
                <w:color w:val="0F1115"/>
                <w:spacing w:val="0"/>
                <w:kern w:val="0"/>
                <w:sz w:val="20"/>
                <w:szCs w:val="20"/>
                <w:highlight w:val="none"/>
                <w:lang w:val="en-US" w:eastAsia="zh-CN" w:bidi="ar"/>
              </w:rPr>
              <w:t>N11</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79E12DE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Senior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4328574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90.00</w:t>
            </w:r>
          </w:p>
        </w:tc>
      </w:tr>
      <w:tr w14:paraId="32F8C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425B2DE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highlight w:val="none"/>
                <w:lang w:val="en-US" w:eastAsia="zh-CN" w:bidi="ar"/>
              </w:rPr>
            </w:pPr>
            <w:r>
              <w:rPr>
                <w:rFonts w:hint="eastAsia" w:ascii="Times New Roman" w:hAnsi="Times New Roman" w:eastAsia="Segoe UI" w:cs="Times New Roman"/>
                <w:i w:val="0"/>
                <w:iCs w:val="0"/>
                <w:caps w:val="0"/>
                <w:color w:val="0F1115"/>
                <w:spacing w:val="0"/>
                <w:kern w:val="0"/>
                <w:sz w:val="20"/>
                <w:szCs w:val="20"/>
                <w:highlight w:val="none"/>
                <w:lang w:val="en-US" w:eastAsia="zh-CN" w:bidi="ar"/>
              </w:rPr>
              <w:t>N5</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3775B7A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Senior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7DA986D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100.00</w:t>
            </w:r>
          </w:p>
        </w:tc>
      </w:tr>
      <w:tr w14:paraId="1A0CA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73D5029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highlight w:val="none"/>
                <w:lang w:val="en-US" w:eastAsia="zh-CN" w:bidi="ar"/>
              </w:rPr>
            </w:pPr>
            <w:r>
              <w:rPr>
                <w:rFonts w:hint="eastAsia" w:ascii="Times New Roman" w:hAnsi="Times New Roman" w:eastAsia="Segoe UI" w:cs="Times New Roman"/>
                <w:i w:val="0"/>
                <w:iCs w:val="0"/>
                <w:caps w:val="0"/>
                <w:color w:val="0F1115"/>
                <w:spacing w:val="0"/>
                <w:kern w:val="0"/>
                <w:sz w:val="20"/>
                <w:szCs w:val="20"/>
                <w:highlight w:val="none"/>
                <w:lang w:val="en-US" w:eastAsia="zh-CN" w:bidi="ar"/>
              </w:rPr>
              <w:t>N15</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3E2BDC0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Senior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41FF238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highlight w:val="none"/>
              </w:rPr>
            </w:pPr>
            <w:r>
              <w:rPr>
                <w:rFonts w:hint="default" w:ascii="Times New Roman" w:hAnsi="Times New Roman" w:eastAsia="Segoe UI" w:cs="Times New Roman"/>
                <w:i w:val="0"/>
                <w:iCs w:val="0"/>
                <w:caps w:val="0"/>
                <w:color w:val="0F1115"/>
                <w:spacing w:val="0"/>
                <w:kern w:val="0"/>
                <w:sz w:val="20"/>
                <w:szCs w:val="20"/>
                <w:highlight w:val="none"/>
                <w:lang w:val="en-US" w:eastAsia="zh-CN" w:bidi="ar"/>
              </w:rPr>
              <w:t>85.00</w:t>
            </w:r>
          </w:p>
        </w:tc>
      </w:tr>
      <w:tr w14:paraId="5AB1A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2E8C6EC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N25</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5A08B59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Senior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050BA4E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97.50</w:t>
            </w:r>
          </w:p>
        </w:tc>
      </w:tr>
      <w:tr w14:paraId="102DA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102FF62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N20</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69797B9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Senior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76C2606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90.00</w:t>
            </w:r>
          </w:p>
        </w:tc>
      </w:tr>
      <w:tr w14:paraId="4D40A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nil"/>
              <w:right w:val="nil"/>
            </w:tcBorders>
            <w:shd w:val="clear" w:color="auto" w:fill="FFFFFF"/>
            <w:noWrap w:val="0"/>
            <w:tcMar>
              <w:top w:w="86" w:type="dxa"/>
              <w:left w:w="137" w:type="dxa"/>
              <w:bottom w:w="86" w:type="dxa"/>
              <w:right w:w="137" w:type="dxa"/>
            </w:tcMar>
            <w:vAlign w:val="center"/>
          </w:tcPr>
          <w:p w14:paraId="14747D2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N7</w:t>
            </w:r>
          </w:p>
        </w:tc>
        <w:tc>
          <w:tcPr>
            <w:tcW w:w="2039" w:type="pct"/>
            <w:tcBorders>
              <w:top w:val="nil"/>
              <w:left w:val="nil"/>
              <w:bottom w:val="nil"/>
              <w:right w:val="nil"/>
            </w:tcBorders>
            <w:shd w:val="clear" w:color="auto" w:fill="FFFFFF"/>
            <w:noWrap w:val="0"/>
            <w:tcMar>
              <w:top w:w="86" w:type="dxa"/>
              <w:left w:w="137" w:type="dxa"/>
              <w:bottom w:w="86" w:type="dxa"/>
              <w:right w:w="137" w:type="dxa"/>
            </w:tcMar>
            <w:vAlign w:val="center"/>
          </w:tcPr>
          <w:p w14:paraId="2853C5E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Senior Nurse</w:t>
            </w:r>
          </w:p>
        </w:tc>
        <w:tc>
          <w:tcPr>
            <w:tcW w:w="1290" w:type="pct"/>
            <w:tcBorders>
              <w:top w:val="nil"/>
              <w:left w:val="nil"/>
              <w:bottom w:val="nil"/>
              <w:right w:val="nil"/>
            </w:tcBorders>
            <w:shd w:val="clear" w:color="auto" w:fill="FFFFFF"/>
            <w:noWrap w:val="0"/>
            <w:tcMar>
              <w:top w:w="86" w:type="dxa"/>
              <w:left w:w="137" w:type="dxa"/>
              <w:bottom w:w="86" w:type="dxa"/>
              <w:right w:w="-1" w:type="dxa"/>
            </w:tcMar>
            <w:vAlign w:val="center"/>
          </w:tcPr>
          <w:p w14:paraId="3E1E406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85.00</w:t>
            </w:r>
          </w:p>
        </w:tc>
      </w:tr>
      <w:tr w14:paraId="69CD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669" w:type="pct"/>
            <w:tcBorders>
              <w:top w:val="nil"/>
              <w:left w:val="nil"/>
              <w:bottom w:val="single" w:color="auto" w:sz="12" w:space="0"/>
              <w:right w:val="nil"/>
            </w:tcBorders>
            <w:shd w:val="clear" w:color="auto" w:fill="FFFFFF"/>
            <w:noWrap w:val="0"/>
            <w:tcMar>
              <w:top w:w="86" w:type="dxa"/>
              <w:left w:w="137" w:type="dxa"/>
              <w:bottom w:w="86" w:type="dxa"/>
              <w:right w:w="137" w:type="dxa"/>
            </w:tcMar>
            <w:vAlign w:val="center"/>
          </w:tcPr>
          <w:p w14:paraId="1841936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kern w:val="0"/>
                <w:sz w:val="20"/>
                <w:szCs w:val="20"/>
                <w:lang w:val="en-US" w:eastAsia="zh-CN" w:bidi="ar"/>
              </w:rPr>
            </w:pPr>
            <w:r>
              <w:rPr>
                <w:rFonts w:hint="eastAsia" w:ascii="Times New Roman" w:hAnsi="Times New Roman" w:eastAsia="Segoe UI" w:cs="Times New Roman"/>
                <w:i w:val="0"/>
                <w:iCs w:val="0"/>
                <w:caps w:val="0"/>
                <w:color w:val="0F1115"/>
                <w:spacing w:val="0"/>
                <w:kern w:val="0"/>
                <w:sz w:val="20"/>
                <w:szCs w:val="20"/>
                <w:lang w:val="en-US" w:eastAsia="zh-CN" w:bidi="ar"/>
              </w:rPr>
              <w:t>N19</w:t>
            </w:r>
          </w:p>
        </w:tc>
        <w:tc>
          <w:tcPr>
            <w:tcW w:w="2039" w:type="pct"/>
            <w:tcBorders>
              <w:top w:val="nil"/>
              <w:left w:val="nil"/>
              <w:bottom w:val="single" w:color="auto" w:sz="12" w:space="0"/>
              <w:right w:val="nil"/>
            </w:tcBorders>
            <w:shd w:val="clear" w:color="auto" w:fill="FFFFFF"/>
            <w:noWrap w:val="0"/>
            <w:tcMar>
              <w:top w:w="86" w:type="dxa"/>
              <w:left w:w="137" w:type="dxa"/>
              <w:bottom w:w="86" w:type="dxa"/>
              <w:right w:w="137" w:type="dxa"/>
            </w:tcMar>
            <w:vAlign w:val="center"/>
          </w:tcPr>
          <w:p w14:paraId="1B7FCC0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Senior Nurse</w:t>
            </w:r>
          </w:p>
        </w:tc>
        <w:tc>
          <w:tcPr>
            <w:tcW w:w="1290" w:type="pct"/>
            <w:tcBorders>
              <w:top w:val="nil"/>
              <w:left w:val="nil"/>
              <w:bottom w:val="single" w:color="auto" w:sz="12" w:space="0"/>
              <w:right w:val="nil"/>
            </w:tcBorders>
            <w:shd w:val="clear" w:color="auto" w:fill="FFFFFF"/>
            <w:noWrap w:val="0"/>
            <w:tcMar>
              <w:top w:w="86" w:type="dxa"/>
              <w:left w:w="137" w:type="dxa"/>
              <w:bottom w:w="86" w:type="dxa"/>
              <w:right w:w="-1" w:type="dxa"/>
            </w:tcMar>
            <w:vAlign w:val="center"/>
          </w:tcPr>
          <w:p w14:paraId="3C84C9B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90.00</w:t>
            </w:r>
          </w:p>
        </w:tc>
      </w:tr>
    </w:tbl>
    <w:p w14:paraId="19B99EE8">
      <w:pPr>
        <w:keepNext w:val="0"/>
        <w:keepLines w:val="0"/>
        <w:widowControl/>
        <w:suppressLineNumbers w:val="0"/>
        <w:jc w:val="center"/>
        <w:rPr>
          <w:rFonts w:hint="default" w:ascii="Times New Roman" w:hAnsi="Times New Roman" w:cs="Times New Roman"/>
          <w:sz w:val="20"/>
          <w:szCs w:val="20"/>
        </w:rPr>
      </w:pPr>
    </w:p>
    <w:p w14:paraId="4ED9CF97">
      <w:pPr>
        <w:jc w:val="center"/>
        <w:rPr>
          <w:rFonts w:hint="default" w:ascii="Times New Roman" w:hAnsi="Times New Roman" w:cs="Times New Roman"/>
          <w:sz w:val="20"/>
          <w:szCs w:val="20"/>
        </w:rPr>
      </w:pPr>
      <w:r>
        <w:rPr>
          <w:rFonts w:hint="default" w:ascii="Times New Roman" w:hAnsi="Times New Roman" w:cs="Times New Roman"/>
          <w:sz w:val="20"/>
          <w:szCs w:val="20"/>
        </w:rPr>
        <w:br w:type="page"/>
      </w:r>
    </w:p>
    <w:p w14:paraId="79263E3A">
      <w:pPr>
        <w:pStyle w:val="6"/>
        <w:keepNext w:val="0"/>
        <w:keepLines w:val="0"/>
        <w:widowControl/>
        <w:suppressLineNumbers w:val="0"/>
        <w:shd w:val="clear" w:fill="FFFFFF"/>
        <w:spacing w:before="137" w:beforeAutospacing="0" w:after="137" w:afterAutospacing="0"/>
        <w:ind w:left="0" w:right="0" w:firstLine="0"/>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b/>
          <w:bCs/>
          <w:i w:val="0"/>
          <w:iCs w:val="0"/>
          <w:caps w:val="0"/>
          <w:color w:val="0F1115"/>
          <w:spacing w:val="0"/>
          <w:sz w:val="20"/>
          <w:szCs w:val="20"/>
          <w:shd w:val="clear" w:fill="FFFFFF"/>
        </w:rPr>
        <w:t>Data Summary by Group:</w:t>
      </w:r>
    </w:p>
    <w:tbl>
      <w:tblPr>
        <w:tblStyle w:val="7"/>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158"/>
        <w:gridCol w:w="814"/>
        <w:gridCol w:w="1998"/>
        <w:gridCol w:w="1357"/>
        <w:gridCol w:w="1125"/>
        <w:gridCol w:w="1003"/>
      </w:tblGrid>
      <w:tr w14:paraId="4D051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1276" w:type="pct"/>
            <w:tcBorders>
              <w:top w:val="single" w:color="auto" w:sz="12" w:space="0"/>
              <w:left w:val="nil"/>
              <w:bottom w:val="nil"/>
              <w:right w:val="nil"/>
            </w:tcBorders>
            <w:shd w:val="clear" w:color="auto" w:fill="auto"/>
            <w:noWrap w:val="0"/>
            <w:tcMar>
              <w:top w:w="86" w:type="dxa"/>
              <w:left w:w="-1" w:type="dxa"/>
              <w:bottom w:w="86" w:type="dxa"/>
              <w:right w:w="137" w:type="dxa"/>
            </w:tcMar>
            <w:vAlign w:val="center"/>
          </w:tcPr>
          <w:p w14:paraId="587C31F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sz w:val="20"/>
                <w:szCs w:val="20"/>
              </w:rPr>
            </w:pPr>
            <w:r>
              <w:rPr>
                <w:rFonts w:hint="default" w:ascii="Times New Roman" w:hAnsi="Times New Roman" w:eastAsia="Segoe UI" w:cs="Times New Roman"/>
                <w:b/>
                <w:kern w:val="0"/>
                <w:sz w:val="20"/>
                <w:szCs w:val="20"/>
                <w:lang w:val="en-US" w:eastAsia="zh-CN" w:bidi="ar"/>
              </w:rPr>
              <w:t>Experience Group</w:t>
            </w:r>
          </w:p>
        </w:tc>
        <w:tc>
          <w:tcPr>
            <w:tcW w:w="481" w:type="pct"/>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42CC0EF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sz w:val="20"/>
                <w:szCs w:val="20"/>
              </w:rPr>
            </w:pPr>
            <w:r>
              <w:rPr>
                <w:rFonts w:hint="default" w:ascii="Times New Roman" w:hAnsi="Times New Roman" w:eastAsia="Segoe UI" w:cs="Times New Roman"/>
                <w:b/>
                <w:kern w:val="0"/>
                <w:sz w:val="20"/>
                <w:szCs w:val="20"/>
                <w:lang w:val="en-US" w:eastAsia="zh-CN" w:bidi="ar"/>
              </w:rPr>
              <w:t>n</w:t>
            </w:r>
          </w:p>
        </w:tc>
        <w:tc>
          <w:tcPr>
            <w:tcW w:w="1181" w:type="pct"/>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0280A3D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sz w:val="20"/>
                <w:szCs w:val="20"/>
              </w:rPr>
            </w:pPr>
            <w:r>
              <w:rPr>
                <w:rFonts w:hint="default" w:ascii="Times New Roman" w:hAnsi="Times New Roman" w:eastAsia="Segoe UI" w:cs="Times New Roman"/>
                <w:b/>
                <w:kern w:val="0"/>
                <w:sz w:val="20"/>
                <w:szCs w:val="20"/>
                <w:lang w:val="en-US" w:eastAsia="zh-CN" w:bidi="ar"/>
              </w:rPr>
              <w:t>Mean ± SD</w:t>
            </w:r>
          </w:p>
        </w:tc>
        <w:tc>
          <w:tcPr>
            <w:tcW w:w="802" w:type="pct"/>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6BE3C99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sz w:val="20"/>
                <w:szCs w:val="20"/>
              </w:rPr>
            </w:pPr>
            <w:r>
              <w:rPr>
                <w:rFonts w:hint="default" w:ascii="Times New Roman" w:hAnsi="Times New Roman" w:eastAsia="Segoe UI" w:cs="Times New Roman"/>
                <w:b/>
                <w:kern w:val="0"/>
                <w:sz w:val="20"/>
                <w:szCs w:val="20"/>
                <w:lang w:val="en-US" w:eastAsia="zh-CN" w:bidi="ar"/>
              </w:rPr>
              <w:t>Median</w:t>
            </w:r>
          </w:p>
        </w:tc>
        <w:tc>
          <w:tcPr>
            <w:tcW w:w="665" w:type="pct"/>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3E4D101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sz w:val="20"/>
                <w:szCs w:val="20"/>
              </w:rPr>
            </w:pPr>
            <w:r>
              <w:rPr>
                <w:rFonts w:hint="default" w:ascii="Times New Roman" w:hAnsi="Times New Roman" w:eastAsia="Segoe UI" w:cs="Times New Roman"/>
                <w:b/>
                <w:kern w:val="0"/>
                <w:sz w:val="20"/>
                <w:szCs w:val="20"/>
                <w:lang w:val="en-US" w:eastAsia="zh-CN" w:bidi="ar"/>
              </w:rPr>
              <w:t>Min</w:t>
            </w:r>
          </w:p>
        </w:tc>
        <w:tc>
          <w:tcPr>
            <w:tcW w:w="593" w:type="pct"/>
            <w:tcBorders>
              <w:top w:val="single" w:color="auto" w:sz="12" w:space="0"/>
              <w:left w:val="nil"/>
              <w:bottom w:val="nil"/>
              <w:right w:val="nil"/>
            </w:tcBorders>
            <w:shd w:val="clear" w:color="auto" w:fill="auto"/>
            <w:noWrap w:val="0"/>
            <w:tcMar>
              <w:top w:w="86" w:type="dxa"/>
              <w:left w:w="137" w:type="dxa"/>
              <w:bottom w:w="86" w:type="dxa"/>
              <w:right w:w="137" w:type="dxa"/>
            </w:tcMar>
            <w:vAlign w:val="center"/>
          </w:tcPr>
          <w:p w14:paraId="549F947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sz w:val="20"/>
                <w:szCs w:val="20"/>
              </w:rPr>
            </w:pPr>
            <w:r>
              <w:rPr>
                <w:rFonts w:hint="default" w:ascii="Times New Roman" w:hAnsi="Times New Roman" w:eastAsia="Segoe UI" w:cs="Times New Roman"/>
                <w:b/>
                <w:kern w:val="0"/>
                <w:sz w:val="20"/>
                <w:szCs w:val="20"/>
                <w:lang w:val="en-US" w:eastAsia="zh-CN" w:bidi="ar"/>
              </w:rPr>
              <w:t>Max</w:t>
            </w:r>
          </w:p>
        </w:tc>
      </w:tr>
      <w:tr w14:paraId="2378E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276" w:type="pct"/>
            <w:tcBorders>
              <w:top w:val="single" w:color="auto" w:sz="4" w:space="0"/>
              <w:left w:val="nil"/>
              <w:bottom w:val="nil"/>
              <w:right w:val="nil"/>
            </w:tcBorders>
            <w:shd w:val="clear" w:color="auto" w:fill="auto"/>
            <w:noWrap w:val="0"/>
            <w:tcMar>
              <w:top w:w="86" w:type="dxa"/>
              <w:left w:w="-1" w:type="dxa"/>
              <w:bottom w:w="86" w:type="dxa"/>
              <w:right w:w="137" w:type="dxa"/>
            </w:tcMar>
            <w:vAlign w:val="center"/>
          </w:tcPr>
          <w:p w14:paraId="772C038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Nursing Intern</w:t>
            </w:r>
          </w:p>
        </w:tc>
        <w:tc>
          <w:tcPr>
            <w:tcW w:w="481" w:type="pct"/>
            <w:tcBorders>
              <w:top w:val="single" w:color="auto" w:sz="4" w:space="0"/>
              <w:left w:val="nil"/>
              <w:bottom w:val="nil"/>
              <w:right w:val="nil"/>
            </w:tcBorders>
            <w:shd w:val="clear" w:color="auto" w:fill="auto"/>
            <w:noWrap w:val="0"/>
            <w:tcMar>
              <w:top w:w="86" w:type="dxa"/>
              <w:left w:w="137" w:type="dxa"/>
              <w:bottom w:w="86" w:type="dxa"/>
              <w:right w:w="137" w:type="dxa"/>
            </w:tcMar>
            <w:vAlign w:val="center"/>
          </w:tcPr>
          <w:p w14:paraId="7D33F4D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9</w:t>
            </w:r>
          </w:p>
        </w:tc>
        <w:tc>
          <w:tcPr>
            <w:tcW w:w="1181" w:type="pct"/>
            <w:tcBorders>
              <w:top w:val="single" w:color="auto" w:sz="4" w:space="0"/>
              <w:left w:val="nil"/>
              <w:bottom w:val="nil"/>
              <w:right w:val="nil"/>
            </w:tcBorders>
            <w:shd w:val="clear" w:color="auto" w:fill="auto"/>
            <w:noWrap w:val="0"/>
            <w:tcMar>
              <w:top w:w="86" w:type="dxa"/>
              <w:left w:w="137" w:type="dxa"/>
              <w:bottom w:w="86" w:type="dxa"/>
              <w:right w:w="137" w:type="dxa"/>
            </w:tcMar>
            <w:vAlign w:val="center"/>
          </w:tcPr>
          <w:p w14:paraId="71C0457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79.72 ± 10.42</w:t>
            </w:r>
          </w:p>
        </w:tc>
        <w:tc>
          <w:tcPr>
            <w:tcW w:w="802" w:type="pct"/>
            <w:tcBorders>
              <w:top w:val="single" w:color="auto" w:sz="4" w:space="0"/>
              <w:left w:val="nil"/>
              <w:bottom w:val="nil"/>
              <w:right w:val="nil"/>
            </w:tcBorders>
            <w:shd w:val="clear" w:color="auto" w:fill="auto"/>
            <w:noWrap w:val="0"/>
            <w:tcMar>
              <w:top w:w="86" w:type="dxa"/>
              <w:left w:w="137" w:type="dxa"/>
              <w:bottom w:w="86" w:type="dxa"/>
              <w:right w:w="137" w:type="dxa"/>
            </w:tcMar>
            <w:vAlign w:val="center"/>
          </w:tcPr>
          <w:p w14:paraId="13A7336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75.00</w:t>
            </w:r>
          </w:p>
        </w:tc>
        <w:tc>
          <w:tcPr>
            <w:tcW w:w="665" w:type="pct"/>
            <w:tcBorders>
              <w:top w:val="single" w:color="auto" w:sz="4" w:space="0"/>
              <w:left w:val="nil"/>
              <w:bottom w:val="nil"/>
              <w:right w:val="nil"/>
            </w:tcBorders>
            <w:shd w:val="clear" w:color="auto" w:fill="auto"/>
            <w:noWrap w:val="0"/>
            <w:tcMar>
              <w:top w:w="86" w:type="dxa"/>
              <w:left w:w="137" w:type="dxa"/>
              <w:bottom w:w="86" w:type="dxa"/>
              <w:right w:w="137" w:type="dxa"/>
            </w:tcMar>
            <w:vAlign w:val="center"/>
          </w:tcPr>
          <w:p w14:paraId="00F1C42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70.00</w:t>
            </w:r>
          </w:p>
        </w:tc>
        <w:tc>
          <w:tcPr>
            <w:tcW w:w="593" w:type="pct"/>
            <w:tcBorders>
              <w:top w:val="single" w:color="auto" w:sz="4" w:space="0"/>
              <w:left w:val="nil"/>
              <w:bottom w:val="nil"/>
              <w:right w:val="nil"/>
            </w:tcBorders>
            <w:shd w:val="clear" w:color="auto" w:fill="auto"/>
            <w:noWrap w:val="0"/>
            <w:tcMar>
              <w:top w:w="86" w:type="dxa"/>
              <w:left w:w="137" w:type="dxa"/>
              <w:bottom w:w="86" w:type="dxa"/>
              <w:right w:w="-1" w:type="dxa"/>
            </w:tcMar>
            <w:vAlign w:val="center"/>
          </w:tcPr>
          <w:p w14:paraId="4D35D5C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100.00</w:t>
            </w:r>
          </w:p>
        </w:tc>
      </w:tr>
      <w:tr w14:paraId="38890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276" w:type="pct"/>
            <w:tcBorders>
              <w:top w:val="nil"/>
              <w:left w:val="nil"/>
              <w:bottom w:val="nil"/>
              <w:right w:val="nil"/>
            </w:tcBorders>
            <w:shd w:val="clear" w:color="auto" w:fill="auto"/>
            <w:noWrap w:val="0"/>
            <w:tcMar>
              <w:top w:w="86" w:type="dxa"/>
              <w:left w:w="-1" w:type="dxa"/>
              <w:bottom w:w="86" w:type="dxa"/>
              <w:right w:w="137" w:type="dxa"/>
            </w:tcMar>
            <w:vAlign w:val="center"/>
          </w:tcPr>
          <w:p w14:paraId="29779C5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Junior Nurse</w:t>
            </w:r>
          </w:p>
        </w:tc>
        <w:tc>
          <w:tcPr>
            <w:tcW w:w="481" w:type="pct"/>
            <w:tcBorders>
              <w:top w:val="nil"/>
              <w:left w:val="nil"/>
              <w:bottom w:val="nil"/>
              <w:right w:val="nil"/>
            </w:tcBorders>
            <w:shd w:val="clear" w:color="auto" w:fill="auto"/>
            <w:noWrap w:val="0"/>
            <w:tcMar>
              <w:top w:w="86" w:type="dxa"/>
              <w:left w:w="137" w:type="dxa"/>
              <w:bottom w:w="86" w:type="dxa"/>
              <w:right w:w="137" w:type="dxa"/>
            </w:tcMar>
            <w:vAlign w:val="center"/>
          </w:tcPr>
          <w:p w14:paraId="2F80A74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7</w:t>
            </w:r>
          </w:p>
        </w:tc>
        <w:tc>
          <w:tcPr>
            <w:tcW w:w="1181" w:type="pct"/>
            <w:tcBorders>
              <w:top w:val="nil"/>
              <w:left w:val="nil"/>
              <w:bottom w:val="nil"/>
              <w:right w:val="nil"/>
            </w:tcBorders>
            <w:shd w:val="clear" w:color="auto" w:fill="auto"/>
            <w:noWrap w:val="0"/>
            <w:tcMar>
              <w:top w:w="86" w:type="dxa"/>
              <w:left w:w="137" w:type="dxa"/>
              <w:bottom w:w="86" w:type="dxa"/>
              <w:right w:w="137" w:type="dxa"/>
            </w:tcMar>
            <w:vAlign w:val="center"/>
          </w:tcPr>
          <w:p w14:paraId="43C5801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92.07 ± 9.16</w:t>
            </w:r>
          </w:p>
        </w:tc>
        <w:tc>
          <w:tcPr>
            <w:tcW w:w="802" w:type="pct"/>
            <w:tcBorders>
              <w:top w:val="nil"/>
              <w:left w:val="nil"/>
              <w:bottom w:val="nil"/>
              <w:right w:val="nil"/>
            </w:tcBorders>
            <w:shd w:val="clear" w:color="auto" w:fill="auto"/>
            <w:noWrap w:val="0"/>
            <w:tcMar>
              <w:top w:w="86" w:type="dxa"/>
              <w:left w:w="137" w:type="dxa"/>
              <w:bottom w:w="86" w:type="dxa"/>
              <w:right w:w="137" w:type="dxa"/>
            </w:tcMar>
            <w:vAlign w:val="center"/>
          </w:tcPr>
          <w:p w14:paraId="6A58863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92.50</w:t>
            </w:r>
          </w:p>
        </w:tc>
        <w:tc>
          <w:tcPr>
            <w:tcW w:w="665" w:type="pct"/>
            <w:tcBorders>
              <w:top w:val="nil"/>
              <w:left w:val="nil"/>
              <w:bottom w:val="nil"/>
              <w:right w:val="nil"/>
            </w:tcBorders>
            <w:shd w:val="clear" w:color="auto" w:fill="auto"/>
            <w:noWrap w:val="0"/>
            <w:tcMar>
              <w:top w:w="86" w:type="dxa"/>
              <w:left w:w="137" w:type="dxa"/>
              <w:bottom w:w="86" w:type="dxa"/>
              <w:right w:w="137" w:type="dxa"/>
            </w:tcMar>
            <w:vAlign w:val="center"/>
          </w:tcPr>
          <w:p w14:paraId="783DB25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75.00</w:t>
            </w:r>
          </w:p>
        </w:tc>
        <w:tc>
          <w:tcPr>
            <w:tcW w:w="593" w:type="pct"/>
            <w:tcBorders>
              <w:top w:val="nil"/>
              <w:left w:val="nil"/>
              <w:bottom w:val="nil"/>
              <w:right w:val="nil"/>
            </w:tcBorders>
            <w:shd w:val="clear" w:color="auto" w:fill="auto"/>
            <w:noWrap w:val="0"/>
            <w:tcMar>
              <w:top w:w="86" w:type="dxa"/>
              <w:left w:w="137" w:type="dxa"/>
              <w:bottom w:w="86" w:type="dxa"/>
              <w:right w:w="-1" w:type="dxa"/>
            </w:tcMar>
            <w:vAlign w:val="center"/>
          </w:tcPr>
          <w:p w14:paraId="6B42559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100.00</w:t>
            </w:r>
          </w:p>
        </w:tc>
      </w:tr>
      <w:tr w14:paraId="6E880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276" w:type="pct"/>
            <w:tcBorders>
              <w:top w:val="nil"/>
              <w:left w:val="nil"/>
              <w:bottom w:val="single" w:color="auto" w:sz="12" w:space="0"/>
              <w:right w:val="nil"/>
            </w:tcBorders>
            <w:shd w:val="clear" w:color="auto" w:fill="auto"/>
            <w:noWrap w:val="0"/>
            <w:tcMar>
              <w:top w:w="86" w:type="dxa"/>
              <w:left w:w="-1" w:type="dxa"/>
              <w:bottom w:w="86" w:type="dxa"/>
              <w:right w:w="137" w:type="dxa"/>
            </w:tcMar>
            <w:vAlign w:val="center"/>
          </w:tcPr>
          <w:p w14:paraId="0DBC1C3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Senior Nurse</w:t>
            </w:r>
          </w:p>
        </w:tc>
        <w:tc>
          <w:tcPr>
            <w:tcW w:w="481" w:type="pct"/>
            <w:tcBorders>
              <w:top w:val="nil"/>
              <w:left w:val="nil"/>
              <w:bottom w:val="single" w:color="auto" w:sz="12" w:space="0"/>
              <w:right w:val="nil"/>
            </w:tcBorders>
            <w:shd w:val="clear" w:color="auto" w:fill="auto"/>
            <w:noWrap w:val="0"/>
            <w:tcMar>
              <w:top w:w="86" w:type="dxa"/>
              <w:left w:w="137" w:type="dxa"/>
              <w:bottom w:w="86" w:type="dxa"/>
              <w:right w:w="137" w:type="dxa"/>
            </w:tcMar>
            <w:vAlign w:val="center"/>
          </w:tcPr>
          <w:p w14:paraId="131DC89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10</w:t>
            </w:r>
          </w:p>
        </w:tc>
        <w:tc>
          <w:tcPr>
            <w:tcW w:w="1181" w:type="pct"/>
            <w:tcBorders>
              <w:top w:val="nil"/>
              <w:left w:val="nil"/>
              <w:bottom w:val="single" w:color="auto" w:sz="12" w:space="0"/>
              <w:right w:val="nil"/>
            </w:tcBorders>
            <w:shd w:val="clear" w:color="auto" w:fill="auto"/>
            <w:noWrap w:val="0"/>
            <w:tcMar>
              <w:top w:w="86" w:type="dxa"/>
              <w:left w:w="137" w:type="dxa"/>
              <w:bottom w:w="86" w:type="dxa"/>
              <w:right w:w="137" w:type="dxa"/>
            </w:tcMar>
            <w:vAlign w:val="center"/>
          </w:tcPr>
          <w:p w14:paraId="408C3FB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86.75 ± 8.47</w:t>
            </w:r>
          </w:p>
        </w:tc>
        <w:tc>
          <w:tcPr>
            <w:tcW w:w="802" w:type="pct"/>
            <w:tcBorders>
              <w:top w:val="nil"/>
              <w:left w:val="nil"/>
              <w:bottom w:val="single" w:color="auto" w:sz="12" w:space="0"/>
              <w:right w:val="nil"/>
            </w:tcBorders>
            <w:shd w:val="clear" w:color="auto" w:fill="auto"/>
            <w:noWrap w:val="0"/>
            <w:tcMar>
              <w:top w:w="86" w:type="dxa"/>
              <w:left w:w="137" w:type="dxa"/>
              <w:bottom w:w="86" w:type="dxa"/>
              <w:right w:w="137" w:type="dxa"/>
            </w:tcMar>
            <w:vAlign w:val="center"/>
          </w:tcPr>
          <w:p w14:paraId="64AA57B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87.50</w:t>
            </w:r>
          </w:p>
        </w:tc>
        <w:tc>
          <w:tcPr>
            <w:tcW w:w="665" w:type="pct"/>
            <w:tcBorders>
              <w:top w:val="nil"/>
              <w:left w:val="nil"/>
              <w:bottom w:val="single" w:color="auto" w:sz="12" w:space="0"/>
              <w:right w:val="nil"/>
            </w:tcBorders>
            <w:shd w:val="clear" w:color="auto" w:fill="auto"/>
            <w:noWrap w:val="0"/>
            <w:tcMar>
              <w:top w:w="86" w:type="dxa"/>
              <w:left w:w="137" w:type="dxa"/>
              <w:bottom w:w="86" w:type="dxa"/>
              <w:right w:w="137" w:type="dxa"/>
            </w:tcMar>
            <w:vAlign w:val="center"/>
          </w:tcPr>
          <w:p w14:paraId="2FE26A2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75.00</w:t>
            </w:r>
          </w:p>
        </w:tc>
        <w:tc>
          <w:tcPr>
            <w:tcW w:w="593" w:type="pct"/>
            <w:tcBorders>
              <w:top w:val="nil"/>
              <w:left w:val="nil"/>
              <w:bottom w:val="single" w:color="auto" w:sz="12" w:space="0"/>
              <w:right w:val="nil"/>
            </w:tcBorders>
            <w:shd w:val="clear" w:color="auto" w:fill="auto"/>
            <w:noWrap w:val="0"/>
            <w:tcMar>
              <w:top w:w="86" w:type="dxa"/>
              <w:left w:w="137" w:type="dxa"/>
              <w:bottom w:w="86" w:type="dxa"/>
              <w:right w:w="-1" w:type="dxa"/>
            </w:tcMar>
            <w:vAlign w:val="center"/>
          </w:tcPr>
          <w:p w14:paraId="3A9313C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sz w:val="20"/>
                <w:szCs w:val="20"/>
              </w:rPr>
            </w:pPr>
            <w:r>
              <w:rPr>
                <w:rFonts w:hint="default" w:ascii="Times New Roman" w:hAnsi="Times New Roman" w:eastAsia="Segoe UI" w:cs="Times New Roman"/>
                <w:kern w:val="0"/>
                <w:sz w:val="20"/>
                <w:szCs w:val="20"/>
                <w:lang w:val="en-US" w:eastAsia="zh-CN" w:bidi="ar"/>
              </w:rPr>
              <w:t>100.00</w:t>
            </w:r>
          </w:p>
        </w:tc>
      </w:tr>
    </w:tbl>
    <w:p w14:paraId="575948E0">
      <w:pPr>
        <w:rPr>
          <w:rFonts w:hint="default" w:ascii="Times New Roman" w:hAnsi="Times New Roman" w:cs="Times New Roman"/>
          <w:sz w:val="20"/>
          <w:szCs w:val="20"/>
        </w:rPr>
      </w:pPr>
    </w:p>
    <w:p w14:paraId="236BE9E8">
      <w:pPr>
        <w:rPr>
          <w:rFonts w:hint="default" w:ascii="Times New Roman" w:hAnsi="Times New Roman" w:eastAsia="宋体" w:cs="Times New Roman"/>
          <w:sz w:val="24"/>
          <w:szCs w:val="24"/>
        </w:rPr>
      </w:pPr>
    </w:p>
    <w:p w14:paraId="5D48AC22">
      <w:pPr>
        <w:rPr>
          <w:rFonts w:hint="default" w:ascii="Times New Roman" w:hAnsi="Times New Roman" w:cs="Times New Roman"/>
          <w:b/>
          <w:bCs/>
          <w:sz w:val="28"/>
          <w:szCs w:val="36"/>
        </w:rPr>
      </w:pPr>
      <w:r>
        <w:rPr>
          <w:rFonts w:hint="default" w:ascii="Times New Roman" w:hAnsi="Times New Roman" w:cs="Times New Roman"/>
          <w:b/>
          <w:bCs/>
          <w:sz w:val="28"/>
          <w:szCs w:val="36"/>
        </w:rPr>
        <w:br w:type="page"/>
      </w:r>
    </w:p>
    <w:p w14:paraId="7401606E">
      <w:pPr>
        <w:jc w:val="center"/>
        <w:rPr>
          <w:rFonts w:hint="default" w:ascii="Times New Roman" w:hAnsi="Times New Roman" w:eastAsia="宋体" w:cs="Times New Roman"/>
          <w:b/>
          <w:bCs/>
          <w:i w:val="0"/>
          <w:iCs w:val="0"/>
          <w:caps w:val="0"/>
          <w:color w:val="0F1115"/>
          <w:spacing w:val="0"/>
          <w:sz w:val="28"/>
          <w:szCs w:val="28"/>
          <w:shd w:val="clear" w:fill="FFFFFF"/>
        </w:rPr>
      </w:pPr>
      <w:r>
        <w:rPr>
          <w:rFonts w:hint="default" w:ascii="Times New Roman" w:hAnsi="Times New Roman" w:eastAsia="宋体" w:cs="Times New Roman"/>
          <w:b/>
          <w:bCs/>
          <w:i w:val="0"/>
          <w:iCs w:val="0"/>
          <w:caps w:val="0"/>
          <w:color w:val="0F1115"/>
          <w:spacing w:val="0"/>
          <w:sz w:val="28"/>
          <w:szCs w:val="28"/>
          <w:shd w:val="clear" w:fill="FFFFFF"/>
        </w:rPr>
        <w:t>Supplementary S</w:t>
      </w:r>
      <w:r>
        <w:rPr>
          <w:rFonts w:hint="eastAsia" w:ascii="Times New Roman" w:hAnsi="Times New Roman" w:eastAsia="宋体" w:cs="Times New Roman"/>
          <w:b/>
          <w:bCs/>
          <w:i w:val="0"/>
          <w:iCs w:val="0"/>
          <w:caps w:val="0"/>
          <w:color w:val="0F1115"/>
          <w:spacing w:val="0"/>
          <w:sz w:val="28"/>
          <w:szCs w:val="28"/>
          <w:shd w:val="clear" w:fill="FFFFFF"/>
          <w:lang w:val="en-US" w:eastAsia="zh-CN"/>
        </w:rPr>
        <w:t>7</w:t>
      </w:r>
      <w:bookmarkStart w:id="0" w:name="_GoBack"/>
      <w:bookmarkEnd w:id="0"/>
      <w:r>
        <w:rPr>
          <w:rFonts w:hint="default" w:ascii="Times New Roman" w:hAnsi="Times New Roman" w:eastAsia="宋体" w:cs="Times New Roman"/>
          <w:b/>
          <w:bCs/>
          <w:i w:val="0"/>
          <w:iCs w:val="0"/>
          <w:caps w:val="0"/>
          <w:color w:val="0F1115"/>
          <w:spacing w:val="0"/>
          <w:sz w:val="28"/>
          <w:szCs w:val="28"/>
          <w:shd w:val="clear" w:fill="FFFFFF"/>
        </w:rPr>
        <w:t>. Experience-stratified design directions derived from qualitative findings (conceptual, not validated)</w:t>
      </w:r>
    </w:p>
    <w:p w14:paraId="78D75C0F">
      <w:pPr>
        <w:jc w:val="center"/>
        <w:rPr>
          <w:rFonts w:hint="default" w:ascii="Times New Roman" w:hAnsi="Times New Roman" w:eastAsia="宋体" w:cs="Times New Roman"/>
          <w:b/>
          <w:bCs/>
          <w:i w:val="0"/>
          <w:iCs w:val="0"/>
          <w:caps w:val="0"/>
          <w:color w:val="0F1115"/>
          <w:spacing w:val="0"/>
          <w:sz w:val="24"/>
          <w:szCs w:val="24"/>
          <w:shd w:val="clear" w:fill="FFFFFF"/>
        </w:rPr>
      </w:pP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839"/>
        <w:gridCol w:w="2828"/>
        <w:gridCol w:w="3894"/>
      </w:tblGrid>
      <w:tr w14:paraId="2C172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1074" w:type="pct"/>
            <w:tcBorders>
              <w:top w:val="single" w:color="auto" w:sz="12" w:space="0"/>
              <w:left w:val="nil"/>
              <w:bottom w:val="nil"/>
              <w:right w:val="nil"/>
            </w:tcBorders>
            <w:shd w:val="clear" w:color="auto" w:fill="auto"/>
            <w:noWrap w:val="0"/>
            <w:tcMar>
              <w:top w:w="150" w:type="dxa"/>
              <w:left w:w="-1" w:type="dxa"/>
              <w:bottom w:w="150" w:type="dxa"/>
              <w:right w:w="240" w:type="dxa"/>
            </w:tcMar>
            <w:vAlign w:val="center"/>
          </w:tcPr>
          <w:p w14:paraId="2858997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sz w:val="24"/>
                <w:szCs w:val="24"/>
              </w:rPr>
            </w:pPr>
            <w:r>
              <w:rPr>
                <w:rFonts w:hint="default" w:ascii="Times New Roman" w:hAnsi="Times New Roman" w:eastAsia="宋体" w:cs="Times New Roman"/>
                <w:b/>
                <w:kern w:val="0"/>
                <w:sz w:val="24"/>
                <w:szCs w:val="24"/>
                <w:lang w:val="en-US" w:eastAsia="zh-CN" w:bidi="ar"/>
              </w:rPr>
              <w:t>Experience Level</w:t>
            </w:r>
          </w:p>
        </w:tc>
        <w:tc>
          <w:tcPr>
            <w:tcW w:w="1651" w:type="pct"/>
            <w:tcBorders>
              <w:top w:val="single" w:color="auto" w:sz="12" w:space="0"/>
              <w:left w:val="nil"/>
              <w:bottom w:val="nil"/>
              <w:right w:val="nil"/>
            </w:tcBorders>
            <w:shd w:val="clear" w:color="auto" w:fill="auto"/>
            <w:noWrap w:val="0"/>
            <w:tcMar>
              <w:top w:w="150" w:type="dxa"/>
              <w:left w:w="240" w:type="dxa"/>
              <w:bottom w:w="150" w:type="dxa"/>
              <w:right w:w="240" w:type="dxa"/>
            </w:tcMar>
            <w:vAlign w:val="center"/>
          </w:tcPr>
          <w:p w14:paraId="5D8D20E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sz w:val="24"/>
                <w:szCs w:val="24"/>
              </w:rPr>
            </w:pPr>
            <w:r>
              <w:rPr>
                <w:rFonts w:hint="default" w:ascii="Times New Roman" w:hAnsi="Times New Roman" w:eastAsia="宋体" w:cs="Times New Roman"/>
                <w:b/>
                <w:kern w:val="0"/>
                <w:sz w:val="24"/>
                <w:szCs w:val="24"/>
                <w:lang w:val="en-US" w:eastAsia="zh-CN" w:bidi="ar"/>
              </w:rPr>
              <w:t>Core Need Identified from Interviews</w:t>
            </w:r>
          </w:p>
        </w:tc>
        <w:tc>
          <w:tcPr>
            <w:tcW w:w="2274" w:type="pct"/>
            <w:tcBorders>
              <w:top w:val="single" w:color="auto" w:sz="12" w:space="0"/>
              <w:left w:val="nil"/>
              <w:bottom w:val="nil"/>
              <w:right w:val="nil"/>
            </w:tcBorders>
            <w:shd w:val="clear" w:color="auto" w:fill="auto"/>
            <w:noWrap w:val="0"/>
            <w:tcMar>
              <w:top w:w="150" w:type="dxa"/>
              <w:left w:w="240" w:type="dxa"/>
              <w:bottom w:w="150" w:type="dxa"/>
              <w:right w:w="240" w:type="dxa"/>
            </w:tcMar>
            <w:vAlign w:val="center"/>
          </w:tcPr>
          <w:p w14:paraId="04308BC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sz w:val="24"/>
                <w:szCs w:val="24"/>
              </w:rPr>
            </w:pPr>
            <w:r>
              <w:rPr>
                <w:rFonts w:hint="default" w:ascii="Times New Roman" w:hAnsi="Times New Roman" w:eastAsia="宋体" w:cs="Times New Roman"/>
                <w:b/>
                <w:kern w:val="0"/>
                <w:sz w:val="24"/>
                <w:szCs w:val="24"/>
                <w:lang w:val="en-US" w:eastAsia="zh-CN" w:bidi="ar"/>
              </w:rPr>
              <w:t>Conceptual Design Direction</w:t>
            </w:r>
          </w:p>
        </w:tc>
      </w:tr>
      <w:tr w14:paraId="75F05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74" w:type="pct"/>
            <w:tcBorders>
              <w:top w:val="single" w:color="auto" w:sz="4" w:space="0"/>
              <w:left w:val="nil"/>
              <w:bottom w:val="nil"/>
              <w:right w:val="nil"/>
            </w:tcBorders>
            <w:shd w:val="clear" w:color="auto" w:fill="auto"/>
            <w:noWrap w:val="0"/>
            <w:tcMar>
              <w:top w:w="150" w:type="dxa"/>
              <w:left w:w="-1" w:type="dxa"/>
              <w:bottom w:w="150" w:type="dxa"/>
              <w:right w:w="240" w:type="dxa"/>
            </w:tcMar>
            <w:vAlign w:val="center"/>
          </w:tcPr>
          <w:p w14:paraId="06775A4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val="en-US" w:eastAsia="zh-CN" w:bidi="ar"/>
              </w:rPr>
              <w:t>Nursing Interns (&lt;6 months)</w:t>
            </w:r>
          </w:p>
        </w:tc>
        <w:tc>
          <w:tcPr>
            <w:tcW w:w="1651" w:type="pct"/>
            <w:tcBorders>
              <w:top w:val="single" w:color="auto" w:sz="4" w:space="0"/>
              <w:left w:val="nil"/>
              <w:bottom w:val="nil"/>
              <w:right w:val="nil"/>
            </w:tcBorders>
            <w:shd w:val="clear" w:color="auto" w:fill="auto"/>
            <w:noWrap w:val="0"/>
            <w:tcMar>
              <w:top w:w="150" w:type="dxa"/>
              <w:left w:w="240" w:type="dxa"/>
              <w:bottom w:w="150" w:type="dxa"/>
              <w:right w:w="240" w:type="dxa"/>
            </w:tcMar>
            <w:vAlign w:val="center"/>
          </w:tcPr>
          <w:p w14:paraId="1EB01AC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val="en-US" w:eastAsia="zh-CN" w:bidi="ar"/>
              </w:rPr>
              <w:t>Need structured guidance before independent use</w:t>
            </w:r>
          </w:p>
        </w:tc>
        <w:tc>
          <w:tcPr>
            <w:tcW w:w="2274" w:type="pct"/>
            <w:tcBorders>
              <w:top w:val="single" w:color="auto" w:sz="4" w:space="0"/>
              <w:left w:val="nil"/>
              <w:bottom w:val="nil"/>
              <w:right w:val="nil"/>
            </w:tcBorders>
            <w:shd w:val="clear" w:color="auto" w:fill="auto"/>
            <w:noWrap w:val="0"/>
            <w:tcMar>
              <w:top w:w="150" w:type="dxa"/>
              <w:left w:w="240" w:type="dxa"/>
              <w:bottom w:w="150" w:type="dxa"/>
              <w:right w:w="-1" w:type="dxa"/>
            </w:tcMar>
            <w:vAlign w:val="center"/>
          </w:tcPr>
          <w:p w14:paraId="67D0672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val="en-US" w:eastAsia="zh-CN" w:bidi="ar"/>
              </w:rPr>
              <w:t>Provide step-by-step checklists and supervised practice before solo use</w:t>
            </w:r>
          </w:p>
        </w:tc>
      </w:tr>
      <w:tr w14:paraId="24713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074" w:type="pct"/>
            <w:tcBorders>
              <w:top w:val="nil"/>
              <w:left w:val="nil"/>
              <w:bottom w:val="nil"/>
              <w:right w:val="nil"/>
            </w:tcBorders>
            <w:shd w:val="clear" w:color="auto" w:fill="auto"/>
            <w:noWrap w:val="0"/>
            <w:tcMar>
              <w:top w:w="150" w:type="dxa"/>
              <w:left w:w="-1" w:type="dxa"/>
              <w:bottom w:w="150" w:type="dxa"/>
              <w:right w:w="240" w:type="dxa"/>
            </w:tcMar>
            <w:vAlign w:val="center"/>
          </w:tcPr>
          <w:p w14:paraId="6F3655C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val="en-US" w:eastAsia="zh-CN" w:bidi="ar"/>
              </w:rPr>
              <w:t>Junior Nurses (1–7 years)</w:t>
            </w:r>
          </w:p>
        </w:tc>
        <w:tc>
          <w:tcPr>
            <w:tcW w:w="1651" w:type="pct"/>
            <w:tcBorders>
              <w:top w:val="nil"/>
              <w:left w:val="nil"/>
              <w:bottom w:val="nil"/>
              <w:right w:val="nil"/>
            </w:tcBorders>
            <w:shd w:val="clear" w:color="auto" w:fill="auto"/>
            <w:noWrap w:val="0"/>
            <w:tcMar>
              <w:top w:w="150" w:type="dxa"/>
              <w:left w:w="240" w:type="dxa"/>
              <w:bottom w:w="150" w:type="dxa"/>
              <w:right w:w="240" w:type="dxa"/>
            </w:tcMar>
            <w:vAlign w:val="center"/>
          </w:tcPr>
          <w:p w14:paraId="451F641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val="en-US" w:eastAsia="zh-CN" w:bidi="ar"/>
              </w:rPr>
              <w:t>Need modular support that fits into workflow</w:t>
            </w:r>
          </w:p>
        </w:tc>
        <w:tc>
          <w:tcPr>
            <w:tcW w:w="2274" w:type="pct"/>
            <w:tcBorders>
              <w:top w:val="nil"/>
              <w:left w:val="nil"/>
              <w:bottom w:val="nil"/>
              <w:right w:val="nil"/>
            </w:tcBorders>
            <w:shd w:val="clear" w:color="auto" w:fill="auto"/>
            <w:noWrap w:val="0"/>
            <w:tcMar>
              <w:top w:w="150" w:type="dxa"/>
              <w:left w:w="240" w:type="dxa"/>
              <w:bottom w:w="150" w:type="dxa"/>
              <w:right w:w="-1" w:type="dxa"/>
            </w:tcMar>
            <w:vAlign w:val="center"/>
          </w:tcPr>
          <w:p w14:paraId="25B40F9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kern w:val="0"/>
                <w:sz w:val="22"/>
                <w:szCs w:val="22"/>
                <w:lang w:val="en-US" w:eastAsia="zh-CN" w:bidi="ar"/>
              </w:rPr>
            </w:pPr>
            <w:r>
              <w:rPr>
                <w:rFonts w:hint="default" w:ascii="Times New Roman" w:hAnsi="Times New Roman" w:eastAsia="宋体" w:cs="Times New Roman"/>
                <w:kern w:val="0"/>
                <w:sz w:val="22"/>
                <w:szCs w:val="22"/>
                <w:lang w:val="en-US" w:eastAsia="zh-CN" w:bidi="ar"/>
              </w:rPr>
              <w:t xml:space="preserve">Offer collapsible prompts at key decision points; </w:t>
            </w:r>
          </w:p>
          <w:p w14:paraId="3955AE9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val="en-US" w:eastAsia="zh-CN" w:bidi="ar"/>
              </w:rPr>
              <w:t>keep content accessible without disrupting flow</w:t>
            </w:r>
          </w:p>
        </w:tc>
      </w:tr>
      <w:tr w14:paraId="3CE22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074" w:type="pct"/>
            <w:tcBorders>
              <w:top w:val="nil"/>
              <w:left w:val="nil"/>
              <w:bottom w:val="single" w:color="auto" w:sz="12" w:space="0"/>
              <w:right w:val="nil"/>
            </w:tcBorders>
            <w:shd w:val="clear" w:color="auto" w:fill="auto"/>
            <w:noWrap w:val="0"/>
            <w:tcMar>
              <w:top w:w="150" w:type="dxa"/>
              <w:left w:w="-1" w:type="dxa"/>
              <w:bottom w:w="150" w:type="dxa"/>
              <w:right w:w="240" w:type="dxa"/>
            </w:tcMar>
            <w:vAlign w:val="center"/>
          </w:tcPr>
          <w:p w14:paraId="14B124B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val="en-US" w:eastAsia="zh-CN" w:bidi="ar"/>
              </w:rPr>
              <w:t>Senior Nurses (&gt;7 years)</w:t>
            </w:r>
          </w:p>
        </w:tc>
        <w:tc>
          <w:tcPr>
            <w:tcW w:w="1651" w:type="pct"/>
            <w:tcBorders>
              <w:top w:val="nil"/>
              <w:left w:val="nil"/>
              <w:bottom w:val="single" w:color="auto" w:sz="12" w:space="0"/>
              <w:right w:val="nil"/>
            </w:tcBorders>
            <w:shd w:val="clear" w:color="auto" w:fill="auto"/>
            <w:noWrap w:val="0"/>
            <w:tcMar>
              <w:top w:w="150" w:type="dxa"/>
              <w:left w:w="240" w:type="dxa"/>
              <w:bottom w:w="150" w:type="dxa"/>
              <w:right w:w="240" w:type="dxa"/>
            </w:tcMar>
            <w:vAlign w:val="center"/>
          </w:tcPr>
          <w:p w14:paraId="74B667E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val="en-US" w:eastAsia="zh-CN" w:bidi="ar"/>
              </w:rPr>
              <w:t>Need minimal, non-disruptive reference</w:t>
            </w:r>
          </w:p>
        </w:tc>
        <w:tc>
          <w:tcPr>
            <w:tcW w:w="2274" w:type="pct"/>
            <w:tcBorders>
              <w:top w:val="nil"/>
              <w:left w:val="nil"/>
              <w:bottom w:val="single" w:color="auto" w:sz="12" w:space="0"/>
              <w:right w:val="nil"/>
            </w:tcBorders>
            <w:shd w:val="clear" w:color="auto" w:fill="auto"/>
            <w:noWrap w:val="0"/>
            <w:tcMar>
              <w:top w:w="150" w:type="dxa"/>
              <w:left w:w="240" w:type="dxa"/>
              <w:bottom w:w="150" w:type="dxa"/>
              <w:right w:w="-1" w:type="dxa"/>
            </w:tcMar>
            <w:vAlign w:val="center"/>
          </w:tcPr>
          <w:p w14:paraId="57B8987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kern w:val="0"/>
                <w:sz w:val="22"/>
                <w:szCs w:val="22"/>
                <w:lang w:val="en-US" w:eastAsia="zh-CN" w:bidi="ar"/>
              </w:rPr>
            </w:pPr>
            <w:r>
              <w:rPr>
                <w:rFonts w:hint="default" w:ascii="Times New Roman" w:hAnsi="Times New Roman" w:eastAsia="宋体" w:cs="Times New Roman"/>
                <w:kern w:val="0"/>
                <w:sz w:val="22"/>
                <w:szCs w:val="22"/>
                <w:lang w:val="en-US" w:eastAsia="zh-CN" w:bidi="ar"/>
              </w:rPr>
              <w:t xml:space="preserve">Streamline layout; </w:t>
            </w:r>
          </w:p>
          <w:p w14:paraId="1CB2D0F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val="en-US" w:eastAsia="zh-CN" w:bidi="ar"/>
              </w:rPr>
              <w:t>provide option to skip routine content</w:t>
            </w:r>
          </w:p>
        </w:tc>
      </w:tr>
    </w:tbl>
    <w:p w14:paraId="4875CB46">
      <w:pPr>
        <w:keepNext w:val="0"/>
        <w:keepLines w:val="0"/>
        <w:widowControl/>
        <w:suppressLineNumbers w:val="0"/>
        <w:shd w:val="clear" w:fill="FFFFFF"/>
        <w:spacing w:before="137" w:beforeAutospacing="0" w:after="137" w:afterAutospacing="0" w:line="360" w:lineRule="auto"/>
        <w:ind w:left="0" w:right="0" w:firstLine="0"/>
        <w:jc w:val="left"/>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b/>
          <w:bCs/>
          <w:i w:val="0"/>
          <w:iCs w:val="0"/>
          <w:caps w:val="0"/>
          <w:color w:val="0F1115"/>
          <w:spacing w:val="0"/>
          <w:kern w:val="0"/>
          <w:sz w:val="20"/>
          <w:szCs w:val="20"/>
          <w:shd w:val="clear" w:fill="FFFFFF"/>
          <w:lang w:val="en-US" w:eastAsia="zh-CN" w:bidi="ar"/>
        </w:rPr>
        <w:t>Note:</w:t>
      </w:r>
      <w:r>
        <w:rPr>
          <w:rFonts w:hint="default" w:ascii="Times New Roman" w:hAnsi="Times New Roman" w:eastAsia="宋体" w:cs="Times New Roman"/>
          <w:i w:val="0"/>
          <w:iCs w:val="0"/>
          <w:caps w:val="0"/>
          <w:color w:val="0F1115"/>
          <w:spacing w:val="0"/>
          <w:kern w:val="0"/>
          <w:sz w:val="20"/>
          <w:szCs w:val="20"/>
          <w:shd w:val="clear" w:fill="FFFFFF"/>
          <w:lang w:val="en-US" w:eastAsia="zh-CN" w:bidi="ar"/>
        </w:rPr>
        <w:t>These design directions are derived directly from qualitative findings (e.g., participant feedback on cognitive load and workflow integration) and remain conceptual. They have not been implemented or validated in the current physical toolbox. Group definitions follow hospital competency standards and the Chinese nursing title system.</w:t>
      </w:r>
    </w:p>
    <w:p w14:paraId="32774E6A">
      <w:pPr>
        <w:spacing w:line="360" w:lineRule="auto"/>
        <w:ind w:firstLine="562" w:firstLineChars="200"/>
        <w:jc w:val="both"/>
        <w:rPr>
          <w:rFonts w:hint="default" w:ascii="Times New Roman" w:hAnsi="Times New Roman" w:cs="Times New Roman"/>
          <w:b/>
          <w:bCs/>
          <w:sz w:val="28"/>
          <w:szCs w:val="36"/>
        </w:rPr>
      </w:pPr>
    </w:p>
    <w:p w14:paraId="0D4EECB8">
      <w:pPr>
        <w:rPr>
          <w:rFonts w:hint="default" w:ascii="Times New Roman" w:hAnsi="Times New Roman" w:eastAsia="宋体"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313D9"/>
    <w:rsid w:val="2CDF6DB7"/>
    <w:rsid w:val="30BF5551"/>
    <w:rsid w:val="36CA791E"/>
    <w:rsid w:val="424B26AA"/>
    <w:rsid w:val="430A6FC5"/>
    <w:rsid w:val="503E2A6A"/>
    <w:rsid w:val="51AD00C8"/>
    <w:rsid w:val="5C14741A"/>
    <w:rsid w:val="632772B9"/>
    <w:rsid w:val="70292AD5"/>
    <w:rsid w:val="71562E68"/>
    <w:rsid w:val="71A52302"/>
    <w:rsid w:val="76E16A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TML Code"/>
    <w:basedOn w:val="9"/>
    <w:qFormat/>
    <w:uiPriority w:val="0"/>
    <w:rPr>
      <w:rFonts w:ascii="Courier New" w:hAnsi="Courier New"/>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2581</Words>
  <Characters>13772</Characters>
  <Lines>0</Lines>
  <Paragraphs>0</Paragraphs>
  <TotalTime>11</TotalTime>
  <ScaleCrop>false</ScaleCrop>
  <LinksUpToDate>false</LinksUpToDate>
  <CharactersWithSpaces>15896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2026-05-28T08:32:00Z</dcterms:created>
  <dc:creator>xunruonan</dc:creator>
  <cp:lastModifiedBy>小寻</cp:lastModifiedBy>
  <dcterms:modified xsi:type="dcterms:W3CDTF">2026-08-19T02:28:33Z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eyJoZGlkIjoiZjFmZWIzNDg2MmIzZjExOTIzMmViNTBmYTMwYTk0ZWYiLCJ1c2VySWQiOiIyNTc5NzM3MDYifQ==</vt:lpwstr>
  </property>
  <property fmtid="{D5CDD505-2E9C-101B-9397-08002B2CF9AE}" pid="4" name="ICV">
    <vt:lpwstr>8DF16443595143E099B810C0C102096C_12</vt:lpwstr>
  </property>
</Properties>
</file>