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Impact of Impaired Glucose Metabolism on Organization in Chronic Subdural Hematoma: An Integrated Clinical, Bioinformatic, and Histopathological Analysis</w:t>
      </w:r>
    </w:p>
    <w:p>
      <w:pPr>
        <w:jc w:val="center"/>
      </w:pPr>
      <w:r>
        <w:t>Haocong Chen¹*, Ziya Huang¹*, Jinshan Zhao¹*, Yifeng Lin², Huici Zhang¹, Shuqi Wang¹, Xianda Sha², Peng Zhang², Ling Xu², Shunwu Xiao², Daibo Ke²†</w:t>
      </w:r>
    </w:p>
    <w:p>
      <w:r>
        <w:t>Supplementary Information</w:t>
      </w:r>
    </w:p>
    <w:p>
      <w:pPr/>
      <w:r>
        <w:t>This file contains Supplementary Table S1, Supplementary Table S2, and Supplementary Figure S1 referenced in the main manuscript.</w:t>
      </w:r>
    </w:p>
    <w:p>
      <w:r>
        <w:br w:type="page"/>
      </w:r>
    </w:p>
    <w:p>
      <w:r>
        <w:rPr>
          <w:b/>
        </w:rPr>
        <w:t>Table S1. Published case reports of organized chronic subdural hematoma.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left w:val="nil"/>
          <w:right w:val="nil"/>
          <w:insideV w:val="nil"/>
          <w:top w:val="single" w:sz="4" w:color="808080"/>
          <w:bottom w:val="single" w:sz="4" w:color="808080"/>
          <w:insideH w:val="single" w:sz="4" w:color="808080"/>
        </w:tblBorders>
      </w:tblPr>
      <w:tblGrid>
        <w:gridCol w:w="1514"/>
        <w:gridCol w:w="1514"/>
        <w:gridCol w:w="1514"/>
        <w:gridCol w:w="1514"/>
        <w:gridCol w:w="1514"/>
        <w:gridCol w:w="1514"/>
        <w:gridCol w:w="1514"/>
        <w:gridCol w:w="1514"/>
        <w:gridCol w:w="1514"/>
        <w:gridCol w:w="1514"/>
      </w:tblGrid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b/>
                <w:sz w:val="13"/>
              </w:rPr>
              <w:t>Patient number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3"/>
              </w:rPr>
              <w:t>Author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3"/>
              </w:rPr>
              <w:t>Year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3"/>
              </w:rPr>
              <w:t>Age (years)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3"/>
              </w:rPr>
              <w:t>Sex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3"/>
              </w:rPr>
              <w:t>Symptoms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3"/>
              </w:rPr>
              <w:t>Duration (days)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3"/>
              </w:rPr>
              <w:t>Diabetes (Y/N)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3"/>
              </w:rPr>
              <w:t>Hypertension (Y/N)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3"/>
              </w:rPr>
              <w:t>Surgical approach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1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M. Fujioka12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1994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65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Progressive gait disturbance and headache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-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craniotomy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2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Shigeki IMAIZUMI13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2001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77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Progressive headache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90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Y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craniotomy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3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Ruth PRIETO14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2010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67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F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Acute left hemiplegia, slurred speech, impaired consciousness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-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Y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craniotomy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4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Shinri ODA15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2010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32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F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Refractory progressive headache, transient loss of consciousness, unsteady gait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90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craniotomy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5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Satoshi Tahashi16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2011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78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Intellectual disability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-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Y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craniotomy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6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Hideo Chihara17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2014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59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Drowsiness, right mild hemiplegia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60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craniotomy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7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Hong-Gyu Baek18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2018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72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Post-seizure generalized tonic-clonic convulsions resulted in drowsiness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＜3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Y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Y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craniotomy and membranectomy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8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Tetsuya Akaishi19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2021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78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prolonged nocturia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＞21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Y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Y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-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9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Aito Watanabe20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2021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50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F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Initial headache followed by disorientation and aphasia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14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Y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small craniotomy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10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Tomoaki Akiyama21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2021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72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Fever with convulsions in the left upper limb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10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Y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traditional bone flap craniotomy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11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Shigeomi Yokoya22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2021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71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dysarthria and slight left hemiparesis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30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Y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small craniotomy and MMA embolization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12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Hong-Tao Lv23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2022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56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F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Sudden coma with mild fever after generalized tonic-clonic seizure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0.5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Y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Y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craniotomy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13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Mizuto Sato24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2022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86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Unsteadiness,</w:t>
              <w:br/>
              <w:t>slight fever and headache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60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traditional bone flap craniotomy and MMAE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14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Jun Cao25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2023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70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Dizziness and headache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0.2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Y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traditional bone flap craniotomy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15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Motoki Fukunaga26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2023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74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Intellectual disability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-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craniotomy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16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Yoshinori Kadono27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2024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76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Right hemiplegia, headache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-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trepanation and drainage and MMAE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17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Yoshinori Kadono27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2024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83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right upper limb paralysis and dysarthria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45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small craniotomy and MMA embolization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18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Hai Dao Xuan9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2024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61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headache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-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small craniotomy and MMA embolization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19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Sen He28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2025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58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cognitive impairment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30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bone flap craniotomy</w:t>
            </w:r>
          </w:p>
        </w:tc>
      </w:tr>
      <w:tr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3"/>
              </w:rPr>
              <w:t>20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Shoko M. Yamada29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2025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81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M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progressive left-side motor weakness and disorientation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60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>N</w:t>
            </w:r>
          </w:p>
        </w:tc>
        <w:tc>
          <w:tcPr>
            <w:tcW w:type="dxa" w:w="15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3"/>
              </w:rPr>
              <w:t xml:space="preserve">Burr-hole </w:t>
              <w:br/>
              <w:t>irrigation and endoscopic surgery</w:t>
            </w:r>
          </w:p>
        </w:tc>
      </w:tr>
    </w:tbl>
    <w:p>
      <w:pPr>
        <w:spacing w:before="60"/>
      </w:pPr>
      <w:r>
        <w:rPr>
          <w:sz w:val="16"/>
        </w:rPr>
        <w:t>F, female; M, male; N, no; Y, yes; –, not reported.</w:t>
      </w:r>
    </w:p>
    <w:p>
      <w:r>
        <w:br w:type="page"/>
      </w:r>
    </w:p>
    <w:p>
      <w:r>
        <w:rPr>
          <w:b/>
        </w:rPr>
        <w:t>Table S2. DAB-positive tissue area (%) for CD34, CD68, and VEGF.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left w:val="nil"/>
          <w:right w:val="nil"/>
          <w:insideV w:val="nil"/>
          <w:top w:val="single" w:sz="4" w:color="808080"/>
          <w:bottom w:val="single" w:sz="4" w:color="808080"/>
          <w:insideH w:val="single" w:sz="4" w:color="808080"/>
        </w:tblBorders>
      </w:tblPr>
      <w:tblGrid>
        <w:gridCol w:w="2163"/>
        <w:gridCol w:w="2163"/>
        <w:gridCol w:w="2163"/>
        <w:gridCol w:w="2163"/>
        <w:gridCol w:w="2163"/>
        <w:gridCol w:w="2163"/>
        <w:gridCol w:w="2163"/>
      </w:tblGrid>
      <w:tr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b/>
                <w:sz w:val="16"/>
              </w:rPr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CD34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CD34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CD68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CD68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VEGF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E7E6E6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VEGF</w:t>
            </w:r>
          </w:p>
        </w:tc>
      </w:tr>
      <w:tr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6"/>
              </w:rPr>
              <w:t>OCSDH fibrous septum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12.59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12.59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22.91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22.91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25.76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25.76</w:t>
            </w:r>
          </w:p>
        </w:tc>
      </w:tr>
      <w:tr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HM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OM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HM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OM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HM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OM</w:t>
            </w:r>
          </w:p>
        </w:tc>
      </w:tr>
      <w:tr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6"/>
              </w:rPr>
              <w:t>CSDH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2.86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17.84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1.86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13.97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2.63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29.94</w:t>
            </w:r>
          </w:p>
        </w:tc>
      </w:tr>
      <w:tr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left"/>
            </w:pPr>
            <w:r>
              <w:rPr>
                <w:rFonts w:ascii="Times New Roman" w:hAnsi="Times New Roman"/>
                <w:sz w:val="16"/>
              </w:rPr>
              <w:t>OCSDH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4.95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19.14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6.80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12.18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12.25</w:t>
            </w:r>
          </w:p>
        </w:tc>
        <w:tc>
          <w:tcPr>
            <w:tcW w:type="dxa" w:w="21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</w:rPr>
              <w:t>21.02</w:t>
            </w:r>
          </w:p>
        </w:tc>
      </w:tr>
    </w:tbl>
    <w:p>
      <w:pPr>
        <w:spacing w:before="60"/>
      </w:pPr>
      <w:r>
        <w:rPr>
          <w:sz w:val="16"/>
        </w:rPr>
        <w:t>HM, hematoma mass; OM, outer membrane; CSDH, chronic subdural hematoma; OCSDH, organized chronic subdural hematoma. Values are descriptive because one specimen per group was assessed.</w:t>
      </w:r>
    </w:p>
    <w:p>
      <w:r>
        <w:br w:type="page"/>
      </w:r>
    </w:p>
    <w:p>
      <w:pPr>
        <w:pStyle w:val="Heading1"/>
      </w:pPr>
      <w:r>
        <w:t>Figure S1. Gene Ontology enrichment networks for the transcriptomic analyses.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138"/>
      </w:tblGrid>
      <w:tr>
        <w:tc>
          <w:tcPr>
            <w:tcW w:type="dxa" w:w="1513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sz w:val="20"/>
              </w:rPr>
              <w:t>A</w:t>
              <w:br/>
            </w:r>
            <w:r>
              <w:drawing>
                <wp:inline xmlns:a="http://schemas.openxmlformats.org/drawingml/2006/main" xmlns:pic="http://schemas.openxmlformats.org/drawingml/2006/picture">
                  <wp:extent cx="5577840" cy="433832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henFig9.tif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40" cy="43383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1513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sz w:val="20"/>
              </w:rPr>
              <w:t>B</w:t>
              <w:br/>
            </w:r>
            <w:r>
              <w:drawing>
                <wp:inline xmlns:a="http://schemas.openxmlformats.org/drawingml/2006/main" xmlns:pic="http://schemas.openxmlformats.org/drawingml/2006/picture">
                  <wp:extent cx="5577840" cy="433832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henFig10.tif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40" cy="43383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1513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sz w:val="20"/>
              </w:rPr>
              <w:t>C</w:t>
              <w:br/>
            </w:r>
            <w:r>
              <w:drawing>
                <wp:inline xmlns:a="http://schemas.openxmlformats.org/drawingml/2006/main" xmlns:pic="http://schemas.openxmlformats.org/drawingml/2006/picture">
                  <wp:extent cx="5577840" cy="433832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henFig11.tif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40" cy="43383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t>Gene Ontology (GO) enrichment network plots for (A) all significant differentially expressed genes, (B) upregulated differentially expressed genes, and (C) downregulated differentially expressed genes. Each node represents a GO term; node size indicates pathway size and color indicates the adjusted P value (padj). The three panels correspond to the three network images supplied below. GO, Gene Ontology.</w:t>
      </w:r>
    </w:p>
    <w:sectPr w:rsidR="00FC693F" w:rsidRPr="0006063C" w:rsidSect="00034616">
      <w:headerReference w:type="default" r:id="rId9"/>
      <w:pgSz w:w="16838" w:h="11906" w:orient="landscape"/>
      <w:pgMar w:top="1304" w:right="850" w:bottom="130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fldChar w:fldCharType="begin"/>
      <w:instrText xml:space="preserve"> PAGE </w:instrText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1" Type="http://schemas.openxmlformats.org/officeDocument/2006/relationships/image" Target="media/image2.tif"/><Relationship Id="rId12" Type="http://schemas.openxmlformats.org/officeDocument/2006/relationships/image" Target="media/image3.tif"/><Relationship Id="rId13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— Figure S1 replaced with three high-resolution images</dc:title>
  <dc:subject>Scientific Reports supplementary Figure S1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