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90E" w:rsidRDefault="009313EA">
      <w:pPr>
        <w:pStyle w:val="BJ-ArticleTitle"/>
        <w:spacing w:after="0"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  <w:szCs w:val="36"/>
        </w:rPr>
        <w:t>Cost-Effectiveness of Erdafinib vs. Chemotherapy for Advanced or Met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36"/>
        </w:rPr>
        <w:t>astatic Urothelial Carcinoma</w:t>
      </w:r>
      <w:r w:rsidR="00190A54" w:rsidRPr="00190A54">
        <w:rPr>
          <w:rFonts w:ascii="Times New Roman" w:hAnsi="Times New Roman" w:cs="Times New Roman"/>
          <w:sz w:val="24"/>
          <w:szCs w:val="36"/>
        </w:rPr>
        <w:t xml:space="preserve"> from the Payer Perspectives in the US and China</w:t>
      </w:r>
    </w:p>
    <w:p w:rsidR="007E190E" w:rsidRDefault="009313EA">
      <w:pPr>
        <w:pStyle w:val="BJ-ArticleTitle"/>
        <w:spacing w:after="0" w:line="360" w:lineRule="auto"/>
        <w:rPr>
          <w:rFonts w:ascii="Times New Roman" w:eastAsia="宋体" w:hAnsi="Times New Roman" w:cs="Times New Roman"/>
          <w:b w:val="0"/>
          <w:bCs w:val="0"/>
          <w:sz w:val="20"/>
        </w:rPr>
      </w:pPr>
      <w:r>
        <w:rPr>
          <w:rFonts w:ascii="Times New Roman" w:eastAsia="宋体" w:hAnsi="Times New Roman" w:cs="Times New Roman"/>
          <w:b w:val="0"/>
          <w:bCs w:val="0"/>
          <w:sz w:val="20"/>
        </w:rPr>
        <w:t>Bin Zhang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‡,1</w:t>
      </w:r>
      <w:r>
        <w:rPr>
          <w:rFonts w:ascii="Times New Roman" w:eastAsia="宋体" w:hAnsi="Times New Roman" w:cs="Times New Roman"/>
          <w:b w:val="0"/>
          <w:bCs w:val="0"/>
          <w:sz w:val="20"/>
        </w:rPr>
        <w:t>, Yijia Zhao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‡,1</w:t>
      </w:r>
      <w:r>
        <w:rPr>
          <w:rFonts w:ascii="Times New Roman" w:eastAsia="宋体" w:hAnsi="Times New Roman" w:cs="Times New Roman"/>
          <w:b w:val="0"/>
          <w:bCs w:val="0"/>
          <w:sz w:val="20"/>
        </w:rPr>
        <w:t>, Zhiqi Zhang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1</w:t>
      </w:r>
      <w:r>
        <w:rPr>
          <w:rFonts w:ascii="Times New Roman" w:eastAsia="宋体" w:hAnsi="Times New Roman" w:cs="Times New Roman"/>
          <w:b w:val="0"/>
          <w:bCs w:val="0"/>
          <w:sz w:val="20"/>
        </w:rPr>
        <w:t>, Qianxin Liu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1</w:t>
      </w:r>
      <w:r>
        <w:rPr>
          <w:rFonts w:ascii="Times New Roman" w:eastAsia="宋体" w:hAnsi="Times New Roman" w:cs="Times New Roman"/>
          <w:b w:val="0"/>
          <w:bCs w:val="0"/>
          <w:sz w:val="20"/>
        </w:rPr>
        <w:t>, Xiaocong Pang</w:t>
      </w:r>
      <w:r>
        <w:rPr>
          <w:rFonts w:ascii="Times New Roman" w:hAnsi="Times New Roman" w:cs="Times New Roman"/>
          <w:b w:val="0"/>
          <w:sz w:val="20"/>
        </w:rPr>
        <w:t>*</w:t>
      </w:r>
      <w:r>
        <w:rPr>
          <w:rFonts w:ascii="Times New Roman" w:hAnsi="Times New Roman" w:cs="Times New Roman"/>
          <w:b w:val="0"/>
          <w:sz w:val="20"/>
          <w:vertAlign w:val="superscript"/>
        </w:rPr>
        <w:t>,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1</w:t>
      </w:r>
      <w:r>
        <w:rPr>
          <w:rFonts w:ascii="Times New Roman" w:eastAsia="宋体" w:hAnsi="Times New Roman" w:cs="Times New Roman"/>
          <w:b w:val="0"/>
          <w:bCs w:val="0"/>
          <w:sz w:val="20"/>
        </w:rPr>
        <w:t>, Ying Zhou</w:t>
      </w:r>
      <w:r>
        <w:rPr>
          <w:rFonts w:ascii="Times New Roman" w:hAnsi="Times New Roman" w:cs="Times New Roman"/>
          <w:b w:val="0"/>
          <w:sz w:val="20"/>
        </w:rPr>
        <w:t>*</w:t>
      </w:r>
      <w:r>
        <w:rPr>
          <w:rFonts w:ascii="Times New Roman" w:hAnsi="Times New Roman" w:cs="Times New Roman"/>
          <w:b w:val="0"/>
          <w:sz w:val="20"/>
          <w:vertAlign w:val="superscript"/>
        </w:rPr>
        <w:t>,</w:t>
      </w:r>
      <w:r>
        <w:rPr>
          <w:rFonts w:ascii="Times New Roman" w:eastAsia="宋体" w:hAnsi="Times New Roman" w:cs="Times New Roman"/>
          <w:b w:val="0"/>
          <w:bCs w:val="0"/>
          <w:sz w:val="20"/>
          <w:vertAlign w:val="superscript"/>
        </w:rPr>
        <w:t>1</w:t>
      </w:r>
      <w:r>
        <w:rPr>
          <w:rFonts w:ascii="Times New Roman" w:eastAsia="宋体" w:hAnsi="Times New Roman" w:cs="Times New Roman" w:hint="eastAsia"/>
          <w:b w:val="0"/>
          <w:bCs w:val="0"/>
          <w:sz w:val="20"/>
          <w:vertAlign w:val="superscript"/>
        </w:rPr>
        <w:t>, 2</w:t>
      </w:r>
    </w:p>
    <w:p w:rsidR="007E190E" w:rsidRDefault="009313EA">
      <w:pPr>
        <w:pStyle w:val="BJ-ArticleTitle"/>
        <w:spacing w:after="0"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Author affiliations:</w:t>
      </w:r>
    </w:p>
    <w:p w:rsidR="007E190E" w:rsidRDefault="009313EA">
      <w:pPr>
        <w:pStyle w:val="BJ-ArticleTitle"/>
        <w:spacing w:after="0" w:line="360" w:lineRule="auto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 xml:space="preserve">1Department of Pharmacy, Peking University </w:t>
      </w:r>
      <w:r>
        <w:rPr>
          <w:rFonts w:ascii="Times New Roman" w:hAnsi="Times New Roman" w:cs="Times New Roman"/>
          <w:b w:val="0"/>
          <w:bCs w:val="0"/>
          <w:sz w:val="20"/>
        </w:rPr>
        <w:t>First Hospital, No. 8 Xishiku Street, Xicheng District, Beijing 100034, China</w:t>
      </w:r>
    </w:p>
    <w:p w:rsidR="007E190E" w:rsidRDefault="009313EA">
      <w:pPr>
        <w:pStyle w:val="BJ-ArticleTitle"/>
        <w:spacing w:after="0" w:line="360" w:lineRule="auto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>2Drug Clinical Trial Institution, Peking University First Hospital, No. 8 Xishiku Street, Xicheng District, Beijing 100034, China</w:t>
      </w:r>
    </w:p>
    <w:p w:rsidR="007E190E" w:rsidRDefault="009313EA">
      <w:pPr>
        <w:pStyle w:val="BJ-ArticleTitle"/>
        <w:spacing w:after="0" w:line="360" w:lineRule="auto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  <w:vertAlign w:val="superscript"/>
        </w:rPr>
        <w:t>‡</w:t>
      </w:r>
      <w:r>
        <w:rPr>
          <w:rFonts w:ascii="Times New Roman" w:hAnsi="Times New Roman" w:cs="Times New Roman"/>
          <w:b w:val="0"/>
          <w:bCs w:val="0"/>
          <w:sz w:val="20"/>
        </w:rPr>
        <w:t>Authors contributed equally</w:t>
      </w:r>
    </w:p>
    <w:p w:rsidR="007E190E" w:rsidRDefault="009313EA">
      <w:pPr>
        <w:pStyle w:val="BJ-ArticleTitle"/>
        <w:spacing w:after="0" w:line="360" w:lineRule="auto"/>
        <w:rPr>
          <w:rFonts w:ascii="Times New Roman" w:eastAsia="宋体" w:hAnsi="Times New Roman" w:cs="Times New Roman"/>
          <w:b w:val="0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*</w:t>
      </w:r>
      <w:r>
        <w:rPr>
          <w:rFonts w:ascii="Times New Roman" w:hAnsi="Times New Roman" w:cs="Times New Roman"/>
          <w:sz w:val="20"/>
        </w:rPr>
        <w:t xml:space="preserve">Author for </w:t>
      </w:r>
      <w:r>
        <w:rPr>
          <w:rFonts w:ascii="Times New Roman" w:hAnsi="Times New Roman" w:cs="Times New Roman"/>
          <w:sz w:val="20"/>
        </w:rPr>
        <w:t>correspondence:</w:t>
      </w:r>
      <w:r>
        <w:rPr>
          <w:rFonts w:ascii="Times New Roman" w:hAnsi="Times New Roman" w:cs="Times New Roman"/>
          <w:b w:val="0"/>
          <w:sz w:val="20"/>
        </w:rPr>
        <w:t xml:space="preserve"> </w:t>
      </w:r>
      <w:r>
        <w:rPr>
          <w:rFonts w:ascii="Times New Roman" w:eastAsia="宋体" w:hAnsi="Times New Roman" w:cs="Times New Roman"/>
          <w:b w:val="0"/>
          <w:sz w:val="20"/>
        </w:rPr>
        <w:t xml:space="preserve"> </w:t>
      </w:r>
    </w:p>
    <w:p w:rsidR="007E190E" w:rsidRDefault="009313EA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 xml:space="preserve">Xiaocong Pang, No. 8 Xishiku Street, Xicheng District, Beijing 100034, China. pangxiaocong1227@163.com. </w:t>
      </w:r>
    </w:p>
    <w:p w:rsidR="007E190E" w:rsidRDefault="009313EA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Zhou Ying, No. 8 Xishiku Street, Xicheng District, Beijing 100034, China. bdyyzy@pku.edu.cn.</w:t>
      </w:r>
    </w:p>
    <w:p w:rsidR="007E190E" w:rsidRDefault="007E190E">
      <w:pPr>
        <w:spacing w:beforeLines="50" w:before="156" w:afterLines="50" w:after="156"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:rsidR="007E190E" w:rsidRDefault="009313EA">
      <w:pPr>
        <w:spacing w:beforeLines="50" w:before="156" w:afterLines="50" w:after="156"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Supplementary Appendix</w:t>
      </w:r>
    </w:p>
    <w:p w:rsidR="007E190E" w:rsidRDefault="009313EA">
      <w:pPr>
        <w:pStyle w:val="a3"/>
        <w:keepNext/>
        <w:jc w:val="left"/>
        <w:rPr>
          <w:rFonts w:ascii="Times New Roman" w:eastAsia="宋体" w:hAnsi="Times New Roman" w:cs="Times New Roman"/>
          <w:b/>
          <w:bCs/>
        </w:rPr>
      </w:pPr>
      <w:r>
        <w:rPr>
          <w:rFonts w:ascii="Times New Roman" w:eastAsia="宋体" w:hAnsi="Times New Roman" w:cs="Times New Roman" w:hint="eastAsia"/>
          <w:b/>
          <w:bCs/>
        </w:rPr>
        <w:t>CHEERS Checklist</w:t>
      </w:r>
      <w:r>
        <w:rPr>
          <w:rFonts w:ascii="Times New Roman" w:eastAsia="宋体" w:hAnsi="Times New Roman" w:cs="Times New Roman" w:hint="eastAsia"/>
          <w:b/>
          <w:bCs/>
        </w:rPr>
        <w:t>s</w:t>
      </w:r>
    </w:p>
    <w:tbl>
      <w:tblPr>
        <w:tblW w:w="4999" w:type="pct"/>
        <w:tblLook w:val="04A0" w:firstRow="1" w:lastRow="0" w:firstColumn="1" w:lastColumn="0" w:noHBand="0" w:noVBand="1"/>
      </w:tblPr>
      <w:tblGrid>
        <w:gridCol w:w="1547"/>
        <w:gridCol w:w="876"/>
        <w:gridCol w:w="5663"/>
        <w:gridCol w:w="1874"/>
      </w:tblGrid>
      <w:tr w:rsidR="007E190E">
        <w:trPr>
          <w:trHeight w:val="293"/>
        </w:trPr>
        <w:tc>
          <w:tcPr>
            <w:tcW w:w="77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Section/topic</w:t>
            </w:r>
          </w:p>
        </w:tc>
        <w:tc>
          <w:tcPr>
            <w:tcW w:w="44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Item No</w:t>
            </w:r>
          </w:p>
        </w:tc>
        <w:tc>
          <w:tcPr>
            <w:tcW w:w="284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Guidance for reporting</w:t>
            </w:r>
          </w:p>
        </w:tc>
        <w:tc>
          <w:tcPr>
            <w:tcW w:w="94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Reported on Page No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Title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Title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Identify the study as an economic evaluation and specify the interventions being compared.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1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Abstract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Abstract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Provide a structured summary that highlights context, key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methods, results, and alternative analyses.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1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Introduction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Background and objectives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Give the context for the study, the study question, and its practical relevance for decision making in policy or practice.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2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Methods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Health economic analysis plan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Indicate whether a health economic analysis plan was developed and where available.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3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Study population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characteristics of the study population (such as age range, demographics, socioeconomic, or clinical characteristics).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3</w:t>
            </w:r>
          </w:p>
        </w:tc>
      </w:tr>
      <w:tr w:rsidR="007E190E">
        <w:trPr>
          <w:trHeight w:val="28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Setting and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location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Provide relevant contextual information that may influence findings.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3</w:t>
            </w:r>
          </w:p>
        </w:tc>
      </w:tr>
      <w:tr w:rsidR="007E190E">
        <w:trPr>
          <w:trHeight w:val="28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Comparators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the interventions or strategies being compared and why chosen.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3-4 and Table S1</w:t>
            </w:r>
          </w:p>
        </w:tc>
      </w:tr>
      <w:tr w:rsidR="007E190E">
        <w:trPr>
          <w:trHeight w:val="28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Perspective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State the perspective(s) adopted by the study and why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chosen.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2</w:t>
            </w:r>
          </w:p>
        </w:tc>
      </w:tr>
      <w:tr w:rsidR="007E190E">
        <w:trPr>
          <w:trHeight w:val="28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Time horizon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State the time horizon for the study and why appropriate.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28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Discount rate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Report the discount rate(s) and reason chosen.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lastRenderedPageBreak/>
              <w:t>Selection of outcomes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what outcomes were used as the measure(s) of benefit(s) and harm(s).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Measurement of outcomes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how outcomes used to capture benefit(s) and harm(s) were measured.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Valuation of outcomes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the population and methods used to measure and value outcomes.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4-5</w:t>
            </w:r>
          </w:p>
        </w:tc>
      </w:tr>
      <w:tr w:rsidR="007E190E">
        <w:trPr>
          <w:trHeight w:val="833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Measurement and valuation of resources and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costs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14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how costs were valued.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5</w:t>
            </w:r>
          </w:p>
        </w:tc>
      </w:tr>
      <w:tr w:rsidR="007E190E">
        <w:trPr>
          <w:trHeight w:val="833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Currency, price date, and conversion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15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Report the dates of the estimated resource quantities and unit costs, plus the currency and year of conversion.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833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Rationale and description of model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If modelling is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used, describe in detail and why used. Report if the model is publicly available and where it can be accessed.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Analytics and assumptions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17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Describe any methods for analysing or statistically transforming data, any extrapolation methods, and approaches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for validating any model used.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4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Characterizing heterogeneity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18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any methods used for estimating how the results of the study vary for subgroups.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Not applicable</w:t>
            </w:r>
          </w:p>
        </w:tc>
      </w:tr>
      <w:tr w:rsidR="007E190E">
        <w:trPr>
          <w:trHeight w:val="833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Characterizing distributional effects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19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how impacts are distributed across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 different individuals or adjustments made to reflect priority populations.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Not applicable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Characterizing uncertainty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20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methods to characterise any sources of uncertainty in the analysis.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6</w:t>
            </w:r>
          </w:p>
        </w:tc>
      </w:tr>
      <w:tr w:rsidR="007E190E">
        <w:trPr>
          <w:trHeight w:val="1388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Approach to engagement with patients and others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affected by the study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any approaches to engage patients or service recipients, the general public, communities, or stakeholders (such as clinicians or payers) in the design of the study.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Not applicable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Results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Study parameters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Report all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analytic inputs (such as values, ranges, references) including uncertainty or distributional assumptions.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Table 1 and Table S3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Summary of main results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23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Report the mean values for the main categories of costs and outcomes of interest and summarise them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in the most appropriate overall measure.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8 and Table 2</w:t>
            </w:r>
          </w:p>
        </w:tc>
      </w:tr>
      <w:tr w:rsidR="007E190E">
        <w:trPr>
          <w:trHeight w:val="833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Effect of uncertainty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how uncertainty about analytic judgments, inputs, or projections affect findings. Report the effect of choice of discount rate and time horizon, if applicable.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8-11</w:t>
            </w:r>
          </w:p>
        </w:tc>
      </w:tr>
      <w:tr w:rsidR="007E190E">
        <w:trPr>
          <w:trHeight w:val="1388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Effect of engagement with patients and others affected by the study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25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Report on any difference patient/service recipient, general public, community, or stakeholder involvement made to the approach or findings of the study.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Not applicable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Discussion</w:t>
            </w:r>
          </w:p>
        </w:tc>
      </w:tr>
      <w:tr w:rsidR="007E190E">
        <w:trPr>
          <w:trHeight w:val="11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lastRenderedPageBreak/>
              <w:t>Study findings, limitations, generalizability, and current knowledge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26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Report key findings, limitations, ethical or equity considerations not captured, and how these could affect patients, policy, or practice.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11-13</w:t>
            </w:r>
          </w:p>
        </w:tc>
      </w:tr>
      <w:tr w:rsidR="007E190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Other relevant information</w:t>
            </w:r>
          </w:p>
        </w:tc>
      </w:tr>
      <w:tr w:rsidR="007E190E">
        <w:trPr>
          <w:trHeight w:val="555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Source of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funding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2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Describe how the study was funded and any role of the funder in the identification, design, conduct, and reporting of the analysis.</w:t>
            </w:r>
          </w:p>
        </w:tc>
        <w:tc>
          <w:tcPr>
            <w:tcW w:w="9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14</w:t>
            </w:r>
          </w:p>
        </w:tc>
      </w:tr>
      <w:tr w:rsidR="007E190E">
        <w:trPr>
          <w:trHeight w:val="570"/>
        </w:trPr>
        <w:tc>
          <w:tcPr>
            <w:tcW w:w="77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Conflicts of interest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284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Report authors conflicts of interest according to journal or International Committee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 of Medical Journal Editors requirements.</w:t>
            </w:r>
          </w:p>
        </w:tc>
        <w:tc>
          <w:tcPr>
            <w:tcW w:w="94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t>14</w:t>
            </w:r>
          </w:p>
        </w:tc>
      </w:tr>
    </w:tbl>
    <w:p w:rsidR="007E190E" w:rsidRDefault="007E190E">
      <w:pPr>
        <w:rPr>
          <w:rFonts w:ascii="Times New Roman" w:eastAsia="宋体" w:hAnsi="Times New Roman" w:cs="Times New Roman"/>
          <w:b/>
          <w:bCs/>
          <w:sz w:val="20"/>
          <w:szCs w:val="20"/>
        </w:rPr>
      </w:pPr>
    </w:p>
    <w:p w:rsidR="007E190E" w:rsidRDefault="009313EA">
      <w:pPr>
        <w:rPr>
          <w:rFonts w:ascii="Times New Roman" w:eastAsia="宋体" w:hAnsi="Times New Roman" w:cs="Times New Roman"/>
          <w:b/>
          <w:bCs/>
          <w:sz w:val="2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>Table</w:t>
      </w:r>
    </w:p>
    <w:p w:rsidR="007E190E" w:rsidRDefault="009313EA">
      <w:pPr>
        <w:pStyle w:val="a3"/>
        <w:keepNext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Table S</w:t>
      </w:r>
      <w:r>
        <w:rPr>
          <w:rFonts w:ascii="Times New Roman" w:hAnsi="Times New Roman" w:cs="Times New Roman" w:hint="eastAsia"/>
          <w:b/>
          <w:bCs/>
          <w:sz w:val="16"/>
          <w:szCs w:val="16"/>
        </w:rPr>
        <w:t>1</w:t>
      </w:r>
      <w:r>
        <w:rPr>
          <w:rFonts w:ascii="Times New Roman" w:hAnsi="Times New Roman" w:cs="Times New Roman"/>
          <w:sz w:val="16"/>
          <w:szCs w:val="16"/>
        </w:rPr>
        <w:t xml:space="preserve"> Treatment regimen and dosage administration</w:t>
      </w:r>
    </w:p>
    <w:tbl>
      <w:tblPr>
        <w:tblStyle w:val="a4"/>
        <w:tblW w:w="4999" w:type="pct"/>
        <w:tblLook w:val="04A0" w:firstRow="1" w:lastRow="0" w:firstColumn="1" w:lastColumn="0" w:noHBand="0" w:noVBand="1"/>
      </w:tblPr>
      <w:tblGrid>
        <w:gridCol w:w="1464"/>
        <w:gridCol w:w="8496"/>
      </w:tblGrid>
      <w:tr w:rsidR="007E190E">
        <w:trPr>
          <w:trHeight w:val="397"/>
        </w:trPr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7E190E" w:rsidRDefault="009313EA">
            <w:pPr>
              <w:ind w:firstLine="360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Grouping</w:t>
            </w:r>
          </w:p>
        </w:tc>
        <w:tc>
          <w:tcPr>
            <w:tcW w:w="426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7E190E" w:rsidRDefault="009313EA">
            <w:pPr>
              <w:ind w:firstLine="36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Treatment regimen and dosage administration</w:t>
            </w:r>
          </w:p>
        </w:tc>
      </w:tr>
      <w:tr w:rsidR="007E190E">
        <w:trPr>
          <w:trHeight w:val="397"/>
        </w:trPr>
        <w:tc>
          <w:tcPr>
            <w:tcW w:w="5000" w:type="pct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</w:rPr>
              <w:t>Initial treatment</w:t>
            </w:r>
          </w:p>
        </w:tc>
      </w:tr>
      <w:tr w:rsidR="007E190E">
        <w:trPr>
          <w:trHeight w:val="397"/>
        </w:trPr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Erdafitinib</w:t>
            </w:r>
          </w:p>
        </w:tc>
        <w:tc>
          <w:tcPr>
            <w:tcW w:w="42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ind w:firstLine="360"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Erdafitinib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mg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 per day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 xml:space="preserve">with a pharmacodynamically guided increase in the dose to 9 mg on day 14 q3w,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po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ADDIN ZOTERO_ITEM CSL_CITATION {"citationID":"ZxNTi06b","properties":{"formattedCitation":"\\super [1]\\nosupersub{}","plainCitation":"[1]","noteIndex":0},"citationItems":[{"i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d":4290,"uris":["http://zotero.org/groups/5650505/items/J8LHI84H"],"itemData":{"id":4290,"type":"article-journal","abstract":"BACKGROUND: Erdafitinib is a pan-fibroblast growth factor receptor (FGFR) inhibitor approved for the treatment of locally advanced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or metastatic urothelial carcinoma in adults with susceptible FGFR3/2 alterations who have progression after platinum-containing chemotherapy. The effects of erdafitinib in patients with FGFR-altered metastatic urothelial carcinoma who have progression du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ring or after treatment with checkpoint inhibitors (anti-programmed cell death protein 1 [PD-1] or anti-programmed death ligand 1 [PD-L1] agents) are unclear.\nMETHODS: We conducted a global phase 3 trial of erdafitinib as compared with chemotherapy in pat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ients with metastatic urothelial carcinoma with susceptible FGFR3/2 alterations who had progression after one or two previous treatments that included an anti-PD-1 or anti-PD-L1. Patients were randomly assigned in a 1:1 ratio to receive erdafitinib or the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investigator's choice of chemotherapy (docetaxel or vinflunine). The primary end point was overall survival.\nRESULTS: A total of 266 patients underwent randomization: 136 to the erdafitinib group and 130 to the chemotherapy group. The median follow-up was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15.9 months. The median overall survival was significantly longer with erdafitinib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0.005). The median progression-free surviv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al was also longer with erdafitinib than with chemotherapy (5.6 months vs. 2.7 months; hazard ratio for progression or death, 0.58; 95% CI, 0.44 to 0.78; P&lt;0.001). The incidence of grade 3 or 4 treatment-related adverse events was similar in the two groups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(45.9% in the erdafitinib group and 46.4% in the chemotherapy group). Treatment-related adverse events that led to death were less common with erdafitinib than with chemotherapy (in 0.7% vs. 5.4% of patients).\nCONCLUSIONS: Erdafitinib therapy resulted in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significantly longer overall survival than chemotherapy among patients with metastatic urothelial carcinoma and FGFR alterations after previous anti-PD-1 or anti-PD-L1 treatment. (Funded by Janssen Research and Development; THOR ClinicalTrials.gov number,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NCT03390504.).","container-title":"The New England Journal of Medicine","DOI":"10.1056/NEJMoa2308849","ISSN":"1533-4406","issue":"21","journalAbbreviation":"N Engl J Med","language":"en-US","note":"PMID: 37870920\nTLDR: Erdafitinib therapy resulted in sig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nificantly longer overall survival than chemotherapy among patients with metastatic urothelial carcinoma and FGFR alterations after previous anti- PD-1 or anti-PD-L1 treatment.","page":"1961-1971","source":"PubMed","title":"Erdafitinib or Chemotherapy in A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dvanced or Metastatic Urothelial Carcinoma","volume":"389","author":[{"family":"Loriot","given":"Yohann"},{"family":"Matsubara","given":"Nobuaki"},{"family":"Park","given":"Se Hoon"},{"family":"Huddart","given":"Robert A."},{"family":"Burgess","given":"Ear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le F."},{"family":"Houede","given":"Nadine"},{"family":"Banek","given":"Severine"},{"family":"Guadalupi","given":"Valentina"},{"family":"Ku","given":"Ja Hyeon"},{"family":"Valderrama","given":"Begoña P."},{"family":"Tran","given":"Ben"},{"family":"Triantos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","given":"Spyros"},{"family":"Kean","given":"Yin"},{"family":"Akapame","given":"Sydney"},{"family":"Deprince","given":"Kris"},{"family":"Mukhopadhyay","given":"Sutapa"},{"family":"Stone","given":"Nicole L."},{"family":"Siefker-Radtke","given":"Arlene O."}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,{"literal":"THOR Cohort 1 Investigators"}],"issued":{"date-parts":[["2023",11,23]]}}}],"schema":"https://github.com/citation-style-language/schema/raw/master/csl-citation.json"}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397"/>
        </w:trPr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Chemotherapy</w:t>
            </w:r>
          </w:p>
        </w:tc>
        <w:tc>
          <w:tcPr>
            <w:tcW w:w="42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ind w:firstLine="360"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Docetaxel, 75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mg/m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, 60 min-infusion, q3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w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ADDIN ZOTERO_ITEM CSL_CITATION {"citationID":"3uBiEnhb","properties":{"formattedCitation":"\\super [1]\\nosupersub{}","plainCitation":"[1]","noteIndex":0},"citationItems":[{"id":4290,"uris":["http://zotero.org/groups/5650505/items/J8LHI84H"],"itemData":{"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id":4290,"type":"article-journal","abstract":"BACKGROUND: Erdafitinib is a pan-fibroblast growth factor receptor (FGFR) inhibitor approved for the treatment of locally advanced or metastatic urothelial carcinoma in adults with susceptible FGFR3/2 alteratio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ns who have progression after platinum-containing chemotherapy. The effects of erdafitinib in patients with FGFR-altered metastatic urothelial carcinoma who have progression during or after treatment with checkpoint inhibitors (anti-programmed cell death p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rotein 1 [PD-1] or anti-programmed death ligand 1 [PD-L1] agents) are unclear.\nMETHODS: We conducted a global phase 3 trial of erdafitinib as compared with chemotherapy in patients with metastatic urothelial carcinoma with susceptible FGFR3/2 alterations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who had progression after one or two previous treatments that included an anti-PD-1 or anti-PD-L1. Patients were randomly assigned in a 1:1 ratio to receive erdafitinib or the investigator's choice of chemotherapy (docetaxel or vinflunine). The primary end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point was overall survival.\nRESULTS: A total of 266 patients underwent randomization: 136 to the erdafitinib group and 130 to the chemotherapy group. The median follow-up was 15.9 months. The median overall survival was significantly longer with erdafiti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0.005). The median progression-free survival was also longer with erdafitinib than with chemotherapy (5.6 months vs. 2.7 m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onths; hazard ratio for progression or death, 0.58; 95% CI, 0.44 to 0.78; P&lt;0.001). The incidence of grade 3 or 4 treatment-related adverse events was similar in the two groups (45.9% in the erdafitinib group and 46.4% in the chemotherapy group). Treatment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-related adverse events that led to death were less common with erdafitinib than with chemotherapy (in 0.7% vs. 5.4% of patients).\nCONCLUSIONS: Erdafitinib therapy resulted in significantly longer overall survival than chemotherapy among patients with met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astatic urothelial carcinoma and FGFR alterations after previous anti-PD-1 or anti-PD-L1 treatment. (Funded by Janssen Research and Development; THOR ClinicalTrials.gov number, NCT03390504.).","container-title":"The New England Journal of Medicine","DOI":"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10.1056/NEJMoa2308849","ISSN":"1533-4406","issue":"21","journalAbbreviation":"N Engl J Med","language":"en-US","note":"PMID: 37870920\nTLDR: Erdafitinib therapy resulted in significantly longer overall survival than chemotherapy among patients with metasta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tic urothelial carcinoma and FGFR alterations after previous anti- PD-1 or anti-PD-L1 treatment.","page":"1961-1971","source":"PubMed","title":"Erdafitinib or Chemotherapy in Advanced or Metastatic Urothelial Carcinoma","volume":"389","author":[{"family":"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Loriot","given":"Yohann"},{"family":"Matsubara","given":"Nobuaki"},{"family":"Park","given":"Se Hoon"},{"family":"Huddart","given":"Robert A."},{"family":"Burgess","given":"Earle F."},{"family":"Houede","given":"Nadine"},{"family":"Banek","given":"Severine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"},{"family":"Guadalupi","given":"Valentina"},{"family":"Ku","given":"Ja Hyeon"},{"family":"Valderrama","given":"Begoña P."},{"family":"Tran","given":"Ben"},{"family":"Triantos","given":"Spyros"},{"family":"Kean","given":"Yin"},{"family":"Akapame","given":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"Sydney"},{"family":"Deprince","given":"Kris"},{"family":"Mukhopadhyay","given":"Sutapa"},{"family":"Stone","given":"Nicole L."},{"family":"Siefker-Radtke","given":"Arlene O."},{"literal":"THOR Cohort 1 Investigators"}],"issued":{"date-parts":[["2023",11,2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3]]}}}],"schema":"https://github.com/citation-style-language/schema/raw/master/csl-citation.json"} </w:instrTex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[1]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397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16"/>
                <w:szCs w:val="16"/>
              </w:rPr>
              <w:t>Subsequent Treatment</w:t>
            </w:r>
          </w:p>
        </w:tc>
      </w:tr>
      <w:tr w:rsidR="007E190E">
        <w:trPr>
          <w:trHeight w:val="397"/>
        </w:trPr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Chemotherapy</w:t>
            </w:r>
          </w:p>
        </w:tc>
        <w:tc>
          <w:tcPr>
            <w:tcW w:w="42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190E" w:rsidRDefault="009313EA">
            <w:pPr>
              <w:ind w:firstLine="36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Gemcitabine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,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100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0mg/m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30 min-infusion, d1, d8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+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 xml:space="preserve"> Paclitaxel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,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 xml:space="preserve"> 175mg/m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, 60 min-infusion, d1, 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q3w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 xml:space="preserve">, with a maximum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of six cycles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ADDIN ZOTERO_ITEM CSL_CITATION {"citationID":"yl0Bu2rr","properties":{"formattedCitation":"\\super [2]\\nosupersub{}","plainCitation":"[2]","noteIndex":0},"citationItems":[{"id":4988,"uris":["http://zotero.org/groups/5650505/items/UFXNBM67"],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"itemData":{"id":4988,"type":"article-journal","abstract":"BACKGROUND: The second-line chemotherapeutic treatment for metastatic urothelial cancer (UC) after failure of cisplatin-based first-line therapy needs to be improved. Based on encouraging phase II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data of gemcitabine and paclitaxel (Taxol) (GP), this trial was designed to compare a short-term (arm A) versus a prolonged (arm B) second-line combination chemotherapy of GP.\nPATIENTS AND METHODS: Of 102 randomized patients, 96 were eligible for analysis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. Primary end point was overall survival (OS). Secondary end points were progression-free survival (PFS), objective response rates (ORR) and toxicity.\nRESULTS: Neither OS [arm A: 7.8 (95% CI: 4.2-11.4), arm B: 8.0 (95% CI: 4.9-11.1) months] and PFS [arm A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: 4.0 (95% CI: 0-8.0), arm B: 3.1 (95% CI: 1.9-4.2) months] nor ORR (arm A: 37.5%, arm B: 41.5%) were significantly different. On prolonged treatment, more patients experienced severe anemia (arm A: 6.7% versus arm B: 26.7% grade III/IV anemia; P = 0.011).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In six patients, treatment was stopped during the first cycle due to disease progression or toxicity. Two patients died due to treatment-related toxic effects.\nCONCLUSION: Due to rapid tumor progression and toxicity at this dosage and schedule in a multi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center setting, it was not feasible to deliver a prolonged regimen. However, a high response rate of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∼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40% makes GP a promising second-line treatment option for patients with metastatic UC.","container-title":"Annals of Oncology: Official Journal of the Eur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opean Society for Medical Oncology","DOI":"10.1093/annonc/mdq398","ISSN":"1569-8041","issue":"2","journalAbbreviation":"Ann Oncol","language":"en","note":"PMID: 20682548\nTLDR: A high response rate of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∼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40% makes GP a promising second-line treatment option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for patients with metastatic UC and due to rapid tumor progression and toxicity at this dosage and schedule in a multicenter setting, it was not feasible to deliver a prolonged regimen.\nremark: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后续治疗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吉西他滨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+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紫杉醇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","page":"288-294","source":"PubMed","title":"Ra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ndomized phase III trial of 2nd line gemcitabine and paclitaxel chemotherapy in patients with advanced bladder cancer: short-term versus prolonged treatment [German Association of Urological Oncology (AUO) trial AB 20/99]","title-short":"Randomized phase I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II trial of 2nd line gemcitabine and paclitaxel chemotherapy in patients with advanced bladder cancer","volume":"22","author":[{"family":"Albers","given":"P."},{"family":"Park","given":"S.-I."},{"family":"Niegisch","given":"G."},{"family":"Fechner","given"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:"G."},{"family":"Steiner","given":"U."},{"family":"Lehmann","given":"J."},{"family":"Heimbach","given":"D."},{"family":"Heidenreich","given":"A."},{"family":"Fimmers","given":"R."},{"family":"Siener","given":"R."},{"literal":"AUO Bladder Cancer Group"}],"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issued":{"date-parts":[["2011",2]]}}}],"schema":"https://github.com/citation-style-language/schema/raw/master/csl-citation.json"}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[2]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397"/>
        </w:trPr>
        <w:tc>
          <w:tcPr>
            <w:tcW w:w="735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ADC</w:t>
            </w:r>
          </w:p>
        </w:tc>
        <w:tc>
          <w:tcPr>
            <w:tcW w:w="4264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7E190E" w:rsidRDefault="009313EA">
            <w:pPr>
              <w:keepNext/>
              <w:ind w:firstLine="36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Enfortumab vedotin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,</w:t>
            </w:r>
            <w:r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1.25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  <w:t>mg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t>/kg, 30 min-infusion, d1, d8, d15, q4w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ADDIN ZOTERO_ITEM CSL_CITATION {"citationID":"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I1CSSFwe","properties":{"formattedCitation":"\\super [3]\\nosupersub{}","plainCitation":"[3]","noteIndex":0},"citationItems":[{"id":4971,"uris":["http://zotero.org/groups/5650505/items/JW89MJB9"],"itemData":{"id":4971,"type":"article-journal","abstract":"B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ACKGROUND: Patients with advanced urothelial carcinoma have poor overall survival after platinum-containing chemotherapy and programmed cell death protein 1 (PD-1) or programmed death ligand 1 (PD-L1) inhibitor treatment.\nMETHODS: We conducted a global, o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pen-label, phase 3 trial of enfortumab vedotin for the treatment of patients with locally advanced or metastatic urothelial carcinoma who had previously received platinum-containing chemotherapy and had had disease progression during or after treatment wit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h a PD-1 or PD-L1 inhibitor. Patients were randomly assigned in a 1:1 ratio to receive enfortumab vedotin (at a dose of 1.25 mg per kilogram of body weight on days 1, 8, and 15 of a 28-day cycle) or investigator-chosen chemotherapy (standard docetaxel, pac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litaxel, or vinflunine), administered on day 1 of a 21-day cycle. The primary end point was overall survival.\nRESULTS: A total of 608 patients underwent randomization; 301 were assigned to receive enfortumab vedotin and 307 to receive chemotherapy. As of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July 15, 2020, a total of 301 deaths had occurred (134 in the enfortumab vedotin group and 167 in the chemotherapy group). At the prespecified interim analysis, the median follow-up was 11.1 months. Overall survival was longer in the enfortumab vedotin gro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up than in the chemotherapy group (median overall survival, 12.88 vs. 8.97 months; hazard ratio for death, 0.70; 95% confidence interval [CI], 0.56 to 0.89; P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0.001). Progression-free survival was also longer in the enfortumab vedotin group than in the c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hemotherapy group (median progression-free survival, 5.55 vs. 3.71 months; hazard ratio for progression or death, 0.62; 95% CI, 0.51 to 0.75; P&lt;0.001). The incidence of treatment-related adverse events was similar in the two groups (93.9% in the enfortumab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vedotin group and 91.8% in the chemotherapy group); the incidence of events of grade 3 or higher was also similar in the two groups (51.4% and 49.8%, respectively).\nCONCLUSIONS: Enfortumab vedotin significantly prolonged survival as compared with standar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d chemotherapy in patients with locally advanced or metastatic urothelial carcinoma who had previously received platinum-based treatment and a PD-1 or PD-L1 inhibitor. (Funded by Astellas Pharma US and Seagen; EV-301 ClinicalTrials.gov number, NCT03474107.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).","container-title":"The New England Journal of Medicine","DOI":"10.1056/NEJMoa2035807","ISSN":"1533-4406","issue":"12","journalAbbreviation":"N Engl J Med","language":"en","note":"PMID: 33577729\nPMCID: PMC8450892\nTLDR: Enfortumab vedotin significantly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prolonged survival as compared with standard chemotherapy in patients with locally advanced or metastatic urothelial carcinoma who had previously received platinum-based treatment and a PD-1 or PD-L1 inhibitor.\nremark: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后续治疗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维恩妥尤单抗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","page":"1125-1135","so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urce":"PubMed","title":"Enfortumab Vedotin in Previously Treated Advanced Urothelial Carcinoma","volume":"384","author":[{"family":"Powles","given":"Thomas"},{"family":"Rosenberg","given":"Jonathan E."},{"family":"Sonpavde","given":"Guru P."},{"family":"Lo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riot","given":"Yohann"},{"family":"Dur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á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>n","given":"Ignacio"},{"family":"Lee","given":"Jae-Lyun"},{"family":"Matsubara","given":"Nobuaki"},{"family":"Vulsteke","given":"Christof"},{"family":"Castellano","given":"Daniel"},{"family":"Wu","given":"Chunzhang"},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instrText xml:space="preserve">{"family":"Campbell","given":"Mary"},{"family":"Matsangou","given":"Maria"},{"family":"Petrylak","given":"Daniel P."}],"issued":{"date-parts":[["2021",3,25]]}}}],"schema":"https://github.com/citation-style-language/schema/raw/master/csl-citation.json"}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[3]</w:t>
            </w:r>
            <w:r>
              <w:rPr>
                <w:rFonts w:ascii="Times New Roman" w:eastAsia="宋体" w:hAnsi="Times New Roman" w:cs="Times New Roman" w:hint="eastAsia"/>
                <w:kern w:val="0"/>
                <w:sz w:val="16"/>
                <w:szCs w:val="16"/>
              </w:rPr>
              <w:fldChar w:fldCharType="end"/>
            </w:r>
          </w:p>
        </w:tc>
      </w:tr>
    </w:tbl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sz w:val="16"/>
          <w:szCs w:val="16"/>
        </w:rPr>
        <w:t xml:space="preserve">ADC: Antibody-drug conjugates; po: Per os; </w:t>
      </w:r>
      <w:r>
        <w:rPr>
          <w:rFonts w:ascii="Times New Roman" w:eastAsia="宋体" w:hAnsi="Times New Roman" w:cs="Times New Roman"/>
          <w:sz w:val="16"/>
          <w:szCs w:val="16"/>
        </w:rPr>
        <w:t>q3w</w:t>
      </w:r>
      <w:r>
        <w:rPr>
          <w:rFonts w:ascii="Times New Roman" w:eastAsia="宋体" w:hAnsi="Times New Roman" w:cs="Times New Roman"/>
          <w:sz w:val="16"/>
          <w:szCs w:val="16"/>
        </w:rPr>
        <w:t xml:space="preserve">: 3 weeks using a; </w:t>
      </w:r>
      <w:r>
        <w:rPr>
          <w:rFonts w:ascii="Times New Roman" w:eastAsia="宋体" w:hAnsi="Times New Roman" w:cs="Times New Roman"/>
          <w:sz w:val="16"/>
          <w:szCs w:val="16"/>
        </w:rPr>
        <w:t>q4w</w:t>
      </w:r>
      <w:r>
        <w:rPr>
          <w:rFonts w:ascii="Times New Roman" w:eastAsia="宋体" w:hAnsi="Times New Roman" w:cs="Times New Roman"/>
          <w:sz w:val="16"/>
          <w:szCs w:val="16"/>
        </w:rPr>
        <w:t>: 4 weeks using a</w:t>
      </w:r>
      <w:r>
        <w:rPr>
          <w:rFonts w:ascii="Times New Roman" w:eastAsia="宋体" w:hAnsi="Times New Roman" w:cs="Times New Roman" w:hint="eastAsia"/>
          <w:sz w:val="16"/>
          <w:szCs w:val="16"/>
        </w:rPr>
        <w:t>.</w:t>
      </w:r>
    </w:p>
    <w:p w:rsidR="007E190E" w:rsidRDefault="007E190E"/>
    <w:p w:rsidR="007E190E" w:rsidRDefault="009313EA">
      <w:r>
        <w:rPr>
          <w:rFonts w:ascii="Times New Roman" w:hAnsi="Times New Roman" w:cs="Times New Roman"/>
          <w:b/>
          <w:bCs/>
          <w:sz w:val="16"/>
          <w:szCs w:val="16"/>
        </w:rPr>
        <w:t>Table S</w:t>
      </w:r>
      <w:r>
        <w:rPr>
          <w:rFonts w:ascii="Times New Roman" w:hAnsi="Times New Roman" w:cs="Times New Roman" w:hint="eastAsia"/>
          <w:b/>
          <w:bCs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黑体" w:hAnsi="Times New Roman" w:cs="Times New Roman"/>
          <w:sz w:val="16"/>
          <w:szCs w:val="16"/>
        </w:rPr>
        <w:t>AIC and BIC values for the fitted distribution of survival curves</w:t>
      </w: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sz w:val="16"/>
          <w:szCs w:val="16"/>
        </w:rPr>
        <w:t>(a) Erdafitinib Group</w:t>
      </w:r>
    </w:p>
    <w:tbl>
      <w:tblPr>
        <w:tblW w:w="4998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894"/>
        <w:gridCol w:w="1761"/>
        <w:gridCol w:w="1771"/>
        <w:gridCol w:w="1761"/>
        <w:gridCol w:w="1771"/>
      </w:tblGrid>
      <w:tr w:rsidR="007E190E">
        <w:trPr>
          <w:trHeight w:val="270"/>
          <w:jc w:val="center"/>
        </w:trPr>
        <w:tc>
          <w:tcPr>
            <w:tcW w:w="1453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  <w:t>Parametric models</w:t>
            </w:r>
          </w:p>
        </w:tc>
        <w:tc>
          <w:tcPr>
            <w:tcW w:w="177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177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16"/>
                <w:szCs w:val="16"/>
              </w:rPr>
              <w:t>PFS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7E190E" w:rsidRDefault="007E190E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AIC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BIC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AIC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BIC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Exponential</w:t>
            </w:r>
          </w:p>
        </w:tc>
        <w:tc>
          <w:tcPr>
            <w:tcW w:w="88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626.3076</w:t>
            </w:r>
          </w:p>
        </w:tc>
        <w:tc>
          <w:tcPr>
            <w:tcW w:w="889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629.2203</w:t>
            </w:r>
          </w:p>
        </w:tc>
        <w:tc>
          <w:tcPr>
            <w:tcW w:w="88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615.2879</w:t>
            </w:r>
          </w:p>
        </w:tc>
        <w:tc>
          <w:tcPr>
            <w:tcW w:w="889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618.2005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Gompertz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626.6679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632.4932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617.0616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622.8869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Gamma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616.3532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622.1785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599.6772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605.5025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Gengamma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617.0559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625.7939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591.3123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600.0503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Weibull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618.7392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624.5646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606.3004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612.1257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Log-logistic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611.5369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617.3622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586.8486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592.6740 </w:t>
            </w:r>
          </w:p>
        </w:tc>
      </w:tr>
      <w:tr w:rsidR="007E190E">
        <w:trPr>
          <w:trHeight w:val="270"/>
          <w:jc w:val="center"/>
        </w:trPr>
        <w:tc>
          <w:tcPr>
            <w:tcW w:w="1453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Log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normal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619.0352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624.8605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589.3124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595.1378</w:t>
            </w:r>
          </w:p>
        </w:tc>
      </w:tr>
    </w:tbl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AIC: Akaike’ s information criterion; BIC: Bayesian information criterion; OS: Overall survival; PFS: Progression-free survival.</w:t>
      </w:r>
    </w:p>
    <w:p w:rsidR="007E190E" w:rsidRDefault="009313EA">
      <w:pPr>
        <w:spacing w:beforeLines="50" w:before="156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(</w:t>
      </w:r>
      <w:r>
        <w:rPr>
          <w:rFonts w:ascii="Times New Roman" w:eastAsia="宋体" w:hAnsi="Times New Roman" w:cs="Times New Roman" w:hint="eastAsia"/>
          <w:sz w:val="16"/>
          <w:szCs w:val="16"/>
        </w:rPr>
        <w:t>b</w:t>
      </w:r>
      <w:r>
        <w:rPr>
          <w:rFonts w:ascii="Times New Roman" w:eastAsia="宋体" w:hAnsi="Times New Roman" w:cs="Times New Roman"/>
          <w:sz w:val="16"/>
          <w:szCs w:val="16"/>
        </w:rPr>
        <w:t>)</w:t>
      </w:r>
      <w:r>
        <w:rPr>
          <w:rFonts w:ascii="Times New Roman" w:eastAsia="宋体" w:hAnsi="Times New Roman" w:cs="Times New Roman" w:hint="eastAsia"/>
          <w:sz w:val="16"/>
          <w:szCs w:val="16"/>
        </w:rPr>
        <w:t xml:space="preserve"> </w:t>
      </w:r>
      <w:r>
        <w:rPr>
          <w:rFonts w:ascii="Times New Roman" w:eastAsia="宋体" w:hAnsi="Times New Roman" w:cs="Times New Roman" w:hint="eastAsia"/>
          <w:sz w:val="16"/>
          <w:szCs w:val="16"/>
        </w:rPr>
        <w:t>Chemotherapy Group</w:t>
      </w:r>
    </w:p>
    <w:tbl>
      <w:tblPr>
        <w:tblW w:w="4999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897"/>
        <w:gridCol w:w="1761"/>
        <w:gridCol w:w="1771"/>
        <w:gridCol w:w="1761"/>
        <w:gridCol w:w="1770"/>
      </w:tblGrid>
      <w:tr w:rsidR="007E190E">
        <w:trPr>
          <w:trHeight w:val="270"/>
          <w:jc w:val="center"/>
        </w:trPr>
        <w:tc>
          <w:tcPr>
            <w:tcW w:w="1454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  <w:t>Parametric models</w:t>
            </w:r>
          </w:p>
        </w:tc>
        <w:tc>
          <w:tcPr>
            <w:tcW w:w="177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177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16"/>
                <w:szCs w:val="16"/>
              </w:rPr>
              <w:t>PFS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7E190E" w:rsidRDefault="007E190E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AIC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BIC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AIC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BIC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Exponential</w:t>
            </w:r>
          </w:p>
        </w:tc>
        <w:tc>
          <w:tcPr>
            <w:tcW w:w="17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571.8044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574.6719</w:t>
            </w:r>
          </w:p>
        </w:tc>
        <w:tc>
          <w:tcPr>
            <w:tcW w:w="17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488.1245</w:t>
            </w: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490.9921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Gompertz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573.1674 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578.9025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488.9271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494.6622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Gamma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573.714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  <w:lang w:bidi="ar"/>
              </w:rPr>
              <w:t>0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579.4490 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485.9415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491.6766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Gengamma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572.8043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581.4069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469.1884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477.7911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lastRenderedPageBreak/>
              <w:t>Weibull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573.8039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579.5390 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488.7396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494.4747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Log-logistic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571.9934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577.7285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472.2233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477.9583</w:t>
            </w:r>
          </w:p>
        </w:tc>
      </w:tr>
      <w:tr w:rsidR="007E190E">
        <w:trPr>
          <w:trHeight w:val="270"/>
          <w:jc w:val="center"/>
        </w:trPr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Log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normal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571.7099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577.4450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469.1194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474.8545</w:t>
            </w:r>
          </w:p>
        </w:tc>
      </w:tr>
    </w:tbl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AIC: Akaike’ s information criterion; BIC: Bayesian information criterion; OS: Overall survival; PFS: Progression-free survival.</w:t>
      </w:r>
    </w:p>
    <w:p w:rsidR="007E190E" w:rsidRDefault="007E190E">
      <w:pPr>
        <w:jc w:val="center"/>
        <w:rPr>
          <w:rFonts w:ascii="Times New Roman" w:eastAsia="宋体" w:hAnsi="Times New Roman" w:cs="Times New Roman"/>
          <w:sz w:val="16"/>
          <w:szCs w:val="16"/>
        </w:rPr>
      </w:pPr>
    </w:p>
    <w:p w:rsidR="007E190E" w:rsidRDefault="009313E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Table S</w:t>
      </w:r>
      <w:r>
        <w:rPr>
          <w:rFonts w:ascii="Times New Roman" w:hAnsi="Times New Roman" w:cs="Times New Roman" w:hint="eastAsia"/>
          <w:b/>
          <w:bCs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 xml:space="preserve"> Remaining parameters of partitioned survival model</w:t>
      </w:r>
    </w:p>
    <w:tbl>
      <w:tblPr>
        <w:tblW w:w="4989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41"/>
        <w:gridCol w:w="1231"/>
        <w:gridCol w:w="1233"/>
        <w:gridCol w:w="1241"/>
        <w:gridCol w:w="1167"/>
        <w:gridCol w:w="1127"/>
      </w:tblGrid>
      <w:tr w:rsidR="007E190E">
        <w:trPr>
          <w:trHeight w:val="23"/>
        </w:trPr>
        <w:tc>
          <w:tcPr>
            <w:tcW w:w="1983" w:type="pct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Variable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Baseline value</w:t>
            </w:r>
          </w:p>
        </w:tc>
        <w:tc>
          <w:tcPr>
            <w:tcW w:w="1244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Range</w:t>
            </w:r>
          </w:p>
        </w:tc>
        <w:tc>
          <w:tcPr>
            <w:tcW w:w="587" w:type="pct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Distribution</w:t>
            </w:r>
          </w:p>
        </w:tc>
        <w:tc>
          <w:tcPr>
            <w:tcW w:w="565" w:type="pct"/>
            <w:vMerge w:val="restart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Reference</w:t>
            </w:r>
          </w:p>
        </w:tc>
      </w:tr>
      <w:tr w:rsidR="007E190E">
        <w:trPr>
          <w:trHeight w:val="23"/>
        </w:trPr>
        <w:tc>
          <w:tcPr>
            <w:tcW w:w="1983" w:type="pct"/>
            <w:vMerge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9" w:type="pct"/>
            <w:vMerge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Minimum</w:t>
            </w:r>
          </w:p>
        </w:tc>
        <w:tc>
          <w:tcPr>
            <w:tcW w:w="62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Maximum</w:t>
            </w:r>
          </w:p>
        </w:tc>
        <w:tc>
          <w:tcPr>
            <w:tcW w:w="587" w:type="pct"/>
            <w:vMerge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pct"/>
            <w:vMerge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E190E">
        <w:trPr>
          <w:trHeight w:val="23"/>
        </w:trPr>
        <w:tc>
          <w:tcPr>
            <w:tcW w:w="5000" w:type="pct"/>
            <w:gridSpan w:val="6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left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Risk of ≥ Grade 3 AEs</w:t>
            </w:r>
          </w:p>
        </w:tc>
      </w:tr>
      <w:tr w:rsidR="007E190E">
        <w:trPr>
          <w:trHeight w:val="23"/>
        </w:trPr>
        <w:tc>
          <w:tcPr>
            <w:tcW w:w="5000" w:type="pct"/>
            <w:gridSpan w:val="6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Erdafitinib Group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Hyperphosphatemia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0.052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0.041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0.062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 xml:space="preserve"> ADDIN ZOTERO_ITEM CSL_CITATION {"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citationID":"wrvroyaj","properties":{"formattedCitation":"\\super [1]\\nosupersub{}","plainCitation":"[1]","noteIndex":0},"citationItems":[{"id":4290,"uris":["http://zotero.org/groups/5650505/items/J8LHI84H"],"itemData":{"id":4290,"type":"article-journal",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"abstract":"BACKGROUND: Erdafitinib is a pan-fibroblast growth factor receptor (FGFR) inhibitor approved for the treatment of locally advanced or metastatic urothelial carcinoma in adults with susceptible FGFR3/2 alterations who have progression after plat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inum-containing chemotherapy. The effects of erdafitinib in patients with FGFR-altered metastatic urothelial carcinoma who have progression during or after treatment with checkpoint inhibitors (anti-programmed cell death protein 1 [PD-1] or anti-programmed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 xml:space="preserve"> death ligand 1 [PD-L1] agents) are unclear.\nMETHODS: We conducted a global phase 3 trial of erdafitinib as compared with chemotherapy in patients with metastatic urothelial carcinoma with susceptible FGFR3/2 alterations who had progression after one or t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wo previous treatments that included an anti-PD-1 or anti-PD-L1. Patients were randomly assigned in a 1:1 ratio to receive erdafitinib or the investigator's choice of chemotherapy (docetaxel or vinflunine). The primary end point was overall survival.\nRESU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LTS: A total of 266 patients underwent randomization: 136 to the erdafitinib group and 130 to the chemotherapy group. The median follow-up was 15.9 months. The median overall survival was significantly longer with erdafitinib than with chemotherapy (12.1 m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onths vs. 7.8 months; hazard ratio for death, 0.64; 95% confidence interval [CI], 0.47 to 0.88; P = 0.005). The median progression-free survival was also longer with erdafitinib than with chemotherapy (5.6 months vs. 2.7 months; hazard ratio for progressio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n or death, 0.58; 95% CI, 0.44 to 0.78; P&lt;0.001). The incidence of grade 3 or 4 treatment-related adverse events was similar in the two groups (45.9% in the erdafitinib group and 46.4% in the chemotherapy group). Treatment-related adverse events that led t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o death were less common with erdafitinib than with chemotherapy (in 0.7% vs. 5.4% of patients).\nCONCLUSIONS: Erdafitinib therapy resulted in significantly longer overall survival than chemotherapy among patients with metastatic urothelial carcinoma and F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GFR alterations after previous anti-PD-1 or anti-PD-L1 treatment. (Funded by Janssen Research and Development; THOR ClinicalTrials.gov number, NCT03390504.).","container-title":"The New England Journal of Medicine","DOI":"10.1056/NEJMoa2308849","ISSN":"153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 xml:space="preserve">3-4406","issue":"21","journalAbbreviation":"N Engl J Med","language":"en-US","note":"PMID: 37870920\nTLDR: Erdafitinib therapy resulted in significantly longer overall survival than chemotherapy among patients with metastatic urothelial carcinoma and FGFR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alterations after previous anti- PD-1 or anti-PD-L1 treatment.","page":"1961-1971","source":"PubMed","title":"Erdafitinib or Chemotherapy in Advanced or Metastatic Urothelial Carcinoma","volume":"389","author":[{"family":"Loriot","given":"Yohann"},{"family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":"Matsubara","given":"Nobuaki"},{"family":"Park","given":"Se Hoon"},{"family":"Huddart","given":"Robert A."},{"family":"Burgess","given":"Earle F."},{"family":"Houede","given":"Nadine"},{"family":"Banek","given":"Severine"},{"family":"Guadalupi","given":"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Valentina"},{"family":"Ku","given":"Ja Hyeon"},{"family":"Valderrama","given":"Begoña P."},{"family":"Tran","given":"Ben"},{"family":"Triantos","given":"Spyros"},{"family":"Kean","given":"Yin"},{"family":"Akapame","given":"Sydney"},{"family":"Deprince","gi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>ven":"Kris"},{"family":"Mukhopadhyay","given":"Sutapa"},{"family":"Stone","given":"Nicole L."},{"family":"Siefker-Radtke","given":"Arlene O."},{"literal":"THOR Cohort 1 Investigators"}],"issued":{"date-parts":[["2023",11,23]]}}}],"schema":"https://github.c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instrText xml:space="preserve">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Stomatitis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0.081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0.065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0.098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{"citationID":"Z9dcw5Ti","properties":{"formattedCitation":"\\super [1]\\nosupersub{}","plainCitation":"[1]","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noteIndex":0},"citationItems":[{"id":4290,"uris":["http://zotero.org/groups/5650505/items/J8LHI84H"],"itemData":{"id":4290,"type":"article-journal","abstract":"BACKGROUND: Erdafitinib is a pan-fibroblast growth factor receptor (FGFR) inhibitor approved for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the treatment of locally advanced or metastatic urothelial carcinoma in adults with susceptible FGFR3/2 alterations who have progression after platinum-containing chemotherapy. The effects of erdafitinib in patients with FGFR-altered metastatic urothelial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carcinoma who have progression during or after treatment with checkpoint inhibitors (anti-programmed cell death protein 1 [PD-1] or anti-programmed death ligand 1 [PD-L1] agents) are unclear.\nMETHODS: We conducted a global phase 3 trial of erdafitinib as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compared with chemotherapy in patients with metastatic urothelial carcinoma with susceptible FGFR3/2 alterations who had progression after one or two previous treatments that included an anti-PD-1 or anti-PD-L1. Patients were randomly assigned in a 1:1 ra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tio to receive erdafitinib or the investigator's choice of chemotherapy (docetaxel or vinflunine). The primary end point was overall survival.\nRESULTS: A total of 266 patients underwent randomization: 136 to the erdafitinib group and 130 to the chemothera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py group. The median follow-up was 15.9 months. The median overall survival was significantly longer with erdafitinib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0.005).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The median progression-free survival was also longer with erdafitinib than with chemotherapy (5.6 months vs. 2.7 months; hazard ratio for progression or death, 0.58; 95% CI, 0.44 to 0.78; P&lt;0.001). The incidence of grade 3 or 4 treatment-related adverse ev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ents was similar in the two groups (45.9% in the erdafitinib group and 46.4% in the chemotherapy group). Treatment-related adverse events that led to death were less common with erdafitinib than with chemotherapy (in 0.7% vs. 5.4% of patients).\nCONCLUSION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S: Erdafitinib therapy resulted in significantly longer overall survival than chemotherapy among patients with metastatic urothelial carcinoma and FGFR alterations after previous anti-PD-1 or anti-PD-L1 treatment. (Funded by Janssen Research and Developmen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t; THOR ClinicalTrials.gov number, NCT03390504.).","container-title":"The New England Journal of Medicine","DOI":"10.1056/NEJMoa2308849","ISSN":"1533-4406","issue":"21","journalAbbreviation":"N Engl J Med","language":"en-US","note":"PMID: 37870920\nTLDR: 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rdafitinib therapy resulted in significantly longer overall survival than chemotherapy among patients with metastatic urothelial carcinoma and FGFR alterations after previous anti- PD-1 or anti-PD-L1 treatment.","page":"1961-1971","source":"PubMed","title"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:"Erdafitinib or Chemotherapy in Advanced or Metastatic Urothelial Carcinoma","volume":"389","author":[{"family":"Loriot","given":"Yohann"},{"family":"Matsubara","given":"Nobuaki"},{"family":"Park","given":"Se Hoon"},{"family":"Huddart","given":"Robert A."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},{"family":"Burgess","given":"Earle F."},{"family":"Houede","given":"Nadine"},{"family":"Banek","given":"Severine"},{"family":"Guadalupi","given":"Valentina"},{"family":"Ku","given":"Ja Hyeon"},{"family":"Valderrama","given":"Begoña P."},{"family":"Tran",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"given":"Ben"},{"family":"Triantos","given":"Spyros"},{"family":"Kean","given":"Yin"},{"family":"Akapame","given":"Sydney"},{"family":"Deprince","given":"Kris"},{"family":"Mukhopadhyay","given":"Sutapa"},{"family":"Stone","given":"Nicole L."},{"family":"Si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efker-Radtke","given":"Arlene O."},{"literal":"THOR Cohort 1 Investigators"}],"issued":{"date-parts":[["2023",11,23]]}}}],"schema":"https://github.com/citation-style-language/schema/raw/master/csl-citation.json"}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Palmar-Plantar Erythrodysesthesia S</w:t>
            </w: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yndrome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0.096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0.077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0.116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{"citationID":"9EVdIUvU","properties":{"formattedCitation":"\\super [1]\\nosupersub{}","plainCitation":"[1]","noteIndex":0},"citationItems":[{"id":4290,"uris":["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http://zotero.org/groups/5650505/items/J8LHI84H"],"itemData":{"id":4290,"type":"article-journal","abstract":"BACKGROUND: Erdafitinib is a pan-fibroblast growth factor receptor (FGFR) inhibitor approved for the treatment of locally advanced or metastatic ur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othelial carcinoma in adults with susceptible FGFR3/2 alterations who have progression after platinum-containing chemotherapy. The effects of erdafitinib in patients with FGFR-altered metastatic urothelial carcinoma who have progression during or after tre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atment with checkpoint inhibitors (anti-programmed cell death protein 1 [PD-1] or anti-programmed death ligand 1 [PD-L1] agents) are unclear.\nMETHODS: We conducted a global phase 3 trial of erdafitinib as compared with chemotherapy in patients with metast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atic urothelial carcinoma with susceptible FGFR3/2 alterations who had progression after one or two previous treatments that included an anti-PD-1 or anti-PD-L1. Patients were randomly assigned in a 1:1 ratio to receive erdafitinib or the investigator's ch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oice of chemotherapy (docetaxel or vinflunine). The primary end point was overall survival.\nRESULTS: A total of 266 patients underwent randomization: 136 to the erdafitinib group and 130 to the chemotherapy group. The median follow-up was 15.9 months. The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median overall survival was significantly longer with erdafitinib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0.005). The median progression-free survival was also longe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r with erdafitinib than with chemotherapy (5.6 months vs. 2.7 months; hazard ratio for progression or death, 0.58; 95% CI, 0.44 to 0.78; P&lt;0.001). The incidence of grade 3 or 4 treatment-related adverse events was similar in the two groups (45.9% in the er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dafitinib group and 46.4% in the chemotherapy group). Treatment-related adverse events that led to death were less common with erdafitinib than with chemotherapy (in 0.7% vs. 5.4% of patients).\nCONCLUSIONS: Erdafitinib therapy resulted in significantly lo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nger overall survival than chemotherapy among patients with metastatic urothelial carcinoma and FGFR alterations after previous anti-PD-1 or anti-PD-L1 treatment. (Funded by Janssen Research and Development; THOR ClinicalTrials.gov number, NCT03390504.).",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"container-title":"The New England Journal of Medicine","DOI":"10.1056/NEJMoa2308849","ISSN":"1533-4406","issue":"21","journalAbbreviation":"N Engl J Med","language":"en-US","note":"PMID: 37870920\nTLDR: Erdafitinib therapy resulted in significantly longer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overall survival than chemotherapy among patients with metastatic urothelial carcinoma and FGFR alterations after previous anti- PD-1 or anti-PD-L1 treatment.","page":"1961-1971","source":"PubMed","title":"Erdafitinib or Chemotherapy in Advanced or Metast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atic Urothelial Carcinoma","volume":"389","author":[{"family":"Loriot","given":"Yohann"},{"family":"Matsubara","given":"Nobuaki"},{"family":"Park","given":"Se Hoon"},{"family":"Huddart","given":"Robert A."},{"family":"Burgess","given":"Earle F."},{"family"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:"Houede","given":"Nadine"},{"family":"Banek","given":"Severine"},{"family":"Guadalupi","given":"Valentina"},{"family":"Ku","given":"Ja Hyeon"},{"family":"Valderrama","given":"Begoña P."},{"family":"Tran","given":"Ben"},{"family":"Triantos","given":"Spyros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"},{"family":"Kean","given":"Yin"},{"family":"Akapame","given":"Sydney"},{"family":"Deprince","given":"Kris"},{"family":"Mukhopadhyay","given":"Sutapa"},{"family":"Stone","given":"Nicole L."},{"family":"Siefker-Radtke","given":"Arlene O."},{"literal":"THOR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Cohort 1 Investigators"}],"issued":{"date-parts":[["2023",11,23]]}}}],"schema":"https://github.com/citation-style-language/schema/raw/master/csl-citation.json"}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Onycholysis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0.059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0.047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0.071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Lch0yXhh","properties":{"formattedCitation":"\\super [1]\\nosupersub{}","plainCitation":"[1]","noteIndex":0},"citationItems":[{"id":4290,"uris":["http://zotero.org/groups/5650505/items/J8LHI84H"],"itemData":{"id":4290,"type":"article-journal","abstract":"B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ACKGROUND: Erdafitinib is a pan-fibroblast growth factor receptor (FGFR) inhibitor approved for the treatment of locally advanced or metastatic urothelial carcinoma in adults with susceptible FGFR3/2 alterations who have progression after platinum-containi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ng chemotherapy. The effects of erdafitinib in patients with FGFR-altered metastatic urothelial carcinoma who have progression during or after treatment with checkpoint inhibitors (anti-programmed cell death protein 1 [PD-1] or anti-programmed death ligand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1 [PD-L1] agents) are unclear.\nMETHODS: We conducted a global phase 3 trial of erdafitinib as compared with chemotherapy in patients with metastatic urothelial carcinoma with susceptible FGFR3/2 alterations who had progression after one or two previous 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reatments that included an anti-PD-1 or anti-PD-L1. Patients were randomly assigned in a 1:1 ratio to receive erdafitinib or the investigator's choice of chemotherapy (docetaxel or vinflunine). The primary end point was overall survival.\nRESULTS: A total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of 266 patients underwent randomization: 136 to the erdafitinib group and 130 to the chemotherapy group. The median follow-up was 15.9 months. The median overall survival was significantly longer with erdafitinib than with chemotherapy (12.1 months vs. 7.8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0.005). The median progression-free survival was also longer with erdafitinib than with chemotherapy (5.6 months vs. 2.7 months; hazard ratio for progression or death, 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.58; 95% CI, 0.44 to 0.78; P&lt;0.001). The incidence of grade 3 or 4 treatment-related adverse events was similar in the two groups (45.9% in the erdafitinib group and 46.4% in the chemotherapy group). Treatment-related adverse events that led to death were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less common with erdafitinib than with chemotherapy (in 0.7% vs. 5.4% of patients).\nCONCLUSIONS: Erdafitinib therapy resulted in significantly longer overall survival than chemotherapy among patients with metastatic urothelial carcinoma and FGFR alteratio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ns after previous anti-PD-1 or anti-PD-L1 treatment. (Funded by Janssen Research and Development; THOR ClinicalTrials.gov number, NCT03390504.).","container-title":"The New England Journal of Medicine","DOI":"10.1056/NEJMoa2308849","ISSN":"1533-4406","issu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e":"21","journalAbbreviation":"N Engl J Med","language":"en-US","note":"PMID: 37870920\nTLDR: Erdafitinib therapy resulted in significantly longer overall survival than chemotherapy among patients with metastatic urothelial carcinoma and FGFR alterations 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fter previous anti- PD-1 or anti-PD-L1 treatment.","page":"1961-1971","source":"PubMed","title":"Erdafitinib or Chemotherapy in Advanced or Metastatic Urothelial Carcinoma","volume":"389","author":[{"family":"Loriot","given":"Yohann"},{"family":"Matsubara"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,"given":"Nobuaki"},{"family":"Park","given":"Se Hoon"},{"family":"Huddart","given":"Robert A."},{"family":"Burgess","given":"Earle F."},{"family":"Houede","given":"Nadine"},{"family":"Banek","given":"Severine"},{"family":"Guadalupi","given":"Valentina"},{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"family":"Ku","given":"Ja Hyeon"},{"family":"Valderrama","given":"Begoña P."},{"family":"Tran","given":"Ben"},{"family":"Triantos","given":"Spyros"},{"family":"Kean","given":"Yin"},{"family":"Akapame","given":"Sydney"},{"family":"Deprince","given":"Kris"},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{"family":"Mukhopadhyay","given":"Sutapa"},{"family":"Stone","given":"Nicole L."},{"family":"Siefker-Radtke","given":"Arlene O."},{"literal":"THOR Cohort 1 Investigators"}],"issued":{"date-parts":[["2023",11,23]]}}}],"schema":"https://github.com/citation-s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Chemotherapy Group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Anemia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0.063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0.050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0.075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{"citationID":"ep44HdKx","properties":{"formattedCitation":"\\super [1]\\nosupersub{}","plainCitation":"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[1]","noteIndex":0},"citationItems":[{"id":4290,"uris":["http://zotero.org/groups/5650505/items/J8LHI84H"],"itemData":{"id":4290,"type":"article-journal","abstract":"BACKGROUND: Erdafitinib is a pan-fibroblast growth factor receptor (FGFR) inhibitor approv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ed for the treatment of locally advanced or metastatic urothelial carcinoma in adults with susceptible FGFR3/2 alterations who have progression after platinum-containing chemotherapy. The effects of erdafitinib in patients with FGFR-altered metastatic urot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helial carcinoma who have progression during or after treatment with checkpoint inhibitors (anti-programmed cell death protein 1 [PD-1] or anti-programmed death ligand 1 [PD-L1] agents) are unclear.\nMETHODS: We conducted a global phase 3 trial of erdafiti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nib as compared with chemotherapy in patients with metastatic urothelial carcinoma with susceptible FGFR3/2 alterations who had progression after one or two previous treatments that included an anti-PD-1 or anti-PD-L1. Patients were randomly assigned in a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1:1 ratio to receive erdafitinib or the investigator's choice of chemotherapy (docetaxel or vinflunine). The primary end point was overall survival.\nRESULTS: A total of 266 patients underwent randomization: 136 to the erdafitinib group and 130 to the chem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otherapy group. The median follow-up was 15.9 months. The median overall survival was significantly longer with erdafitinib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005). The median progression-free survival was also longer with erdafitinib than with chemotherapy (5.6 months vs. 2.7 months; hazard ratio for progression or death, 0.58; 95% CI, 0.44 to 0.78; P&lt;0.001). The incidence of grade 3 or 4 treatment-related adve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rse events was similar in the two groups (45.9% in the erdafitinib group and 46.4% in the chemotherapy group). Treatment-related adverse events that led to death were less common with erdafitinib than with chemotherapy (in 0.7% vs. 5.4% of patients).\nCONC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LUSIONS: Erdafitinib therapy resulted in significantly longer overall survival than chemotherapy among patients with metastatic urothelial carcinoma and FGFR alterations after previous anti-PD-1 or anti-PD-L1 treatment. (Funded by Janssen Research and Deve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lopment; THOR ClinicalTrials.gov number, NCT03390504.).","container-title":"The New England Journal of Medicine","DOI":"10.1056/NEJMoa2308849","ISSN":"1533-4406","issue":"21","journalAbbreviation":"N Engl J Med","language":"en-US","note":"PMID: 37870920\nT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LDR: Erdafitinib therapy resulted in significantly longer overall survival than chemotherapy among patients with metastatic urothelial carcinoma and FGFR alterations after previous anti- PD-1 or anti-PD-L1 treatment.","page":"1961-1971","source":"PubMed","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title":"Erdafitinib or Chemotherapy in Advanced or Metastatic Urothelial Carcinoma","volume":"389","author":[{"family":"Loriot","given":"Yohann"},{"family":"Matsubara","given":"Nobuaki"},{"family":"Park","given":"Se Hoon"},{"family":"Huddart","given":"Robe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rt A."},{"family":"Burgess","given":"Earle F."},{"family":"Houede","given":"Nadine"},{"family":"Banek","given":"Severine"},{"family":"Guadalupi","given":"Valentina"},{"family":"Ku","given":"Ja Hyeon"},{"family":"Valderrama","given":"Begoña P."},{"family":"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Tran","given":"Ben"},{"family":"Triantos","given":"Spyros"},{"family":"Kean","given":"Yin"},{"family":"Akapame","given":"Sydney"},{"family":"Deprince","given":"Kris"},{"family":"Mukhopadhyay","given":"Sutapa"},{"family":"Stone","given":"Nicole L."},{"famil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y":"Siefker-Radtke","given":"Arlene O."},{"literal":"THOR Cohort 1 Investigators"}],"issued":{"date-parts":[["2023",11,23]]}}}],"schema":"https://github.com/citation-style-language/schema/raw/master/csl-citation.json"}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Neutropenia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0.134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0.107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0.161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{"citationID":"jogVt0sK","properties":{"formattedCitation":"\\super [1]\\nosupersub{}","plainCitation":"[1]","noteIndex":0},"citationItems":[{"id":4290,"uris":["http://zotero.org/groups/5650505/items/J8LHI84H"],"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itemData":{"id":4290,"type":"article-journal","abstract":"BACKGROUND: Erdafitinib is a pan-fibroblast growth factor receptor (FGFR) inhibitor approved for the treatment of locally advanced or metastatic urothelial carcinoma in adults with susceptible FGFR3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/2 alterations who have progression after platinum-containing chemotherapy. The effects of erdafitinib in patients with FGFR-altered metastatic urothelial carcinoma who have progression during or after treatment with checkpoint inhibitors (anti-programmed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cell death protein 1 [PD-1] or anti-programmed death ligand 1 [PD-L1] agents) are unclear.\nMETHODS: We conducted a global phase 3 trial of erdafitinib as compared with chemotherapy in patients with metastatic urothelial carcinoma with susceptible FGFR3/2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alterations who had progression after one or two previous treatments that included an anti-PD-1 or anti-PD-L1. Patients were randomly assigned in a 1:1 ratio to receive erdafitinib or the investigator's choice of chemotherapy (docetaxel or vinflunine). The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primary end point was overall survival.\nRESULTS: A total of 266 patients underwent randomization: 136 to the erdafitinib group and 130 to the chemotherapy group. The median follow-up was 15.9 months. The median overall survival was significantly longer w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ith erdafitinib than with chemotherapy (12.1 months vs. 7.8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0.005). The median progression-free survival was also longer with erdafitinib than with chemotherapy (5.6 mont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hs vs. 2.7 months; hazard ratio for progression or death, 0.58; 95% CI, 0.44 to 0.78; P&lt;0.001). The incidence of grade 3 or 4 treatment-related adverse events was similar in the two groups (45.9% in the erdafitinib group and 46.4% in the chemotherapy group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). Treatment-related adverse events that led to death were less common with erdafitinib than with chemotherapy (in 0.7% vs. 5.4% of patients).\nCONCLUSIONS: Erdafitinib therapy resulted in significantly longer overall survival than chemotherapy among patie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nts with metastatic urothelial carcinoma and FGFR alterations after previous anti-PD-1 or anti-PD-L1 treatment. (Funded by Janssen Research and Development; THOR ClinicalTrials.gov number, NCT03390504.).","container-title":"The New England Journal of Medic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ine","DOI":"10.1056/NEJMoa2308849","ISSN":"1533-4406","issue":"21","journalAbbreviation":"N Engl J Med","language":"en-US","note":"PMID: 37870920\nTLDR: Erdafitinib therapy resulted in significantly longer overall survival than chemotherapy among patients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with metastatic urothelial carcinoma and FGFR alterations after previous anti- PD-1 or anti-PD-L1 treatment.","page":"1961-1971","source":"PubMed","title":"Erdafitinib or Chemotherapy in Advanced or Metastatic Urothelial Carcinoma","volume":"389","author":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[{"family":"Loriot","given":"Yohann"},{"family":"Matsubara","given":"Nobuaki"},{"family":"Park","given":"Se Hoon"},{"family":"Huddart","given":"Robert A."},{"family":"Burgess","given":"Earle F."},{"family":"Houede","given":"Nadine"},{"family":"Banek","give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n":"Severine"},{"family":"Guadalupi","given":"Valentina"},{"family":"Ku","given":"Ja Hyeon"},{"family":"Valderrama","given":"Begoña P."},{"family":"Tran","given":"Ben"},{"family":"Triantos","given":"Spyros"},{"family":"Kean","given":"Yin"},{"family":"Akapa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me","given":"Sydney"},{"family":"Deprince","given":"Kris"},{"family":"Mukhopadhyay","given":"Sutapa"},{"family":"Stone","given":"Nicole L."},{"family":"Siefker-Radtke","given":"Arlene O."},{"literal":"THOR Cohort 1 Investigators"}],"issued":{"date-parts":[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["2023",11,23]]}}}],"schema":"https://github.com/citation-style-language/schema/raw/master/csl-citation.json"}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5000" w:type="pct"/>
            <w:gridSpan w:val="6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  <w:t>S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  <w:t>ubsequent-line Therapy Proportion</w:t>
            </w:r>
          </w:p>
        </w:tc>
      </w:tr>
      <w:tr w:rsidR="007E190E">
        <w:trPr>
          <w:trHeight w:val="23"/>
        </w:trPr>
        <w:tc>
          <w:tcPr>
            <w:tcW w:w="5000" w:type="pct"/>
            <w:gridSpan w:val="6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Erdafitinib Group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BSC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0.676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0.541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0.812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iJykyRRk","properties":{"formattedCitation":"\\super [1]\\nosupersub{}","plainCitation":"[1]","noteIndex":0},"citationItems":[{"id":4290,"uris":["http://zotero.org/groups/5650505/items/J8LHI84H"],"itemData":{"id":4290,"type":"article-journal","abstract":"B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ACKGROUND: Erdafitinib is a pan-fibroblast growth factor receptor (FGFR) inhibitor approved for the treatment of locally advanced or metastatic urothelial carcinoma in adults with susceptible FGFR3/2 alterations who have progression after platinum-containi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ng chemotherapy. The effects of erdafitinib in patients with FGFR-altered metastatic urothelial carcinoma who have progression during or after treatment with checkpoint inhibitors (anti-programmed cell death protein 1 [PD-1] or anti-programmed death ligand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1 [PD-L1] agents) are unclear.\nMETHODS: We conducted a global phase 3 trial of erdafitinib as compared with chemotherapy in patients with metastatic urothelial carcinoma with susceptible FGFR3/2 alterations who had progression after one or two previous 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reatments that included an anti-PD-1 or anti-PD-L1. Patients were randomly assigned in a 1:1 ratio to receive erdafitinib or the investigator's choice of chemotherapy (docetaxel or vinflunine). The primary end point was overall survival.\nRESULTS: A total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of 266 patients underwent randomization: 136 to the erdafitinib group and 130 to the chemotherapy group. The median follow-up was 15.9 months. The median overall survival was significantly longer with erdafitinib than with chemotherapy (12.1 months vs. 7.8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months; hazard ratio for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0.005). The median progression-free survival was also longer with erdafitinib than with chemotherapy (5.6 months vs. 2.7 months; hazard ratio for progression or death, 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.58; 95% CI, 0.44 to 0.78; P&lt;0.001). The incidence of grade 3 or 4 treatment-related adverse events was similar in the two groups (45.9% in the erdafitinib group and 46.4% in the chemotherapy group). Treatment-related adverse events that led to death were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less common with erdafitinib than with chemotherapy (in 0.7% vs. 5.4% of patients).\nCONCLUSIONS: Erdafitinib therapy resulted in significantly longer overall survival than chemotherapy among patients with metastatic urothelial carcinoma and FGFR alteratio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ns after previous anti-PD-1 or anti-PD-L1 treatment. (Funded by Janssen Research and Development; THOR ClinicalTrials.gov number, NCT03390504.).","container-title":"The New England Journal of Medicine","DOI":"10.1056/NEJMoa2308849","ISSN":"1533-4406","issu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e":"21","journalAbbreviation":"N Engl J Med","language":"en-US","note":"PMID: 37870920\nTLDR: Erdafitinib therapy resulted in significantly longer overall survival than chemotherapy among patients with metastatic urothelial carcinoma and FGFR alterations 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fter previous anti- PD-1 or anti-PD-L1 treatment.","page":"1961-1971","source":"PubMed","title":"Erdafitinib or Chemotherapy in Advanced or Metastatic Urothelial Carcinoma","volume":"389","author":[{"family":"Loriot","given":"Yohann"},{"family":"Matsubara"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,"given":"Nobuaki"},{"family":"Park","given":"Se Hoon"},{"family":"Huddart","given":"Robert A."},{"family":"Burgess","given":"Earle F."},{"family":"Houede","given":"Nadine"},{"family":"Banek","given":"Severine"},{"family":"Guadalupi","given":"Valentina"},{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"family":"Ku","given":"Ja Hyeon"},{"family":"Valderrama","given":"Begoña P."},{"family":"Tran","given":"Ben"},{"family":"Triantos","given":"Spyros"},{"family":"Kean","given":"Yin"},{"family":"Akapame","given":"Sydney"},{"family":"Deprince","given":"Kris"},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{"family":"Mukhopadhyay","given":"Sutapa"},{"family":"Stone","given":"Nicole L."},{"family":"Siefker-Radtke","given":"Arlene O."},{"literal":"THOR Cohort 1 Investigators"}],"issued":{"date-parts":[["2023",11,23]]}}}],"schema":"https://github.com/citation-s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Chemotherapy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0.162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-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t>Assumption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ADC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0.162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-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t>Assumption</w:t>
            </w:r>
          </w:p>
        </w:tc>
      </w:tr>
      <w:tr w:rsidR="007E190E">
        <w:trPr>
          <w:trHeight w:val="23"/>
        </w:trPr>
        <w:tc>
          <w:tcPr>
            <w:tcW w:w="5000" w:type="pct"/>
            <w:gridSpan w:val="6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Chemotherapy Group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BSC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0.631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0.505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0.757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Beta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{"citationID":"ZpSBkqaR","properties":{"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formattedCitation":"\\super [1]\\nosupersub{}","plainCitation":"[1]","noteIndex":0},"citationItems":[{"id":4290,"uris":["http://zotero.org/groups/5650505/items/J8LHI84H"],"itemData":{"id":4290,"type":"article-journal","abstract":"BACKGROUND: Erdafitinib is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 pan-fibroblast growth factor receptor (FGFR) inhibitor approved for the treatment of locally advanced or metastatic urothelial carcinoma in adults with susceptible FGFR3/2 alterations who have progression after platinum-containing chemotherapy. The effe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cts of erdafitinib in patients with FGFR-altered metastatic urothelial carcinoma who have progression during or after treatment with checkpoint inhibitors (anti-programmed cell death protein 1 [PD-1] or anti-programmed death ligand 1 [PD-L1] agents) are un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clear.\nMETHODS: We conducted a global phase 3 trial of erdafitinib as compared with chemotherapy in patients with metastatic urothelial carcinoma with susceptible FGFR3/2 alterations who had progression after one or two previous treatments that included 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 anti-PD-1 or anti-PD-L1. Patients were randomly assigned in a 1:1 ratio to receive erdafitinib or the investigator's choice of chemotherapy (docetaxel or vinflunine). The primary end point was overall survival.\nRESULTS: A total of 266 patients underwent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randomization: 136 to the erdafitinib group and 130 to the chemotherapy group. The median follow-up was 15.9 months. The median overall survival was significantly longer with erdafitinib than with chemotherapy (12.1 months vs. 7.8 months; hazard ratio for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death, 0.64; 95% confidence interval [CI], 0.47 to 0.88; P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=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 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0.005). The median progression-free survival was also longer with erdafitinib than with chemotherapy (5.6 months vs. 2.7 months; hazard ratio for progression or death, 0.58; 95% CI, 0.44 to 0.78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; P&lt;0.001). The incidence of grade 3 or 4 treatment-related adverse events was similar in the two groups (45.9% in the erdafitinib group and 46.4% in the chemotherapy group). Treatment-related adverse events that led to death were less common with erdafiti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nib than with chemotherapy (in 0.7% vs. 5.4% of patients).\nCONCLUSIONS: Erdafitinib therapy resulted in significantly longer overall survival than chemotherapy among patients with metastatic urothelial carcinoma and FGFR alterations after previous anti-PD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-1 or anti-PD-L1 treatment. (Funded by Janssen Research and Development; THOR ClinicalTrials.gov number, NCT03390504.).","container-title":"The New England Journal of Medicine","DOI":"10.1056/NEJMoa2308849","ISSN":"1533-4406","issue":"21","journalAbbreviat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ion":"N Engl J Med","language":"en-US","note":"PMID: 37870920\nTLDR: Erdafitinib therapy resulted in significantly longer overall survival than chemotherapy among patients with metastatic urothelial carcinoma and FGFR alterations after previous anti- PD-1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or anti-PD-L1 treatment.","page":"1961-1971","source":"PubMed","title":"Erdafitinib or Chemotherapy in Advanced or Metastatic Urothelial Carcinoma","volume":"389","author":[{"family":"Loriot","given":"Yohann"},{"family":"Matsubara","given":"Nobuaki"},{"fam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ily":"Park","given":"Se Hoon"},{"family":"Huddart","given":"Robert A."},{"family":"Burgess","given":"Earle F."},{"family":"Houede","given":"Nadine"},{"family":"Banek","given":"Severine"},{"family":"Guadalupi","given":"Valentina"},{"family":"Ku","given":"Ja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Hyeon"},{"family":"Valderrama","given":"Begoña P."},{"family":"Tran","given":"Ben"},{"family":"Triantos","given":"Spyros"},{"family":"Kean","given":"Yin"},{"family":"Akapame","given":"Sydney"},{"family":"Deprince","given":"Kris"},{"family":"Mukhopadhyay",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"given":"Sutapa"},{"family":"Stone","given":"Nicole L."},{"family":"Siefker-Radtke","given":"Arlene O."},{"literal":"THOR Cohort 1 Investigators"}],"issued":{"date-parts":[["2023",11,23]]}}}],"schema":"https://github.com/citation-style-language/schema/raw/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[1]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Chemotherapy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0.185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-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t>Assumption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ind w:firstLineChars="100" w:firstLine="160"/>
              <w:jc w:val="left"/>
              <w:textAlignment w:val="center"/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sz w:val="16"/>
                <w:szCs w:val="16"/>
              </w:rPr>
              <w:t>ADC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0.185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-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-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t>Assumption</w:t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Height in the U.S., m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1.714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1.371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2.057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{"citationID":"Xsc4RuTe","properties":{"formattedCitation":"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\\super [4]\\nosupersub{}","plainCitation":"[4]","noteIndex":0},"citationItems":[{"id":5163,"uris":["http://zotero.org/groups/5650505/items/J73FT3FL"],"itemData":{"id":5163,"type":"webpage","abstract":"FastStats is an official application from the Centers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for Disease Control and Prevention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’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s (CDC) National Center for Health Statistics (NCHS) and puts access to topic-specific statistics at your fingertips.","language":"en-us","title":"Body Measurements","URL":"https://www.cdc.gov/nchs/fastats/body-measuremen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ts.htm","author":[{"family":"National Center for Health Statistics","given":""}],"accessed":{"date-parts":[["2025",3,5]]},"issued":{"date-parts":[["2023",10,1]]}}}],"schema":"https://github.com/citation-style-language/schema/raw/master/csl-citation.json"}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[4]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Height in China., m</w:t>
            </w:r>
          </w:p>
        </w:tc>
        <w:tc>
          <w:tcPr>
            <w:tcW w:w="61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1.662 </w:t>
            </w:r>
          </w:p>
        </w:tc>
        <w:tc>
          <w:tcPr>
            <w:tcW w:w="62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1.330 </w:t>
            </w:r>
          </w:p>
        </w:tc>
        <w:tc>
          <w:tcPr>
            <w:tcW w:w="624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1.994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{"citationID":"gREez7F8","properties":{"formattedCitation":"\\super [5]\\nosupersub{}","plainCitation":"[5]","noteIndex":0},"citationItems":[{"id":5166,"uris":["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http://zotero.org/groups/5650505/items/PZVLVVSI"],"itemData":{"id":5166,"type":"article-journal","abstract":"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国务院新闻办公室于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12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月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23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日举行新闻发布会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邀请国家卫生健康委副主任李斌等领导和专家介绍《中国居民营养与慢性病状况报告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(2020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)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》有关情况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并答记者问。现将有关内容摘录刊登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以期为促进我国居民合理膳食、加强慢性病防控、实现健康中国战略目标提供指导性意见。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","container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-title":"Acta Nutrimenta Sinica","issue":"6","language":"en","note":"download: 51381\nalbum: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医药卫生科技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\nCLC: R151.42;R195.4\ndbcode: CJFQ\ndbname: CJFDLAST2021\nfilename: YYXX202006003","page":"521","source":"CNKI","title":"Status of nutrition and chronic dis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eases in China(2020)","volume":"42","issued":{"date-parts":[["2020"]]}}}],"schema":"https://github.com/citation-style-language/schema/raw/master/csl-citation.json"}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[5]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Weight in the U.S., kg</w:t>
            </w:r>
          </w:p>
        </w:tc>
        <w:tc>
          <w:tcPr>
            <w:tcW w:w="123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80.000 </w:t>
            </w:r>
          </w:p>
        </w:tc>
        <w:tc>
          <w:tcPr>
            <w:tcW w:w="123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64.000 </w:t>
            </w:r>
          </w:p>
        </w:tc>
        <w:tc>
          <w:tcPr>
            <w:tcW w:w="124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96.000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{"citationID":"uIz6NY1I","properties":{"formattedCitation":"\\super [4]\\nosupersub{}","plainCitation":"[4]","noteIndex":0},"citationItems":[{"id":5163,"uris":["http://zotero.org/groups/5650505/items/J73FT3FL"],"itemData":{"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id":5163,"type":"webpage","abstract":"FastStats is an official application from the Centers for Disease Control and Prevention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’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s (CDC) National Center for Health Statistics (NCHS) and puts access to topic-specific statistics at your fingertips.","language"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:"en-us","title":"Body Measurements","URL":"https://www.cdc.gov/nchs/fastats/body-measurements.htm","author":[{"family":"National Center for Health Statistics","given":""}],"accessed":{"date-parts":[["2025",3,5]]},"issued":{"date-parts":[["2023",10,1]]}}}]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[4]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16"/>
                <w:szCs w:val="16"/>
                <w:lang w:bidi="ar"/>
              </w:rPr>
              <w:t>Weight in China., kg</w:t>
            </w:r>
          </w:p>
        </w:tc>
        <w:tc>
          <w:tcPr>
            <w:tcW w:w="123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65.000 </w:t>
            </w:r>
          </w:p>
        </w:tc>
        <w:tc>
          <w:tcPr>
            <w:tcW w:w="123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52.000 </w:t>
            </w:r>
          </w:p>
        </w:tc>
        <w:tc>
          <w:tcPr>
            <w:tcW w:w="124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78.000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{"citationID":"b2oWPlDY","properties":{"formattedCitation":"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\\super [5]\\nosupersub{}","plainCitation":"[5]","noteIndex":0},"citationItems":[{"id":5166,"uris":["http://zotero.org/groups/5650505/items/PZVLVVSI"],"itemData":{"id":5166,"type":"article-journal","abstract":"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国务院新闻办公室于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12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月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23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日举行新闻发布会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邀请国家卫生健康委副主任李斌等领导和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专家介绍《中国居民营养与慢性病状况报告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(2020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)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》有关情况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并答记者问。现将有关内容摘录刊登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以期为促进我国居民合理膳食、加强慢性病防控、实现健康中国战略目标提供指导性意见。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","container-title":"Acta Nutrimenta Sinica","issue":"6","language":"en","note":"download: 51381\nalbum: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医药卫生科技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\nCLC: R151.42;R195.4\ndbcode: CJFQ\ndbname: CJFDLAST202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1\nfilename: YYXX202006003","page":"521","source":"CNKI","title":"Status of nutrition and chronic diseases in China(2020)","volume":"42","issued":{"date-parts":[["2020"]]}}}],"schema":"https://github.com/citation-style-language/schema/raw/master/csl-citati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[5]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font21"/>
                <w:rFonts w:ascii="Times New Roman" w:eastAsia="宋体" w:hAnsi="Times New Roman" w:cs="Times New Roman"/>
                <w:sz w:val="16"/>
                <w:szCs w:val="16"/>
                <w:lang w:bidi="ar"/>
              </w:rPr>
              <w:t xml:space="preserve">BSA in the </w:t>
            </w:r>
            <w:r>
              <w:rPr>
                <w:rStyle w:val="font21"/>
                <w:rFonts w:ascii="Times New Roman" w:eastAsia="宋体" w:hAnsi="Times New Roman" w:cs="Times New Roman"/>
                <w:sz w:val="16"/>
                <w:szCs w:val="16"/>
                <w:lang w:bidi="ar"/>
              </w:rPr>
              <w:t>U.S.</w:t>
            </w:r>
            <w:r>
              <w:rPr>
                <w:rStyle w:val="font21"/>
                <w:rFonts w:ascii="Times New Roman" w:eastAsia="宋体" w:hAnsi="Times New Roman" w:cs="Times New Roman"/>
                <w:sz w:val="16"/>
                <w:szCs w:val="16"/>
                <w:lang w:bidi="ar"/>
              </w:rPr>
              <w:t>, m</w:t>
            </w:r>
            <w:r>
              <w:rPr>
                <w:rStyle w:val="font51"/>
                <w:rFonts w:ascii="Times New Roman" w:eastAsia="宋体" w:hAnsi="Times New Roman" w:cs="Times New Roman"/>
                <w:sz w:val="16"/>
                <w:szCs w:val="16"/>
                <w:lang w:bidi="ar"/>
              </w:rPr>
              <w:t>2</w:t>
            </w:r>
          </w:p>
        </w:tc>
        <w:tc>
          <w:tcPr>
            <w:tcW w:w="123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1.917 </w:t>
            </w:r>
          </w:p>
        </w:tc>
        <w:tc>
          <w:tcPr>
            <w:tcW w:w="123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1.533 </w:t>
            </w:r>
          </w:p>
        </w:tc>
        <w:tc>
          <w:tcPr>
            <w:tcW w:w="124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2.300 </w:t>
            </w:r>
          </w:p>
        </w:tc>
        <w:tc>
          <w:tcPr>
            <w:tcW w:w="587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112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{"citationID":"KHDnbj9t","properties":{"formattedCitation":"\\super [4]\\nosupersub{}","plainCitation":"[4]","noteIndex":0},"citationItems":[{"id":5163,"uris"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:["http://zotero.org/groups/5650505/items/J73FT3FL"],"itemData":{"id":5163,"type":"webpage","abstract":"FastStats is an official application from the Centers for Disease Control and Prevention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’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s (CDC) National Center for Health Statistics (NCHS) and puts a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ccess to topic-specific statistics at your fingertips.","language":"en-us","title":"Body Measurements","URL":"https://www.cdc.gov/nchs/fastats/body-measurements.htm","author":[{"family":"National Center for Health Statistics","given":""}],"accessed":{"date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-parts":[["2025",3,5]]},"issued":{"date-parts":[["2023",10,1]]}}}],"schema":"https://github.com/citation-style-language/schema/raw/master/csl-citation.json"}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[4]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  <w:tr w:rsidR="007E190E">
        <w:trPr>
          <w:trHeight w:val="23"/>
        </w:trPr>
        <w:tc>
          <w:tcPr>
            <w:tcW w:w="1983" w:type="pct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font21"/>
                <w:rFonts w:ascii="Times New Roman" w:eastAsia="宋体" w:hAnsi="Times New Roman" w:cs="Times New Roman"/>
                <w:sz w:val="16"/>
                <w:szCs w:val="16"/>
                <w:lang w:bidi="ar"/>
              </w:rPr>
              <w:t>BSA in China, m</w:t>
            </w:r>
            <w:r>
              <w:rPr>
                <w:rStyle w:val="font51"/>
                <w:rFonts w:ascii="Times New Roman" w:eastAsia="宋体" w:hAnsi="Times New Roman" w:cs="Times New Roman"/>
                <w:sz w:val="16"/>
                <w:szCs w:val="16"/>
                <w:lang w:bidi="ar"/>
              </w:rPr>
              <w:t>2</w:t>
            </w:r>
          </w:p>
        </w:tc>
        <w:tc>
          <w:tcPr>
            <w:tcW w:w="1231" w:type="dxa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1.693 </w:t>
            </w:r>
          </w:p>
        </w:tc>
        <w:tc>
          <w:tcPr>
            <w:tcW w:w="1233" w:type="dxa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1.354 </w:t>
            </w:r>
          </w:p>
        </w:tc>
        <w:tc>
          <w:tcPr>
            <w:tcW w:w="1241" w:type="dxa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 xml:space="preserve">2.031 </w:t>
            </w:r>
          </w:p>
        </w:tc>
        <w:tc>
          <w:tcPr>
            <w:tcW w:w="587" w:type="pct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  <w:lang w:bidi="ar"/>
              </w:rPr>
              <w:t>Gamma</w:t>
            </w:r>
          </w:p>
        </w:tc>
        <w:tc>
          <w:tcPr>
            <w:tcW w:w="1127" w:type="dxa"/>
            <w:tcBorders>
              <w:top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7E190E" w:rsidRDefault="009313EA">
            <w:pPr>
              <w:jc w:val="center"/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 ADDIN ZOTERO_ITEM CSL_CITATION {"citationID":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"QIzQJtd8","properties":{"formattedCitation":"\\super [5]\\nosupersub{}","plainCitation":"[5]","noteIndex":0},"citationItems":[{"id":5166,"uris":["http://zotero.org/groups/5650505/items/PZVLVVSI"],"itemData":{"id":5166,"type":"article-journal","abstract":"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国务院新闻办公室于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12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月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23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日举行新闻发布会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邀请国家卫生健康委副主任李斌等领导和专家介绍《中国居民营养与慢性病状况报告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(2020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年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)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》有关情况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并答记者问。现将有关内容摘录刊登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,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以期为促进我国居民合理膳食、加强慢性病防控、实现健康中国战略目标提供指导性意见。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","container-title":"Acta Nutrimenta Sinica","issue":"6","language":"en","note":"download: 51381\nalbum: 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医药卫生科技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\nCLC: R15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>1.42;R195.4\ndbcode: CJFQ\ndbname: CJFDLAST2021\nfilename: YYXX202006003","page":"521","source":"CNKI","title":"Status of nutrition and chronic diseases in China(2020)","volume":"42","issued":{"date-parts":[["2020"]]}}}],"schema":"https://github.com/citati</w:instrText>
            </w:r>
            <w:r>
              <w:rPr>
                <w:rFonts w:ascii="Times New Roman" w:eastAsia="宋体" w:hAnsi="Times New Roman" w:cs="Times New Roman" w:hint="eastAsia"/>
                <w:color w:val="000000"/>
                <w:sz w:val="16"/>
                <w:szCs w:val="16"/>
              </w:rPr>
              <w:instrText xml:space="preserve">on-style-language/schema/raw/master/csl-citation.json"} </w:instrTex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24"/>
                <w:vertAlign w:val="superscript"/>
              </w:rPr>
              <w:t>[5]</w:t>
            </w:r>
            <w:r>
              <w:rPr>
                <w:rFonts w:ascii="Times New Roman" w:eastAsia="宋体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7E190E" w:rsidRDefault="009313E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 w:hint="eastAsia"/>
          <w:sz w:val="16"/>
          <w:szCs w:val="16"/>
        </w:rPr>
        <w:t xml:space="preserve">ADC: Antibody-drug conjugates; </w:t>
      </w:r>
      <w:r>
        <w:rPr>
          <w:rFonts w:ascii="Times New Roman" w:hAnsi="Times New Roman" w:cs="Times New Roman"/>
          <w:sz w:val="16"/>
          <w:szCs w:val="16"/>
        </w:rPr>
        <w:t>AE: Adverse event; BSA: Body surface area; BSC: Best supportive care</w:t>
      </w:r>
      <w:r>
        <w:rPr>
          <w:rFonts w:ascii="Times New Roman" w:hAnsi="Times New Roman" w:cs="Times New Roman" w:hint="eastAsia"/>
          <w:sz w:val="16"/>
          <w:szCs w:val="16"/>
        </w:rPr>
        <w:t>.</w:t>
      </w:r>
    </w:p>
    <w:p w:rsidR="007E190E" w:rsidRDefault="007E190E">
      <w:pPr>
        <w:rPr>
          <w:rFonts w:ascii="Times New Roman" w:hAnsi="Times New Roman" w:cs="Times New Roman"/>
          <w:sz w:val="16"/>
          <w:szCs w:val="16"/>
        </w:rPr>
      </w:pPr>
    </w:p>
    <w:p w:rsidR="007E190E" w:rsidRDefault="009313E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Table S</w:t>
      </w:r>
      <w:r>
        <w:rPr>
          <w:rFonts w:ascii="Times New Roman" w:hAnsi="Times New Roman" w:cs="Times New Roman" w:hint="eastAsia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sz w:val="16"/>
          <w:szCs w:val="16"/>
        </w:rPr>
        <w:t xml:space="preserve"> Cost-</w:t>
      </w:r>
      <w:r>
        <w:rPr>
          <w:rFonts w:ascii="Times New Roman" w:hAnsi="Times New Roman" w:cs="Times New Roman" w:hint="eastAsia"/>
          <w:sz w:val="16"/>
          <w:szCs w:val="16"/>
        </w:rPr>
        <w:t>e</w:t>
      </w:r>
      <w:r>
        <w:rPr>
          <w:rFonts w:ascii="Times New Roman" w:hAnsi="Times New Roman" w:cs="Times New Roman"/>
          <w:sz w:val="16"/>
          <w:szCs w:val="16"/>
        </w:rPr>
        <w:t xml:space="preserve">ffectiveness </w:t>
      </w:r>
      <w:r>
        <w:rPr>
          <w:rFonts w:ascii="Times New Roman" w:hAnsi="Times New Roman" w:cs="Times New Roman" w:hint="eastAsia"/>
          <w:sz w:val="16"/>
          <w:szCs w:val="16"/>
        </w:rPr>
        <w:t>a</w:t>
      </w:r>
      <w:r>
        <w:rPr>
          <w:rFonts w:ascii="Times New Roman" w:hAnsi="Times New Roman" w:cs="Times New Roman"/>
          <w:sz w:val="16"/>
          <w:szCs w:val="16"/>
        </w:rPr>
        <w:t xml:space="preserve">nalysis </w:t>
      </w:r>
      <w:r>
        <w:rPr>
          <w:rFonts w:ascii="Times New Roman" w:hAnsi="Times New Roman" w:cs="Times New Roman" w:hint="eastAsia"/>
          <w:sz w:val="16"/>
          <w:szCs w:val="16"/>
        </w:rPr>
        <w:t>r</w:t>
      </w:r>
      <w:r>
        <w:rPr>
          <w:rFonts w:ascii="Times New Roman" w:hAnsi="Times New Roman" w:cs="Times New Roman"/>
          <w:sz w:val="16"/>
          <w:szCs w:val="16"/>
        </w:rPr>
        <w:t xml:space="preserve">esults in </w:t>
      </w:r>
      <w:r>
        <w:rPr>
          <w:rFonts w:ascii="Times New Roman" w:hAnsi="Times New Roman" w:cs="Times New Roman" w:hint="eastAsia"/>
          <w:sz w:val="16"/>
          <w:szCs w:val="16"/>
        </w:rPr>
        <w:t>s</w:t>
      </w:r>
      <w:r>
        <w:rPr>
          <w:rFonts w:ascii="Times New Roman" w:hAnsi="Times New Roman" w:cs="Times New Roman"/>
          <w:sz w:val="16"/>
          <w:szCs w:val="16"/>
        </w:rPr>
        <w:t xml:space="preserve">cenario </w:t>
      </w:r>
      <w:r>
        <w:rPr>
          <w:rFonts w:ascii="Times New Roman" w:hAnsi="Times New Roman" w:cs="Times New Roman" w:hint="eastAsia"/>
          <w:sz w:val="16"/>
          <w:szCs w:val="16"/>
        </w:rPr>
        <w:t>a</w:t>
      </w:r>
      <w:r>
        <w:rPr>
          <w:rFonts w:ascii="Times New Roman" w:hAnsi="Times New Roman" w:cs="Times New Roman"/>
          <w:sz w:val="16"/>
          <w:szCs w:val="16"/>
        </w:rPr>
        <w:t>nalysis</w:t>
      </w:r>
    </w:p>
    <w:tbl>
      <w:tblPr>
        <w:tblW w:w="4997" w:type="pct"/>
        <w:tblLook w:val="04A0" w:firstRow="1" w:lastRow="0" w:firstColumn="1" w:lastColumn="0" w:noHBand="0" w:noVBand="1"/>
      </w:tblPr>
      <w:tblGrid>
        <w:gridCol w:w="1630"/>
        <w:gridCol w:w="811"/>
        <w:gridCol w:w="811"/>
        <w:gridCol w:w="465"/>
        <w:gridCol w:w="757"/>
        <w:gridCol w:w="881"/>
        <w:gridCol w:w="675"/>
        <w:gridCol w:w="967"/>
        <w:gridCol w:w="1010"/>
        <w:gridCol w:w="963"/>
        <w:gridCol w:w="986"/>
      </w:tblGrid>
      <w:tr w:rsidR="007E190E">
        <w:trPr>
          <w:trHeight w:val="225"/>
        </w:trPr>
        <w:tc>
          <w:tcPr>
            <w:tcW w:w="81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Strategies</w:t>
            </w:r>
          </w:p>
        </w:tc>
        <w:tc>
          <w:tcPr>
            <w:tcW w:w="40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Cost</w:t>
            </w:r>
          </w:p>
        </w:tc>
        <w:tc>
          <w:tcPr>
            <w:tcW w:w="40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 xml:space="preserve">Incr 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Cost</w:t>
            </w:r>
          </w:p>
        </w:tc>
        <w:tc>
          <w:tcPr>
            <w:tcW w:w="2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LYs</w:t>
            </w:r>
          </w:p>
        </w:tc>
        <w:tc>
          <w:tcPr>
            <w:tcW w:w="38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Incr LYs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ICER/LY</w:t>
            </w:r>
          </w:p>
        </w:tc>
        <w:tc>
          <w:tcPr>
            <w:tcW w:w="3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QALYs</w:t>
            </w:r>
          </w:p>
        </w:tc>
        <w:tc>
          <w:tcPr>
            <w:tcW w:w="48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Incr QALYs</w:t>
            </w:r>
          </w:p>
        </w:tc>
        <w:tc>
          <w:tcPr>
            <w:tcW w:w="50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ICER/QALY</w:t>
            </w:r>
          </w:p>
        </w:tc>
        <w:tc>
          <w:tcPr>
            <w:tcW w:w="48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NHB/QALY</w:t>
            </w:r>
          </w:p>
        </w:tc>
        <w:tc>
          <w:tcPr>
            <w:tcW w:w="4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NMB/QALY</w:t>
            </w:r>
          </w:p>
        </w:tc>
      </w:tr>
      <w:tr w:rsidR="007E190E">
        <w:trPr>
          <w:trHeight w:val="210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US Payers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7E190E">
        <w:trPr>
          <w:trHeight w:val="210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>Chemotherapy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156136.55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1.42 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1.08 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7E190E">
        <w:trPr>
          <w:trHeight w:val="210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>Erdafitinib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471219.85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315083.30 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1.68 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0.27 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1182176.57 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1.31 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0.22 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1418329.62 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-1.88 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-281760.66 </w:t>
            </w:r>
          </w:p>
        </w:tc>
      </w:tr>
      <w:tr w:rsidR="007E190E">
        <w:trPr>
          <w:trHeight w:val="210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4"/>
                <w:szCs w:val="14"/>
                <w:lang w:bidi="ar"/>
              </w:rPr>
              <w:t>Chinese Payers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7E190E">
        <w:trPr>
          <w:trHeight w:val="210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>Chemotherapy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27583.11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1.42 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1.04 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190E" w:rsidRDefault="007E190E">
            <w:pPr>
              <w:jc w:val="right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7E190E">
        <w:trPr>
          <w:trHeight w:val="225"/>
        </w:trPr>
        <w:tc>
          <w:tcPr>
            <w:tcW w:w="81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>Erdafitinib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68791.21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41208.10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1.68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0.27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154610.72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1.26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0.22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187151.85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-0.80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7E190E" w:rsidRDefault="009313EA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  <w:lang w:bidi="ar"/>
              </w:rPr>
              <w:t xml:space="preserve">-32327.14 </w:t>
            </w:r>
          </w:p>
        </w:tc>
      </w:tr>
    </w:tbl>
    <w:p w:rsidR="007E190E" w:rsidRDefault="009313E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ICER: Incremental cost-effectiveness ratio; Incr: Incremental;</w:t>
      </w:r>
      <w:r>
        <w:rPr>
          <w:rFonts w:ascii="Times New Roman" w:hAnsi="Times New Roman" w:cs="Times New Roman" w:hint="eastAsia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LY: Life-year; </w:t>
      </w:r>
      <w:r>
        <w:rPr>
          <w:rFonts w:ascii="Times New Roman" w:hAnsi="Times New Roman" w:cs="Times New Roman" w:hint="eastAsia"/>
          <w:sz w:val="16"/>
          <w:szCs w:val="16"/>
        </w:rPr>
        <w:t xml:space="preserve">NHB: Net health benefit; NMB: Net monetary benefit; </w:t>
      </w:r>
      <w:r>
        <w:rPr>
          <w:rFonts w:ascii="Times New Roman" w:hAnsi="Times New Roman" w:cs="Times New Roman"/>
          <w:sz w:val="16"/>
          <w:szCs w:val="16"/>
        </w:rPr>
        <w:t xml:space="preserve">QALY: </w:t>
      </w:r>
      <w:r>
        <w:rPr>
          <w:rFonts w:ascii="Times New Roman" w:hAnsi="Times New Roman" w:cs="Times New Roman"/>
          <w:sz w:val="16"/>
          <w:szCs w:val="16"/>
        </w:rPr>
        <w:t>Quality-adjusted life-year</w:t>
      </w:r>
      <w:r>
        <w:rPr>
          <w:rFonts w:ascii="Times New Roman" w:hAnsi="Times New Roman" w:cs="Times New Roman" w:hint="eastAsia"/>
          <w:sz w:val="16"/>
          <w:szCs w:val="16"/>
        </w:rPr>
        <w:t>.</w:t>
      </w:r>
    </w:p>
    <w:p w:rsidR="007E190E" w:rsidRDefault="007E190E">
      <w:pPr>
        <w:rPr>
          <w:sz w:val="16"/>
          <w:szCs w:val="16"/>
        </w:rPr>
      </w:pPr>
    </w:p>
    <w:p w:rsidR="007E190E" w:rsidRDefault="007E190E">
      <w:pPr>
        <w:rPr>
          <w:sz w:val="16"/>
          <w:szCs w:val="16"/>
        </w:rPr>
      </w:pP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>Figure</w:t>
      </w:r>
    </w:p>
    <w:p w:rsidR="007E190E" w:rsidRDefault="009313EA">
      <w:pPr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bCs/>
          <w:sz w:val="16"/>
          <w:szCs w:val="16"/>
        </w:rPr>
        <w:t>Fig</w:t>
      </w: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.</w:t>
      </w:r>
      <w:r>
        <w:rPr>
          <w:rFonts w:ascii="Times New Roman" w:eastAsia="宋体" w:hAnsi="Times New Roman" w:cs="Times New Roman"/>
          <w:b/>
          <w:bCs/>
          <w:sz w:val="16"/>
          <w:szCs w:val="16"/>
        </w:rPr>
        <w:t xml:space="preserve"> S1</w:t>
      </w:r>
      <w:r>
        <w:rPr>
          <w:rFonts w:ascii="Times New Roman" w:eastAsia="宋体" w:hAnsi="Times New Roman" w:cs="Times New Roman"/>
          <w:sz w:val="16"/>
          <w:szCs w:val="16"/>
        </w:rPr>
        <w:t xml:space="preserve"> Schematic diagram of three state partitioned survival model.</w:t>
      </w:r>
    </w:p>
    <w:p w:rsidR="007E190E" w:rsidRDefault="009313E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114300" distR="114300">
            <wp:extent cx="1840230" cy="1475105"/>
            <wp:effectExtent l="0" t="0" r="7620" b="1270"/>
            <wp:docPr id="1" name="图片 1" descr="三状态模型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三状态模型示意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0E" w:rsidRDefault="009313EA">
      <w:pPr>
        <w:jc w:val="center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PD: Progressed disease; PFS: Progression-free survival.</w:t>
      </w:r>
    </w:p>
    <w:p w:rsidR="007E190E" w:rsidRDefault="007E190E">
      <w:pPr>
        <w:rPr>
          <w:rFonts w:ascii="Times New Roman" w:eastAsia="宋体" w:hAnsi="Times New Roman" w:cs="Times New Roman"/>
          <w:sz w:val="16"/>
          <w:szCs w:val="16"/>
        </w:rPr>
      </w:pP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b/>
          <w:bCs/>
          <w:sz w:val="16"/>
          <w:szCs w:val="16"/>
        </w:rPr>
        <w:t>Fig</w:t>
      </w: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.</w:t>
      </w:r>
      <w:r>
        <w:rPr>
          <w:rFonts w:ascii="Times New Roman" w:eastAsia="宋体" w:hAnsi="Times New Roman" w:cs="Times New Roman"/>
          <w:b/>
          <w:bCs/>
          <w:sz w:val="16"/>
          <w:szCs w:val="16"/>
        </w:rPr>
        <w:t xml:space="preserve"> S</w:t>
      </w: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2</w:t>
      </w:r>
      <w:r>
        <w:rPr>
          <w:rFonts w:ascii="Times New Roman" w:eastAsia="宋体" w:hAnsi="Times New Roman" w:cs="Times New Roman" w:hint="eastAsia"/>
          <w:sz w:val="16"/>
          <w:szCs w:val="16"/>
        </w:rPr>
        <w:t xml:space="preserve"> Comparison of original and reconstructed survival curves</w:t>
      </w: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sz w:val="16"/>
          <w:szCs w:val="16"/>
        </w:rPr>
        <w:t>(a) OS</w:t>
      </w:r>
    </w:p>
    <w:p w:rsidR="007E190E" w:rsidRDefault="009313EA">
      <w:pPr>
        <w:jc w:val="center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noProof/>
          <w:sz w:val="16"/>
          <w:szCs w:val="16"/>
        </w:rPr>
        <w:drawing>
          <wp:inline distT="0" distB="0" distL="114300" distR="114300">
            <wp:extent cx="3762375" cy="2447925"/>
            <wp:effectExtent l="0" t="0" r="0" b="0"/>
            <wp:docPr id="3" name="图片 3" descr="OS拟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OS拟合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(</w:t>
      </w:r>
      <w:r>
        <w:rPr>
          <w:rFonts w:ascii="Times New Roman" w:eastAsia="宋体" w:hAnsi="Times New Roman" w:cs="Times New Roman" w:hint="eastAsia"/>
          <w:sz w:val="16"/>
          <w:szCs w:val="16"/>
        </w:rPr>
        <w:t>b</w:t>
      </w:r>
      <w:r>
        <w:rPr>
          <w:rFonts w:ascii="Times New Roman" w:eastAsia="宋体" w:hAnsi="Times New Roman" w:cs="Times New Roman"/>
          <w:sz w:val="16"/>
          <w:szCs w:val="16"/>
        </w:rPr>
        <w:t>)</w:t>
      </w:r>
      <w:r>
        <w:rPr>
          <w:rFonts w:ascii="Times New Roman" w:eastAsia="宋体" w:hAnsi="Times New Roman" w:cs="Times New Roman" w:hint="eastAsia"/>
          <w:sz w:val="16"/>
          <w:szCs w:val="16"/>
        </w:rPr>
        <w:t xml:space="preserve"> </w:t>
      </w:r>
      <w:r>
        <w:rPr>
          <w:rFonts w:ascii="Times New Roman" w:eastAsia="宋体" w:hAnsi="Times New Roman" w:cs="Times New Roman" w:hint="eastAsia"/>
          <w:sz w:val="16"/>
          <w:szCs w:val="16"/>
        </w:rPr>
        <w:t>PFS</w:t>
      </w:r>
    </w:p>
    <w:p w:rsidR="007E190E" w:rsidRDefault="009313EA">
      <w:pPr>
        <w:jc w:val="center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noProof/>
          <w:sz w:val="16"/>
          <w:szCs w:val="16"/>
        </w:rPr>
        <w:drawing>
          <wp:inline distT="0" distB="0" distL="114300" distR="114300">
            <wp:extent cx="3757930" cy="2447925"/>
            <wp:effectExtent l="0" t="0" r="4445" b="0"/>
            <wp:docPr id="4" name="图片 4" descr="PFS拟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PFS拟合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793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0E" w:rsidRDefault="007E190E">
      <w:pPr>
        <w:jc w:val="center"/>
        <w:rPr>
          <w:rFonts w:ascii="Times New Roman" w:eastAsia="宋体" w:hAnsi="Times New Roman" w:cs="Times New Roman"/>
          <w:sz w:val="16"/>
          <w:szCs w:val="16"/>
        </w:rPr>
      </w:pPr>
    </w:p>
    <w:p w:rsidR="007E190E" w:rsidRDefault="009313EA">
      <w:pPr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b/>
          <w:bCs/>
          <w:sz w:val="16"/>
          <w:szCs w:val="16"/>
        </w:rPr>
        <w:lastRenderedPageBreak/>
        <w:t>Fig</w:t>
      </w: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.</w:t>
      </w:r>
      <w:r>
        <w:rPr>
          <w:rFonts w:ascii="Times New Roman" w:eastAsia="宋体" w:hAnsi="Times New Roman" w:cs="Times New Roman"/>
          <w:b/>
          <w:bCs/>
          <w:sz w:val="16"/>
          <w:szCs w:val="16"/>
        </w:rPr>
        <w:t xml:space="preserve"> S</w:t>
      </w: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3</w:t>
      </w:r>
      <w:r>
        <w:rPr>
          <w:rFonts w:ascii="Times New Roman" w:eastAsia="宋体" w:hAnsi="Times New Roman" w:cs="Times New Roman" w:hint="eastAsia"/>
          <w:sz w:val="16"/>
          <w:szCs w:val="16"/>
        </w:rPr>
        <w:t xml:space="preserve"> Probabilistic scatter plot of the ICER</w:t>
      </w:r>
    </w:p>
    <w:p w:rsidR="007E190E" w:rsidRDefault="009313EA">
      <w:pPr>
        <w:ind w:left="425" w:hanging="425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sz w:val="16"/>
          <w:szCs w:val="16"/>
        </w:rPr>
        <w:t>(a) U.S.</w:t>
      </w:r>
    </w:p>
    <w:p w:rsidR="007E190E" w:rsidRDefault="009313EA">
      <w:pPr>
        <w:jc w:val="center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noProof/>
          <w:sz w:val="16"/>
          <w:szCs w:val="16"/>
        </w:rPr>
        <w:drawing>
          <wp:inline distT="0" distB="0" distL="114300" distR="114300">
            <wp:extent cx="3761740" cy="2351405"/>
            <wp:effectExtent l="0" t="0" r="635" b="1270"/>
            <wp:docPr id="5" name="图片 5" descr="后线治疗ADC+化疗 MC ICE Scatterplot(U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后线治疗ADC+化疗 MC ICE Scatterplot(US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0E" w:rsidRDefault="009313EA">
      <w:pPr>
        <w:ind w:left="425" w:hanging="425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 w:hint="eastAsia"/>
          <w:sz w:val="16"/>
          <w:szCs w:val="16"/>
        </w:rPr>
        <w:t>(b) China</w:t>
      </w:r>
    </w:p>
    <w:p w:rsidR="007E190E" w:rsidRDefault="009313EA">
      <w:pPr>
        <w:ind w:left="425" w:hanging="425"/>
        <w:jc w:val="center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noProof/>
          <w:sz w:val="16"/>
          <w:szCs w:val="16"/>
        </w:rPr>
        <w:drawing>
          <wp:inline distT="0" distB="0" distL="114300" distR="114300">
            <wp:extent cx="3761740" cy="2351405"/>
            <wp:effectExtent l="0" t="0" r="635" b="1270"/>
            <wp:docPr id="6" name="图片 6" descr="后线治疗ADC+化疗 MC ICE Scatterplot(Chin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后线治疗ADC+化疗 MC ICE Scatterplot(China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0E" w:rsidRDefault="007E190E">
      <w:pPr>
        <w:ind w:left="425" w:hanging="425"/>
        <w:jc w:val="center"/>
        <w:rPr>
          <w:rFonts w:ascii="Times New Roman" w:eastAsia="宋体" w:hAnsi="Times New Roman" w:cs="Times New Roman"/>
          <w:b/>
          <w:bCs/>
          <w:sz w:val="16"/>
          <w:szCs w:val="16"/>
        </w:rPr>
      </w:pP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b/>
          <w:bCs/>
          <w:sz w:val="16"/>
          <w:szCs w:val="16"/>
        </w:rPr>
      </w:pPr>
      <w:r>
        <w:rPr>
          <w:rFonts w:ascii="Times New Roman" w:eastAsia="宋体" w:hAnsi="Times New Roman" w:cs="Times New Roman" w:hint="eastAsia"/>
          <w:b/>
          <w:bCs/>
          <w:sz w:val="16"/>
          <w:szCs w:val="16"/>
        </w:rPr>
        <w:t>Reference</w:t>
      </w: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[1]</w:t>
      </w:r>
      <w:r>
        <w:rPr>
          <w:rFonts w:ascii="Times New Roman" w:eastAsia="宋体" w:hAnsi="Times New Roman" w:cs="Times New Roman"/>
          <w:sz w:val="16"/>
          <w:szCs w:val="16"/>
        </w:rPr>
        <w:tab/>
        <w:t>Loriot Y, Matsubara N, Park S H, et al. Erdafitinib or Chemotherapy in Advanced or Metastatic</w:t>
      </w:r>
      <w:r>
        <w:rPr>
          <w:rFonts w:ascii="Times New Roman" w:eastAsia="宋体" w:hAnsi="Times New Roman" w:cs="Times New Roman"/>
          <w:sz w:val="16"/>
          <w:szCs w:val="16"/>
        </w:rPr>
        <w:t xml:space="preserve"> Urothelial Carcinoma[J]. The New England Journal of Medicine, 2023, 389(21): 1961-1971.</w:t>
      </w: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[2]</w:t>
      </w:r>
      <w:r>
        <w:rPr>
          <w:rFonts w:ascii="Times New Roman" w:eastAsia="宋体" w:hAnsi="Times New Roman" w:cs="Times New Roman"/>
          <w:sz w:val="16"/>
          <w:szCs w:val="16"/>
        </w:rPr>
        <w:tab/>
        <w:t xml:space="preserve">Albers P, Park S I, Niegisch G, et al. Randomized phase III trial of 2nd line gemcitabine and paclitaxel chemotherapy in patients with advanced bladder cancer: </w:t>
      </w:r>
      <w:r>
        <w:rPr>
          <w:rFonts w:ascii="Times New Roman" w:eastAsia="宋体" w:hAnsi="Times New Roman" w:cs="Times New Roman"/>
          <w:sz w:val="16"/>
          <w:szCs w:val="16"/>
        </w:rPr>
        <w:t>short-term versus prolonged treatment [German Association of Urological Oncology (AUO) trial AB 20/99][J]. Annals of Oncology: Official Journal of the European Society for Medical Oncology, 2011, 22(2): 288-294.</w:t>
      </w: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[3]</w:t>
      </w:r>
      <w:r>
        <w:rPr>
          <w:rFonts w:ascii="Times New Roman" w:eastAsia="宋体" w:hAnsi="Times New Roman" w:cs="Times New Roman"/>
          <w:sz w:val="16"/>
          <w:szCs w:val="16"/>
        </w:rPr>
        <w:tab/>
        <w:t>Powles T, Rosenberg J E, Sonpavde G P, e</w:t>
      </w:r>
      <w:r>
        <w:rPr>
          <w:rFonts w:ascii="Times New Roman" w:eastAsia="宋体" w:hAnsi="Times New Roman" w:cs="Times New Roman"/>
          <w:sz w:val="16"/>
          <w:szCs w:val="16"/>
        </w:rPr>
        <w:t>t al. Enfortumab Vedotin in Previously Treated Advanced Urothelial Carcinoma[J]. The New England Journal of Medicine, 2021, 384(12): 1125-1135.</w:t>
      </w: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[4]</w:t>
      </w:r>
      <w:r>
        <w:rPr>
          <w:rFonts w:ascii="Times New Roman" w:eastAsia="宋体" w:hAnsi="Times New Roman" w:cs="Times New Roman"/>
          <w:sz w:val="16"/>
          <w:szCs w:val="16"/>
        </w:rPr>
        <w:tab/>
        <w:t xml:space="preserve">National Center for Health Statistics. Body Measurements[EB/OL]. (2023-10-01)[2025-03-05]. </w:t>
      </w:r>
      <w:r>
        <w:rPr>
          <w:rFonts w:ascii="Times New Roman" w:eastAsia="宋体" w:hAnsi="Times New Roman" w:cs="Times New Roman"/>
          <w:sz w:val="16"/>
          <w:szCs w:val="16"/>
        </w:rPr>
        <w:t>https://www.cdc.gov/nchs/fastats/body-measurements.htm.</w:t>
      </w:r>
    </w:p>
    <w:p w:rsidR="007E190E" w:rsidRDefault="009313EA">
      <w:pPr>
        <w:ind w:left="425" w:hanging="425"/>
        <w:jc w:val="left"/>
        <w:rPr>
          <w:rFonts w:ascii="Times New Roman" w:eastAsia="宋体" w:hAnsi="Times New Roman" w:cs="Times New Roman"/>
          <w:sz w:val="16"/>
          <w:szCs w:val="16"/>
        </w:rPr>
      </w:pPr>
      <w:r>
        <w:rPr>
          <w:rFonts w:ascii="Times New Roman" w:eastAsia="宋体" w:hAnsi="Times New Roman" w:cs="Times New Roman"/>
          <w:sz w:val="16"/>
          <w:szCs w:val="16"/>
        </w:rPr>
        <w:t>[5]</w:t>
      </w:r>
      <w:r>
        <w:rPr>
          <w:rFonts w:ascii="Times New Roman" w:eastAsia="宋体" w:hAnsi="Times New Roman" w:cs="Times New Roman"/>
          <w:sz w:val="16"/>
          <w:szCs w:val="16"/>
        </w:rPr>
        <w:tab/>
        <w:t>Status of nutrition and chronic diseases in China(2020)[J]. Acta Nutrimenta Sinica, 2020, 42(6): 521.</w:t>
      </w:r>
    </w:p>
    <w:sectPr w:rsidR="007E190E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3EA" w:rsidRDefault="009313EA" w:rsidP="00190A54">
      <w:r>
        <w:separator/>
      </w:r>
    </w:p>
  </w:endnote>
  <w:endnote w:type="continuationSeparator" w:id="0">
    <w:p w:rsidR="009313EA" w:rsidRDefault="009313EA" w:rsidP="0019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3EA" w:rsidRDefault="009313EA" w:rsidP="00190A54">
      <w:r>
        <w:separator/>
      </w:r>
    </w:p>
  </w:footnote>
  <w:footnote w:type="continuationSeparator" w:id="0">
    <w:p w:rsidR="009313EA" w:rsidRDefault="009313EA" w:rsidP="00190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190A54"/>
    <w:rsid w:val="007E190E"/>
    <w:rsid w:val="009313EA"/>
    <w:rsid w:val="05744DC2"/>
    <w:rsid w:val="05A351A3"/>
    <w:rsid w:val="05CE3138"/>
    <w:rsid w:val="05EC6139"/>
    <w:rsid w:val="06F74F7C"/>
    <w:rsid w:val="0AE50F58"/>
    <w:rsid w:val="1C3F4FEE"/>
    <w:rsid w:val="1EF56656"/>
    <w:rsid w:val="232C638A"/>
    <w:rsid w:val="252F5CBE"/>
    <w:rsid w:val="25E602E6"/>
    <w:rsid w:val="28A013AD"/>
    <w:rsid w:val="2C116F19"/>
    <w:rsid w:val="34A2025B"/>
    <w:rsid w:val="34CB6C71"/>
    <w:rsid w:val="3B196D9D"/>
    <w:rsid w:val="46B95D17"/>
    <w:rsid w:val="49D30923"/>
    <w:rsid w:val="4B777443"/>
    <w:rsid w:val="4DD80463"/>
    <w:rsid w:val="50245A6E"/>
    <w:rsid w:val="53A54E28"/>
    <w:rsid w:val="55970F1B"/>
    <w:rsid w:val="5F3B2534"/>
    <w:rsid w:val="5FF06467"/>
    <w:rsid w:val="62C7367F"/>
    <w:rsid w:val="67F60F73"/>
    <w:rsid w:val="6B6F5377"/>
    <w:rsid w:val="6DEC2CF6"/>
    <w:rsid w:val="70D71396"/>
    <w:rsid w:val="757A07E7"/>
    <w:rsid w:val="780B1546"/>
    <w:rsid w:val="79BC34DA"/>
    <w:rsid w:val="7CBF5EAB"/>
    <w:rsid w:val="7EFD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E3CE588-D129-4474-BE07-CDA3F0DC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iPriority="35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table" w:styleId="a4">
    <w:name w:val="Table Grid"/>
    <w:basedOn w:val="a1"/>
    <w:uiPriority w:val="99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basedOn w:val="a0"/>
    <w:qFormat/>
    <w:rPr>
      <w:rFonts w:ascii="Calibri" w:hAnsi="Calibri" w:cs="Calibri" w:hint="default"/>
      <w:b/>
      <w:bCs/>
      <w:color w:val="000000"/>
      <w:sz w:val="22"/>
      <w:szCs w:val="22"/>
      <w:u w:val="none"/>
    </w:rPr>
  </w:style>
  <w:style w:type="character" w:customStyle="1" w:styleId="font51">
    <w:name w:val="font51"/>
    <w:basedOn w:val="a0"/>
    <w:qFormat/>
    <w:rPr>
      <w:rFonts w:ascii="Calibri" w:hAnsi="Calibri" w:cs="Calibri" w:hint="default"/>
      <w:b/>
      <w:bCs/>
      <w:color w:val="000000"/>
      <w:sz w:val="22"/>
      <w:szCs w:val="22"/>
      <w:u w:val="none"/>
      <w:vertAlign w:val="superscript"/>
    </w:rPr>
  </w:style>
  <w:style w:type="paragraph" w:customStyle="1" w:styleId="1">
    <w:name w:val="书目1"/>
    <w:basedOn w:val="a"/>
    <w:qFormat/>
    <w:pPr>
      <w:tabs>
        <w:tab w:val="left" w:pos="384"/>
      </w:tabs>
      <w:ind w:left="384" w:hanging="384"/>
    </w:pPr>
  </w:style>
  <w:style w:type="paragraph" w:customStyle="1" w:styleId="BJ-ArticleTitle">
    <w:name w:val="BJ-ArticleTitle"/>
    <w:basedOn w:val="a"/>
    <w:qFormat/>
    <w:pPr>
      <w:spacing w:after="500" w:line="320" w:lineRule="exact"/>
    </w:pPr>
    <w:rPr>
      <w:rFonts w:ascii="Arial" w:eastAsia="Times New Roman" w:hAnsi="Arial" w:cs="Arial"/>
      <w:b/>
      <w:bCs/>
      <w:sz w:val="28"/>
      <w:szCs w:val="24"/>
    </w:rPr>
  </w:style>
  <w:style w:type="paragraph" w:styleId="a5">
    <w:name w:val="header"/>
    <w:basedOn w:val="a"/>
    <w:link w:val="Char"/>
    <w:rsid w:val="00190A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90A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90A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90A5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9188</Words>
  <Characters>52376</Characters>
  <Application>Microsoft Office Word</Application>
  <DocSecurity>0</DocSecurity>
  <Lines>436</Lines>
  <Paragraphs>122</Paragraphs>
  <ScaleCrop>false</ScaleCrop>
  <Company>神州网信技术有限公司</Company>
  <LinksUpToDate>false</LinksUpToDate>
  <CharactersWithSpaces>61442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86132</dc:creator>
  <cp:lastModifiedBy>Zhangbin</cp:lastModifiedBy>
  <cp:revision>2</cp:revision>
  <dcterms:created xsi:type="dcterms:W3CDTF">2025-05-16T03:28:00Z</dcterms:created>
  <dcterms:modified xsi:type="dcterms:W3CDTF">2026-08-18T00:44:00Z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eyJoZGlkIjoiYzU3NmEzOGM1NWY2MzE0NjFiM2VmMTk4YjM3NzFjODEiLCJ1c2VySWQiOiIyNDM0MDQwOTQifQ==</vt:lpwstr>
  </property>
  <property fmtid="{D5CDD505-2E9C-101B-9397-08002B2CF9AE}" pid="4" name="ICV">
    <vt:lpwstr>A270ED742CB04DF6BC47274F25E2E6EB_12</vt:lpwstr>
  </property>
  <property fmtid="{D5CDD505-2E9C-101B-9397-08002B2CF9AE}" pid="5" name="ZOTERO_PREF_1">
    <vt:lpwstr>&lt;data data-version="3" zotero-version="7.0.15"&gt;&lt;session id="zCWOMHIZ"/&gt;&lt;style id="http://www.zotero.org/styles/gb-t-7714-2015-numeric-bilingual-no-uppercase-no-url-doi" hasBibliography="1" bibliographyStyleHasBeenSet="1"/&gt;&lt;prefs&gt;&lt;pref name="fieldType" val</vt:lpwstr>
  </property>
  <property fmtid="{D5CDD505-2E9C-101B-9397-08002B2CF9AE}" pid="6" name="ZOTERO_PREF_2">
    <vt:lpwstr>ue="Field"/&gt;&lt;/prefs&gt;&lt;/data&gt;</vt:lpwstr>
  </property>
</Properties>
</file>