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1BE" w:rsidRPr="00443281" w:rsidRDefault="008A31BE" w:rsidP="008A31BE">
      <w:pPr>
        <w:adjustRightInd w:val="0"/>
        <w:snapToGrid w:val="0"/>
        <w:spacing w:after="160" w:line="480" w:lineRule="auto"/>
        <w:jc w:val="center"/>
        <w:rPr>
          <w:rFonts w:cs="Times New Roman"/>
          <w:i/>
          <w:color w:val="0F1115"/>
          <w:szCs w:val="21"/>
        </w:rPr>
      </w:pPr>
      <w:r w:rsidRPr="00443281">
        <w:rPr>
          <w:rFonts w:cs="Times New Roman"/>
          <w:i/>
          <w:color w:val="0F1115"/>
          <w:szCs w:val="21"/>
        </w:rPr>
        <w:t>Climate Dynamics</w:t>
      </w:r>
    </w:p>
    <w:p w:rsidR="008A31BE" w:rsidRPr="00443281" w:rsidRDefault="008A31BE" w:rsidP="008A31BE">
      <w:pPr>
        <w:adjustRightInd w:val="0"/>
        <w:snapToGrid w:val="0"/>
        <w:spacing w:after="160" w:line="480" w:lineRule="auto"/>
        <w:jc w:val="center"/>
        <w:rPr>
          <w:rFonts w:cs="Times New Roman"/>
          <w:color w:val="0F1115"/>
          <w:sz w:val="32"/>
          <w:szCs w:val="32"/>
        </w:rPr>
      </w:pPr>
      <w:r w:rsidRPr="00443281">
        <w:rPr>
          <w:rFonts w:cs="Times New Roman"/>
        </w:rPr>
        <w:t>Supporting Information for</w:t>
      </w:r>
    </w:p>
    <w:p w:rsidR="008A31BE" w:rsidRPr="00D96161" w:rsidRDefault="008A31BE" w:rsidP="008A31BE">
      <w:pPr>
        <w:keepNext/>
        <w:keepLines/>
        <w:spacing w:line="578" w:lineRule="auto"/>
        <w:outlineLvl w:val="0"/>
        <w:rPr>
          <w:b/>
          <w:bCs/>
          <w:kern w:val="44"/>
          <w:sz w:val="30"/>
          <w:szCs w:val="44"/>
        </w:rPr>
      </w:pPr>
      <w:proofErr w:type="spellStart"/>
      <w:r w:rsidRPr="00D96161">
        <w:rPr>
          <w:rFonts w:hint="eastAsia"/>
          <w:b/>
          <w:bCs/>
          <w:kern w:val="44"/>
          <w:sz w:val="30"/>
          <w:szCs w:val="44"/>
        </w:rPr>
        <w:t>Subseasonal</w:t>
      </w:r>
      <w:proofErr w:type="spellEnd"/>
      <w:r w:rsidRPr="00D96161">
        <w:rPr>
          <w:rFonts w:hint="eastAsia"/>
          <w:b/>
          <w:bCs/>
          <w:kern w:val="44"/>
          <w:sz w:val="30"/>
          <w:szCs w:val="44"/>
        </w:rPr>
        <w:t xml:space="preserve"> Predictability of Divers</w:t>
      </w:r>
      <w:r w:rsidRPr="00D96161">
        <w:rPr>
          <w:b/>
          <w:bCs/>
          <w:kern w:val="44"/>
          <w:sz w:val="30"/>
          <w:szCs w:val="44"/>
        </w:rPr>
        <w:t>e</w:t>
      </w:r>
      <w:r w:rsidRPr="00D96161">
        <w:rPr>
          <w:rFonts w:hint="eastAsia"/>
          <w:b/>
          <w:bCs/>
          <w:kern w:val="44"/>
          <w:sz w:val="30"/>
          <w:szCs w:val="44"/>
        </w:rPr>
        <w:t xml:space="preserve"> </w:t>
      </w:r>
      <w:r w:rsidRPr="00D96161">
        <w:rPr>
          <w:b/>
          <w:bCs/>
          <w:kern w:val="44"/>
          <w:sz w:val="30"/>
          <w:szCs w:val="44"/>
        </w:rPr>
        <w:t xml:space="preserve">Persistent </w:t>
      </w:r>
      <w:r w:rsidRPr="00D96161">
        <w:rPr>
          <w:rFonts w:hint="eastAsia"/>
          <w:b/>
          <w:bCs/>
          <w:kern w:val="44"/>
          <w:sz w:val="30"/>
          <w:szCs w:val="44"/>
        </w:rPr>
        <w:t>W</w:t>
      </w:r>
      <w:r w:rsidRPr="00D96161">
        <w:rPr>
          <w:b/>
          <w:bCs/>
          <w:kern w:val="44"/>
          <w:sz w:val="30"/>
          <w:szCs w:val="44"/>
        </w:rPr>
        <w:t>et</w:t>
      </w:r>
      <w:r w:rsidRPr="00D96161">
        <w:rPr>
          <w:rFonts w:hint="eastAsia"/>
          <w:b/>
          <w:bCs/>
          <w:kern w:val="44"/>
          <w:sz w:val="30"/>
          <w:szCs w:val="44"/>
        </w:rPr>
        <w:t>-C</w:t>
      </w:r>
      <w:r w:rsidRPr="00D96161">
        <w:rPr>
          <w:b/>
          <w:bCs/>
          <w:kern w:val="44"/>
          <w:sz w:val="30"/>
          <w:szCs w:val="44"/>
        </w:rPr>
        <w:t xml:space="preserve">old </w:t>
      </w:r>
      <w:r w:rsidRPr="00D96161">
        <w:rPr>
          <w:rFonts w:hint="eastAsia"/>
          <w:b/>
          <w:bCs/>
          <w:kern w:val="44"/>
          <w:sz w:val="30"/>
          <w:szCs w:val="44"/>
        </w:rPr>
        <w:t>C</w:t>
      </w:r>
      <w:r w:rsidRPr="00D96161">
        <w:rPr>
          <w:b/>
          <w:bCs/>
          <w:kern w:val="44"/>
          <w:sz w:val="30"/>
          <w:szCs w:val="44"/>
        </w:rPr>
        <w:t xml:space="preserve">ompound </w:t>
      </w:r>
      <w:r w:rsidRPr="00D96161">
        <w:rPr>
          <w:rFonts w:hint="eastAsia"/>
          <w:b/>
          <w:bCs/>
          <w:kern w:val="44"/>
          <w:sz w:val="30"/>
          <w:szCs w:val="44"/>
        </w:rPr>
        <w:t xml:space="preserve">Extreme Events over </w:t>
      </w:r>
      <w:r w:rsidRPr="00D96161">
        <w:rPr>
          <w:b/>
          <w:bCs/>
          <w:kern w:val="44"/>
          <w:sz w:val="30"/>
          <w:szCs w:val="44"/>
        </w:rPr>
        <w:t xml:space="preserve">China </w:t>
      </w:r>
      <w:r w:rsidRPr="00D96161">
        <w:rPr>
          <w:rFonts w:hint="eastAsia"/>
          <w:b/>
          <w:bCs/>
          <w:kern w:val="44"/>
          <w:sz w:val="30"/>
          <w:szCs w:val="44"/>
        </w:rPr>
        <w:t>B</w:t>
      </w:r>
      <w:r w:rsidRPr="00D96161">
        <w:rPr>
          <w:b/>
          <w:bCs/>
          <w:kern w:val="44"/>
          <w:sz w:val="30"/>
          <w:szCs w:val="44"/>
        </w:rPr>
        <w:t xml:space="preserve">ased on Calibrating </w:t>
      </w:r>
      <w:r w:rsidRPr="00D96161">
        <w:rPr>
          <w:rFonts w:hint="eastAsia"/>
          <w:b/>
          <w:bCs/>
          <w:kern w:val="44"/>
          <w:sz w:val="30"/>
          <w:szCs w:val="44"/>
        </w:rPr>
        <w:t>D</w:t>
      </w:r>
      <w:r w:rsidRPr="00D96161">
        <w:rPr>
          <w:b/>
          <w:bCs/>
          <w:kern w:val="44"/>
          <w:sz w:val="30"/>
          <w:szCs w:val="44"/>
        </w:rPr>
        <w:t>ynamical and AI models</w:t>
      </w:r>
    </w:p>
    <w:p w:rsidR="008A31BE" w:rsidRPr="00D96161" w:rsidRDefault="008A31BE" w:rsidP="008A31BE">
      <w:pPr>
        <w:ind w:firstLineChars="200" w:firstLine="640"/>
        <w:jc w:val="center"/>
        <w:rPr>
          <w:sz w:val="32"/>
          <w:szCs w:val="32"/>
        </w:rPr>
      </w:pPr>
      <w:proofErr w:type="spellStart"/>
      <w:r w:rsidRPr="00D96161">
        <w:rPr>
          <w:rFonts w:hint="eastAsia"/>
          <w:sz w:val="32"/>
          <w:szCs w:val="32"/>
        </w:rPr>
        <w:t>Jiaxu</w:t>
      </w:r>
      <w:proofErr w:type="spellEnd"/>
      <w:r w:rsidRPr="00603874">
        <w:rPr>
          <w:rFonts w:hint="eastAsia"/>
          <w:sz w:val="32"/>
          <w:szCs w:val="32"/>
        </w:rPr>
        <w:t xml:space="preserve"> </w:t>
      </w:r>
      <w:proofErr w:type="spellStart"/>
      <w:proofErr w:type="gramStart"/>
      <w:r>
        <w:rPr>
          <w:rFonts w:hint="eastAsia"/>
          <w:sz w:val="32"/>
          <w:szCs w:val="32"/>
        </w:rPr>
        <w:t>Wang</w:t>
      </w:r>
      <w:r w:rsidRPr="00D96161">
        <w:rPr>
          <w:sz w:val="32"/>
          <w:szCs w:val="32"/>
          <w:vertAlign w:val="superscript"/>
        </w:rPr>
        <w:t>a</w:t>
      </w:r>
      <w:r w:rsidRPr="00D96161">
        <w:rPr>
          <w:rFonts w:hint="eastAsia"/>
          <w:sz w:val="32"/>
          <w:szCs w:val="32"/>
          <w:vertAlign w:val="superscript"/>
        </w:rPr>
        <w:t>,</w:t>
      </w:r>
      <w:r w:rsidRPr="00D96161">
        <w:rPr>
          <w:sz w:val="32"/>
          <w:szCs w:val="32"/>
          <w:vertAlign w:val="superscript"/>
        </w:rPr>
        <w:t>b</w:t>
      </w:r>
      <w:proofErr w:type="spellEnd"/>
      <w:proofErr w:type="gramEnd"/>
      <w:r w:rsidRPr="00D96161">
        <w:rPr>
          <w:rFonts w:hint="eastAsia"/>
          <w:sz w:val="32"/>
          <w:szCs w:val="32"/>
        </w:rPr>
        <w:t xml:space="preserve">, </w:t>
      </w:r>
      <w:proofErr w:type="spellStart"/>
      <w:r w:rsidRPr="00D96161">
        <w:rPr>
          <w:rFonts w:hint="eastAsia"/>
          <w:sz w:val="32"/>
          <w:szCs w:val="32"/>
        </w:rPr>
        <w:t>Jie</w:t>
      </w:r>
      <w:proofErr w:type="spellEnd"/>
      <w:r w:rsidRPr="00603874">
        <w:rPr>
          <w:rFonts w:hint="eastAsia"/>
          <w:sz w:val="32"/>
          <w:szCs w:val="32"/>
        </w:rPr>
        <w:t xml:space="preserve"> </w:t>
      </w:r>
      <w:proofErr w:type="spellStart"/>
      <w:r>
        <w:rPr>
          <w:rFonts w:hint="eastAsia"/>
          <w:sz w:val="32"/>
          <w:szCs w:val="32"/>
        </w:rPr>
        <w:t>Wu</w:t>
      </w:r>
      <w:r w:rsidRPr="00D96161">
        <w:rPr>
          <w:sz w:val="32"/>
          <w:szCs w:val="32"/>
          <w:vertAlign w:val="superscript"/>
        </w:rPr>
        <w:t>c</w:t>
      </w:r>
      <w:proofErr w:type="spellEnd"/>
      <w:r w:rsidRPr="00D96161">
        <w:rPr>
          <w:sz w:val="32"/>
          <w:szCs w:val="32"/>
        </w:rPr>
        <w:t>*</w:t>
      </w:r>
      <w:r w:rsidRPr="00D96161">
        <w:rPr>
          <w:rFonts w:hint="eastAsia"/>
          <w:sz w:val="32"/>
          <w:szCs w:val="32"/>
        </w:rPr>
        <w:t>, Hong-Li</w:t>
      </w:r>
      <w:r>
        <w:rPr>
          <w:sz w:val="32"/>
          <w:szCs w:val="32"/>
        </w:rPr>
        <w:t xml:space="preserve"> </w:t>
      </w:r>
      <w:r>
        <w:rPr>
          <w:rFonts w:hint="eastAsia"/>
          <w:sz w:val="32"/>
          <w:szCs w:val="32"/>
        </w:rPr>
        <w:t>Ren</w:t>
      </w:r>
      <w:r w:rsidRPr="00D96161">
        <w:rPr>
          <w:sz w:val="32"/>
          <w:szCs w:val="32"/>
          <w:vertAlign w:val="superscript"/>
        </w:rPr>
        <w:t>a</w:t>
      </w:r>
      <w:r w:rsidRPr="00D96161">
        <w:rPr>
          <w:rFonts w:hint="eastAsia"/>
          <w:sz w:val="32"/>
          <w:szCs w:val="32"/>
        </w:rPr>
        <w:t xml:space="preserve">, Li </w:t>
      </w:r>
      <w:proofErr w:type="spellStart"/>
      <w:r w:rsidRPr="00D96161">
        <w:rPr>
          <w:rFonts w:hint="eastAsia"/>
          <w:sz w:val="32"/>
          <w:szCs w:val="32"/>
        </w:rPr>
        <w:t>Guo</w:t>
      </w:r>
      <w:r w:rsidRPr="00D96161">
        <w:rPr>
          <w:sz w:val="32"/>
          <w:szCs w:val="32"/>
          <w:vertAlign w:val="superscript"/>
        </w:rPr>
        <w:t>c</w:t>
      </w:r>
      <w:proofErr w:type="spellEnd"/>
      <w:r w:rsidRPr="00D96161">
        <w:rPr>
          <w:rFonts w:hint="eastAsia"/>
          <w:sz w:val="32"/>
          <w:szCs w:val="32"/>
        </w:rPr>
        <w:t xml:space="preserve">, </w:t>
      </w:r>
      <w:proofErr w:type="spellStart"/>
      <w:r w:rsidRPr="00D96161">
        <w:rPr>
          <w:rFonts w:hint="eastAsia"/>
          <w:sz w:val="32"/>
          <w:szCs w:val="32"/>
        </w:rPr>
        <w:t>Lijuan</w:t>
      </w:r>
      <w:proofErr w:type="spellEnd"/>
      <w:r>
        <w:rPr>
          <w:sz w:val="32"/>
          <w:szCs w:val="32"/>
        </w:rPr>
        <w:t xml:space="preserve"> </w:t>
      </w:r>
      <w:proofErr w:type="spellStart"/>
      <w:r w:rsidRPr="00D96161">
        <w:rPr>
          <w:rFonts w:hint="eastAsia"/>
          <w:sz w:val="32"/>
          <w:szCs w:val="32"/>
        </w:rPr>
        <w:t>Chen</w:t>
      </w:r>
      <w:r w:rsidRPr="00D96161">
        <w:rPr>
          <w:sz w:val="32"/>
          <w:szCs w:val="32"/>
          <w:vertAlign w:val="superscript"/>
        </w:rPr>
        <w:t>c</w:t>
      </w:r>
      <w:proofErr w:type="spellEnd"/>
      <w:r w:rsidRPr="00D96161">
        <w:rPr>
          <w:rFonts w:hint="eastAsia"/>
          <w:sz w:val="32"/>
          <w:szCs w:val="32"/>
        </w:rPr>
        <w:t xml:space="preserve">, </w:t>
      </w:r>
      <w:proofErr w:type="spellStart"/>
      <w:r w:rsidRPr="00D96161">
        <w:rPr>
          <w:rFonts w:hint="eastAsia"/>
          <w:sz w:val="32"/>
          <w:szCs w:val="32"/>
        </w:rPr>
        <w:t>Chenguang</w:t>
      </w:r>
      <w:proofErr w:type="spellEnd"/>
      <w:r>
        <w:rPr>
          <w:sz w:val="32"/>
          <w:szCs w:val="32"/>
        </w:rPr>
        <w:t xml:space="preserve"> </w:t>
      </w:r>
      <w:proofErr w:type="spellStart"/>
      <w:r>
        <w:rPr>
          <w:rFonts w:hint="eastAsia"/>
          <w:sz w:val="32"/>
          <w:szCs w:val="32"/>
        </w:rPr>
        <w:t>Zhou</w:t>
      </w:r>
      <w:r w:rsidRPr="00D96161">
        <w:rPr>
          <w:sz w:val="32"/>
          <w:szCs w:val="32"/>
          <w:vertAlign w:val="superscript"/>
        </w:rPr>
        <w:t>c</w:t>
      </w:r>
      <w:proofErr w:type="spellEnd"/>
    </w:p>
    <w:p w:rsidR="008A31BE" w:rsidRPr="00D96161" w:rsidRDefault="008A31BE" w:rsidP="008A31BE">
      <w:pPr>
        <w:widowControl/>
        <w:jc w:val="left"/>
        <w:rPr>
          <w:sz w:val="24"/>
          <w:szCs w:val="24"/>
        </w:rPr>
      </w:pPr>
      <w:r w:rsidRPr="00D96161">
        <w:rPr>
          <w:sz w:val="24"/>
          <w:szCs w:val="24"/>
          <w:vertAlign w:val="superscript"/>
        </w:rPr>
        <w:t>a</w:t>
      </w:r>
      <w:r w:rsidRPr="00D96161">
        <w:rPr>
          <w:sz w:val="24"/>
          <w:szCs w:val="24"/>
        </w:rPr>
        <w:t xml:space="preserve"> Chinese Academy of Meteorological Sciences, Beijing 100081, China</w:t>
      </w:r>
    </w:p>
    <w:p w:rsidR="008A31BE" w:rsidRPr="00D96161" w:rsidRDefault="008A31BE" w:rsidP="008A31BE">
      <w:pPr>
        <w:widowControl/>
        <w:jc w:val="left"/>
        <w:rPr>
          <w:sz w:val="24"/>
          <w:szCs w:val="24"/>
        </w:rPr>
      </w:pPr>
      <w:r w:rsidRPr="00D96161">
        <w:rPr>
          <w:sz w:val="24"/>
          <w:szCs w:val="24"/>
          <w:vertAlign w:val="superscript"/>
        </w:rPr>
        <w:t>b</w:t>
      </w:r>
      <w:r w:rsidRPr="00D96161">
        <w:rPr>
          <w:sz w:val="24"/>
          <w:szCs w:val="24"/>
        </w:rPr>
        <w:t xml:space="preserve"> College of Earth and Planetary Sciences, University of Chinese Academy of Sciences, Beijing 100049, China</w:t>
      </w:r>
    </w:p>
    <w:p w:rsidR="008A31BE" w:rsidRPr="00D96161" w:rsidRDefault="008A31BE" w:rsidP="008A31BE">
      <w:pPr>
        <w:widowControl/>
        <w:jc w:val="left"/>
        <w:rPr>
          <w:sz w:val="24"/>
          <w:szCs w:val="24"/>
        </w:rPr>
      </w:pPr>
      <w:r w:rsidRPr="00D96161">
        <w:rPr>
          <w:sz w:val="24"/>
          <w:szCs w:val="24"/>
          <w:vertAlign w:val="superscript"/>
        </w:rPr>
        <w:t>c</w:t>
      </w:r>
      <w:r w:rsidRPr="00D96161">
        <w:rPr>
          <w:sz w:val="24"/>
          <w:szCs w:val="24"/>
        </w:rPr>
        <w:t xml:space="preserve"> State Key Laboratory of Climate System Prediction and Risk Management/China Meteorological Administration Key Laboratory for Climate Prediction Studies, National Climate Centre, China Meteorological Administration, Beijing 100081, China</w:t>
      </w:r>
    </w:p>
    <w:p w:rsidR="008A31BE" w:rsidRPr="00D96161" w:rsidRDefault="008A31BE" w:rsidP="008A31BE">
      <w:pPr>
        <w:widowControl/>
        <w:jc w:val="left"/>
        <w:rPr>
          <w:sz w:val="32"/>
          <w:szCs w:val="32"/>
        </w:rPr>
      </w:pPr>
      <w:r w:rsidRPr="00D96161">
        <w:rPr>
          <w:bCs/>
          <w:sz w:val="32"/>
          <w:szCs w:val="32"/>
        </w:rPr>
        <w:t>*Corresponding author:</w:t>
      </w:r>
      <w:r w:rsidRPr="00D96161">
        <w:rPr>
          <w:sz w:val="32"/>
          <w:szCs w:val="32"/>
        </w:rPr>
        <w:t xml:space="preserve"> </w:t>
      </w:r>
      <w:proofErr w:type="spellStart"/>
      <w:r w:rsidRPr="00D96161">
        <w:rPr>
          <w:sz w:val="32"/>
          <w:szCs w:val="32"/>
        </w:rPr>
        <w:t>Jie</w:t>
      </w:r>
      <w:proofErr w:type="spellEnd"/>
      <w:r w:rsidRPr="00603874">
        <w:rPr>
          <w:sz w:val="32"/>
          <w:szCs w:val="32"/>
        </w:rPr>
        <w:t xml:space="preserve"> </w:t>
      </w:r>
      <w:r w:rsidRPr="00D96161">
        <w:rPr>
          <w:sz w:val="32"/>
          <w:szCs w:val="32"/>
        </w:rPr>
        <w:t xml:space="preserve">Wu; </w:t>
      </w:r>
      <w:r w:rsidRPr="00D96161">
        <w:rPr>
          <w:bCs/>
          <w:sz w:val="32"/>
          <w:szCs w:val="32"/>
        </w:rPr>
        <w:t>Email:</w:t>
      </w:r>
      <w:r w:rsidRPr="00D96161">
        <w:rPr>
          <w:sz w:val="32"/>
          <w:szCs w:val="32"/>
        </w:rPr>
        <w:t xml:space="preserve"> </w:t>
      </w:r>
      <w:hyperlink r:id="rId7" w:history="1">
        <w:r w:rsidRPr="00D96161">
          <w:rPr>
            <w:color w:val="0000FF"/>
            <w:sz w:val="32"/>
            <w:szCs w:val="32"/>
            <w:u w:val="single"/>
          </w:rPr>
          <w:t>wujie@cma.gov.cn</w:t>
        </w:r>
      </w:hyperlink>
    </w:p>
    <w:p w:rsidR="008A31BE" w:rsidRPr="008A31BE" w:rsidRDefault="008A31BE" w:rsidP="008A31BE">
      <w:pPr>
        <w:rPr>
          <w:color w:val="0000FF"/>
          <w:sz w:val="32"/>
          <w:szCs w:val="32"/>
          <w:u w:val="single"/>
        </w:rPr>
      </w:pPr>
      <w:r w:rsidRPr="00D96161">
        <w:rPr>
          <w:sz w:val="32"/>
          <w:szCs w:val="32"/>
        </w:rPr>
        <w:t xml:space="preserve">ORCID: </w:t>
      </w:r>
      <w:proofErr w:type="spellStart"/>
      <w:r w:rsidRPr="00D96161">
        <w:rPr>
          <w:sz w:val="32"/>
          <w:szCs w:val="32"/>
        </w:rPr>
        <w:t>Jiaxu</w:t>
      </w:r>
      <w:proofErr w:type="spellEnd"/>
      <w:r w:rsidRPr="00603874">
        <w:rPr>
          <w:sz w:val="32"/>
          <w:szCs w:val="32"/>
        </w:rPr>
        <w:t xml:space="preserve"> </w:t>
      </w:r>
      <w:r w:rsidRPr="00D96161">
        <w:rPr>
          <w:sz w:val="32"/>
          <w:szCs w:val="32"/>
        </w:rPr>
        <w:t xml:space="preserve">Wang, </w:t>
      </w:r>
      <w:hyperlink r:id="rId8" w:history="1">
        <w:r w:rsidRPr="00D96161">
          <w:rPr>
            <w:color w:val="0000FF"/>
            <w:sz w:val="32"/>
            <w:szCs w:val="32"/>
            <w:u w:val="single"/>
          </w:rPr>
          <w:t>https://orcid.org/0009-0003-4233-2740</w:t>
        </w:r>
      </w:hyperlink>
      <w:r>
        <w:rPr>
          <w:color w:val="0000FF"/>
          <w:sz w:val="32"/>
          <w:szCs w:val="32"/>
          <w:u w:val="single"/>
        </w:rPr>
        <w:br w:type="page"/>
      </w:r>
    </w:p>
    <w:p w:rsidR="00D96161" w:rsidRDefault="007B31FF" w:rsidP="00D96161">
      <w:pPr>
        <w:keepNext/>
      </w:pPr>
      <w:r>
        <w:rPr>
          <w:noProof/>
        </w:rPr>
        <w:lastRenderedPageBreak/>
        <w:drawing>
          <wp:inline distT="0" distB="0" distL="0" distR="0" wp14:anchorId="66640ADC" wp14:editId="27018B5D">
            <wp:extent cx="5274310" cy="4323080"/>
            <wp:effectExtent l="0" t="0" r="2540" b="127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9"/>
                    <a:stretch>
                      <a:fillRect/>
                    </a:stretch>
                  </pic:blipFill>
                  <pic:spPr>
                    <a:xfrm>
                      <a:off x="0" y="0"/>
                      <a:ext cx="5274310" cy="4323080"/>
                    </a:xfrm>
                    <a:prstGeom prst="rect">
                      <a:avLst/>
                    </a:prstGeom>
                  </pic:spPr>
                </pic:pic>
              </a:graphicData>
            </a:graphic>
          </wp:inline>
        </w:drawing>
      </w:r>
    </w:p>
    <w:p w:rsidR="004E253E" w:rsidRDefault="00D96161" w:rsidP="00D96161">
      <w:pPr>
        <w:pStyle w:val="a7"/>
      </w:pPr>
      <w:r>
        <w:t>Fig. S</w:t>
      </w:r>
      <w:fldSimple w:instr=" SEQ Fig._S \* ARABIC ">
        <w:r w:rsidR="001C1565">
          <w:rPr>
            <w:noProof/>
          </w:rPr>
          <w:t>1</w:t>
        </w:r>
      </w:fldSimple>
      <w:r w:rsidRPr="00D96161">
        <w:t xml:space="preserve"> </w:t>
      </w:r>
      <w:r>
        <w:t xml:space="preserve">Propagation paths of </w:t>
      </w:r>
      <w:r w:rsidR="00CF0A11" w:rsidRPr="00C7286D">
        <w:t>Persistent wet–cold compound extreme events (PWCEs)</w:t>
      </w:r>
      <w:r>
        <w:t xml:space="preserve"> (lines) and the frequency of PWCEs at each grid point during PWCE periods (shading). Shading indicates the total number of days with cold–wet weather at each location across all PWCEs. Panel (a) shows all PWCEs, while panels (b), (c), and (d) correspond to</w:t>
      </w:r>
      <w:r w:rsidR="002F4152">
        <w:t xml:space="preserve"> the </w:t>
      </w:r>
      <w:r w:rsidR="002F4152" w:rsidRPr="00C7286D">
        <w:t>South China (SC)</w:t>
      </w:r>
      <w:r w:rsidR="002F4152">
        <w:t xml:space="preserve">, </w:t>
      </w:r>
      <w:r w:rsidR="002F4152" w:rsidRPr="00C7286D">
        <w:t>Western China (WC)</w:t>
      </w:r>
      <w:r w:rsidR="002F4152">
        <w:t xml:space="preserve">, and </w:t>
      </w:r>
      <w:r w:rsidR="002F4152" w:rsidRPr="00C7286D">
        <w:t>Central China (CC)</w:t>
      </w:r>
      <w:r>
        <w:t xml:space="preserve"> types, respectively.</w:t>
      </w:r>
      <w:bookmarkStart w:id="0" w:name="_GoBack"/>
      <w:bookmarkEnd w:id="0"/>
    </w:p>
    <w:p w:rsidR="00D96161" w:rsidRDefault="00911D48" w:rsidP="00D96161">
      <w:pPr>
        <w:keepNext/>
      </w:pPr>
      <w:r w:rsidRPr="00911D48">
        <w:rPr>
          <w:noProof/>
        </w:rPr>
        <w:lastRenderedPageBreak/>
        <w:drawing>
          <wp:inline distT="0" distB="0" distL="0" distR="0" wp14:anchorId="3F81FB50" wp14:editId="7892F8DC">
            <wp:extent cx="5274310" cy="718756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7187565"/>
                    </a:xfrm>
                    <a:prstGeom prst="rect">
                      <a:avLst/>
                    </a:prstGeom>
                  </pic:spPr>
                </pic:pic>
              </a:graphicData>
            </a:graphic>
          </wp:inline>
        </w:drawing>
      </w:r>
    </w:p>
    <w:p w:rsidR="0048511E" w:rsidRPr="007A7C86" w:rsidRDefault="00D96161" w:rsidP="007A7C86">
      <w:pPr>
        <w:pStyle w:val="a7"/>
      </w:pPr>
      <w:r>
        <w:t>Fig. S</w:t>
      </w:r>
      <w:fldSimple w:instr=" SEQ Fig._S \* ARABIC ">
        <w:r w:rsidR="001C1565">
          <w:rPr>
            <w:noProof/>
          </w:rPr>
          <w:t>2</w:t>
        </w:r>
      </w:fldSimple>
      <w:r w:rsidR="002F0EC9">
        <w:t xml:space="preserve"> </w:t>
      </w:r>
      <w:r w:rsidR="002F0EC9" w:rsidRPr="002F0EC9">
        <w:t xml:space="preserve">Spatial distribution of the frequency of single-day, grid-point events occurring during PWCE periods, as identified from four S2S models (CMA-CPSv3, ECMWF, NCEP, and FENGSHUN) before </w:t>
      </w:r>
      <w:r w:rsidR="00C36625" w:rsidRPr="00C7286D">
        <w:t>cumulative distribution function (CDF)-based</w:t>
      </w:r>
      <w:r w:rsidR="00C36625" w:rsidRPr="00F2683A">
        <w:t xml:space="preserve"> calibration</w:t>
      </w:r>
      <w:r w:rsidR="002F0EC9" w:rsidRPr="002F0EC9">
        <w:t>. The first row shows the observations (OBS), and the remaining rows present the corresponding model results at different lead times (LD1, LD6, LD11, LD16, LD21, and LD26). Shading denotes the event occurrence frequency, with colors from light to dark indicati</w:t>
      </w:r>
      <w:r w:rsidR="00C36625">
        <w:t>ng increasing frequency. T</w:t>
      </w:r>
      <w:r w:rsidR="00C36625" w:rsidRPr="00105C63">
        <w:t>he anomaly correlation coefficient (ACC</w:t>
      </w:r>
      <w:r w:rsidR="00C36625">
        <w:t>)</w:t>
      </w:r>
      <w:r w:rsidR="002F0EC9" w:rsidRPr="002F0EC9">
        <w:t xml:space="preserve"> and </w:t>
      </w:r>
      <w:r w:rsidR="00C36625" w:rsidRPr="00105C63">
        <w:t>the normalized root mean square error</w:t>
      </w:r>
      <w:r w:rsidR="00C36625" w:rsidRPr="00F2683A">
        <w:t xml:space="preserve"> </w:t>
      </w:r>
      <w:r w:rsidR="00C36625">
        <w:rPr>
          <w:rFonts w:asciiTheme="minorEastAsia" w:eastAsiaTheme="minorEastAsia" w:hAnsiTheme="minorEastAsia" w:hint="eastAsia"/>
        </w:rPr>
        <w:t>(</w:t>
      </w:r>
      <w:r w:rsidR="00C36625" w:rsidRPr="00F2683A">
        <w:t>NRMSE</w:t>
      </w:r>
      <w:r w:rsidR="00C36625">
        <w:t>)</w:t>
      </w:r>
      <w:r w:rsidR="002F0EC9" w:rsidRPr="002F0EC9">
        <w:t xml:space="preserve"> for each panel are shown in the lower-left corner.</w:t>
      </w:r>
    </w:p>
    <w:p w:rsidR="0048511E" w:rsidRDefault="00C9353F" w:rsidP="0048511E">
      <w:pPr>
        <w:keepNext/>
      </w:pPr>
      <w:r w:rsidRPr="00C9353F">
        <w:rPr>
          <w:noProof/>
        </w:rPr>
        <w:lastRenderedPageBreak/>
        <w:drawing>
          <wp:inline distT="0" distB="0" distL="0" distR="0" wp14:anchorId="39FFA99A" wp14:editId="201A5C3A">
            <wp:extent cx="5274310" cy="3266440"/>
            <wp:effectExtent l="0" t="0" r="254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4310" cy="3266440"/>
                    </a:xfrm>
                    <a:prstGeom prst="rect">
                      <a:avLst/>
                    </a:prstGeom>
                  </pic:spPr>
                </pic:pic>
              </a:graphicData>
            </a:graphic>
          </wp:inline>
        </w:drawing>
      </w:r>
    </w:p>
    <w:p w:rsidR="008E471C" w:rsidRPr="00633FB6" w:rsidRDefault="0048511E" w:rsidP="0048511E">
      <w:pPr>
        <w:pStyle w:val="a7"/>
        <w:rPr>
          <w:rFonts w:eastAsiaTheme="minorEastAsia"/>
        </w:rPr>
      </w:pPr>
      <w:r>
        <w:t>Fig. S</w:t>
      </w:r>
      <w:fldSimple w:instr=" SEQ Fig._S \* ARABIC ">
        <w:r w:rsidR="001C1565">
          <w:rPr>
            <w:noProof/>
          </w:rPr>
          <w:t>3</w:t>
        </w:r>
      </w:fldSimple>
      <w:r>
        <w:t xml:space="preserve"> </w:t>
      </w:r>
      <w:r w:rsidR="005E62C4" w:rsidRPr="005E62C4">
        <w:t>Lead-time dependence of the probability of detection (POD) for PWCEs from four S2S models before and after CDF calibration, shown for all events and the three PWCE types. Solid and dashed lines indicate corrected and uncorrected results, respectively.</w:t>
      </w:r>
    </w:p>
    <w:p w:rsidR="001916A0" w:rsidRDefault="001916A0" w:rsidP="001916A0">
      <w:pPr>
        <w:keepNext/>
      </w:pPr>
      <w:r w:rsidRPr="001916A0">
        <w:rPr>
          <w:noProof/>
        </w:rPr>
        <w:drawing>
          <wp:inline distT="0" distB="0" distL="0" distR="0" wp14:anchorId="528BF7D0" wp14:editId="5EAEC306">
            <wp:extent cx="5274310" cy="2280920"/>
            <wp:effectExtent l="0" t="0" r="2540"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4310" cy="2280920"/>
                    </a:xfrm>
                    <a:prstGeom prst="rect">
                      <a:avLst/>
                    </a:prstGeom>
                  </pic:spPr>
                </pic:pic>
              </a:graphicData>
            </a:graphic>
          </wp:inline>
        </w:drawing>
      </w:r>
    </w:p>
    <w:p w:rsidR="000615D4" w:rsidRPr="007B5BB4" w:rsidRDefault="001916A0" w:rsidP="007B5BB4">
      <w:pPr>
        <w:pStyle w:val="a7"/>
      </w:pPr>
      <w:r>
        <w:t>Fig. S</w:t>
      </w:r>
      <w:fldSimple w:instr=" SEQ Fig._S \* ARABIC ">
        <w:r w:rsidR="001C1565">
          <w:rPr>
            <w:noProof/>
          </w:rPr>
          <w:t>4</w:t>
        </w:r>
      </w:fldSimple>
      <w:r w:rsidRPr="001916A0">
        <w:t xml:space="preserve"> </w:t>
      </w:r>
      <w:r w:rsidRPr="00892A50">
        <w:t>Composite high-latitude circulation anomalies</w:t>
      </w:r>
      <w:r w:rsidRPr="008169E5">
        <w:t xml:space="preserve"> on PWCE types from the </w:t>
      </w:r>
      <w:r w:rsidRPr="001916A0">
        <w:t>CMA-CPSv3</w:t>
      </w:r>
      <w:r>
        <w:t xml:space="preserve"> and NCEP</w:t>
      </w:r>
      <w:r w:rsidRPr="008169E5">
        <w:t xml:space="preserve"> models at different forecast lead times. Contours show 500-hPa GPH (</w:t>
      </w:r>
      <w:r w:rsidRPr="00892A50">
        <w:t xml:space="preserve">Z500), and shading indicates sea level pressure (MSL) anomalies. Stippling denotes regions where MSL anomalies pass the significance test. </w:t>
      </w:r>
      <w:r w:rsidR="00CE552B" w:rsidRPr="00F940AB">
        <w:t>The non-centered ACC</w:t>
      </w:r>
      <w:r w:rsidR="00CE552B">
        <w:t xml:space="preserve"> (</w:t>
      </w:r>
      <w:proofErr w:type="spellStart"/>
      <w:r w:rsidR="00CE552B">
        <w:t>ACCu</w:t>
      </w:r>
      <w:proofErr w:type="spellEnd"/>
      <w:r w:rsidR="00CE552B">
        <w:t>)</w:t>
      </w:r>
      <w:r w:rsidRPr="00892A50">
        <w:t xml:space="preserve"> of each model result relative to the corresponding observations in the first row is shown in the upper-right corner of each panel.</w:t>
      </w:r>
    </w:p>
    <w:p w:rsidR="00CE0DC0" w:rsidRDefault="00E4255D" w:rsidP="00CE0DC0">
      <w:pPr>
        <w:keepNext/>
      </w:pPr>
      <w:r w:rsidRPr="00E4255D">
        <w:rPr>
          <w:noProof/>
        </w:rPr>
        <w:lastRenderedPageBreak/>
        <w:drawing>
          <wp:inline distT="0" distB="0" distL="0" distR="0" wp14:anchorId="3EC3B867" wp14:editId="1B8ACD23">
            <wp:extent cx="5274310" cy="2531110"/>
            <wp:effectExtent l="0" t="0" r="2540"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74310" cy="2531110"/>
                    </a:xfrm>
                    <a:prstGeom prst="rect">
                      <a:avLst/>
                    </a:prstGeom>
                  </pic:spPr>
                </pic:pic>
              </a:graphicData>
            </a:graphic>
          </wp:inline>
        </w:drawing>
      </w:r>
    </w:p>
    <w:p w:rsidR="000615D4" w:rsidRPr="00CE0DC0" w:rsidRDefault="00CE0DC0" w:rsidP="00CE0DC0">
      <w:pPr>
        <w:pStyle w:val="a7"/>
      </w:pPr>
      <w:r>
        <w:t>Fig. S</w:t>
      </w:r>
      <w:fldSimple w:instr=" SEQ Fig._S \* ARABIC ">
        <w:r w:rsidR="001C1565">
          <w:rPr>
            <w:noProof/>
          </w:rPr>
          <w:t>5</w:t>
        </w:r>
      </w:fldSimple>
      <w:r>
        <w:t xml:space="preserve"> </w:t>
      </w:r>
      <w:r w:rsidRPr="00BC6B75">
        <w:t xml:space="preserve">Composite low-latitude circulation anomalies </w:t>
      </w:r>
      <w:r w:rsidRPr="002428CC">
        <w:t>on the first day of the three PWCE types</w:t>
      </w:r>
      <w:r w:rsidRPr="00BC6B75">
        <w:t xml:space="preserve"> from the </w:t>
      </w:r>
      <w:r w:rsidRPr="001916A0">
        <w:t>CMA-CPSv3</w:t>
      </w:r>
      <w:r>
        <w:t xml:space="preserve"> and NCEP</w:t>
      </w:r>
      <w:r w:rsidRPr="00BC6B75">
        <w:t xml:space="preserve"> models at different forecast lead times. Shading indicates outgoing longwave radiation (OLR) anomalies, and stippling denotes regions where OLR anomalies pass the significance test. Vectors show low-level winds, with only wind speeds exceeding 1 m s</w:t>
      </w:r>
      <w:r w:rsidRPr="00BC6B75">
        <w:rPr>
          <w:rFonts w:ascii="MS Mincho" w:eastAsia="MS Mincho" w:hAnsi="MS Mincho" w:cs="MS Mincho" w:hint="eastAsia"/>
        </w:rPr>
        <w:t>⁻</w:t>
      </w:r>
      <w:r w:rsidRPr="00BC6B75">
        <w:rPr>
          <w:rFonts w:ascii="等线 Light" w:eastAsia="等线 Light" w:hAnsi="等线 Light" w:cs="等线 Light" w:hint="eastAsia"/>
        </w:rPr>
        <w:t>¹</w:t>
      </w:r>
      <w:r w:rsidRPr="00BC6B75">
        <w:t xml:space="preserve"> displayed. </w:t>
      </w:r>
      <w:proofErr w:type="spellStart"/>
      <w:r w:rsidRPr="0032207D">
        <w:t>ACCu</w:t>
      </w:r>
      <w:proofErr w:type="spellEnd"/>
      <w:r w:rsidRPr="00BC6B75">
        <w:t xml:space="preserve"> relative to observations is shown in the upper-right corner.</w:t>
      </w:r>
    </w:p>
    <w:p w:rsidR="001916A0" w:rsidRDefault="001916A0" w:rsidP="001916A0">
      <w:pPr>
        <w:keepNext/>
      </w:pPr>
      <w:r w:rsidRPr="000E3E4D">
        <w:rPr>
          <w:noProof/>
        </w:rPr>
        <w:drawing>
          <wp:inline distT="0" distB="0" distL="0" distR="0" wp14:anchorId="4061569B" wp14:editId="7144488E">
            <wp:extent cx="5274310" cy="2018477"/>
            <wp:effectExtent l="0" t="0" r="254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74310" cy="2018477"/>
                    </a:xfrm>
                    <a:prstGeom prst="rect">
                      <a:avLst/>
                    </a:prstGeom>
                  </pic:spPr>
                </pic:pic>
              </a:graphicData>
            </a:graphic>
          </wp:inline>
        </w:drawing>
      </w:r>
    </w:p>
    <w:p w:rsidR="000615D4" w:rsidRDefault="001916A0" w:rsidP="001916A0">
      <w:pPr>
        <w:pStyle w:val="a7"/>
        <w:rPr>
          <w:rFonts w:eastAsiaTheme="minorEastAsia"/>
        </w:rPr>
      </w:pPr>
      <w:r>
        <w:t>Fig. S</w:t>
      </w:r>
      <w:fldSimple w:instr=" SEQ Fig._S \* ARABIC ">
        <w:r w:rsidR="001C1565">
          <w:rPr>
            <w:noProof/>
          </w:rPr>
          <w:t>6</w:t>
        </w:r>
      </w:fldSimple>
      <w:r w:rsidRPr="001916A0">
        <w:t xml:space="preserve"> Lead–lag composites of mid- to high-latitude circulation anomalies for low-skill PWCEs from the FENGSHUN model. For each event type, the left and right panels show the observed and corresponding FENGSHUN forecast composites for the same events, respectively. Shading, vectors, and contours indicate sea level pressure anomalies, 850-hPa wind anomalies, and 500-hPa geopotential height anomalies. The upper-right value in each forecast panel indicates the Z500 </w:t>
      </w:r>
      <w:proofErr w:type="spellStart"/>
      <w:r w:rsidRPr="001916A0">
        <w:t>ACCu</w:t>
      </w:r>
      <w:proofErr w:type="spellEnd"/>
      <w:r w:rsidRPr="001916A0">
        <w:t>.</w:t>
      </w:r>
    </w:p>
    <w:p w:rsidR="001916A0" w:rsidRDefault="001916A0" w:rsidP="00552875">
      <w:pPr>
        <w:rPr>
          <w:rFonts w:eastAsiaTheme="minorEastAsia"/>
        </w:rPr>
      </w:pPr>
    </w:p>
    <w:p w:rsidR="001916A0" w:rsidRDefault="001916A0" w:rsidP="001916A0">
      <w:pPr>
        <w:keepNext/>
      </w:pPr>
      <w:r w:rsidRPr="000E3E4D">
        <w:rPr>
          <w:noProof/>
        </w:rPr>
        <w:lastRenderedPageBreak/>
        <w:drawing>
          <wp:inline distT="0" distB="0" distL="0" distR="0" wp14:anchorId="5C2B7290" wp14:editId="09D6F35B">
            <wp:extent cx="5274310" cy="2165056"/>
            <wp:effectExtent l="0" t="0" r="2540"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74310" cy="2165056"/>
                    </a:xfrm>
                    <a:prstGeom prst="rect">
                      <a:avLst/>
                    </a:prstGeom>
                  </pic:spPr>
                </pic:pic>
              </a:graphicData>
            </a:graphic>
          </wp:inline>
        </w:drawing>
      </w:r>
    </w:p>
    <w:p w:rsidR="00CF53E9" w:rsidRPr="00C7362A" w:rsidRDefault="001916A0" w:rsidP="00C7362A">
      <w:pPr>
        <w:pStyle w:val="a7"/>
        <w:rPr>
          <w:rFonts w:eastAsiaTheme="minorEastAsia"/>
        </w:rPr>
      </w:pPr>
      <w:r>
        <w:t>Fig. S</w:t>
      </w:r>
      <w:fldSimple w:instr=" SEQ Fig._S \* ARABIC ">
        <w:r w:rsidR="001C1565">
          <w:rPr>
            <w:noProof/>
          </w:rPr>
          <w:t>7</w:t>
        </w:r>
      </w:fldSimple>
      <w:r w:rsidRPr="001916A0">
        <w:t xml:space="preserve"> Lead–lag composites of low-latitude circulation anomalies for low-skill PWCEs from the FENGSHUN model. For each event type, the left and right panels show the observed and corresponding FENGSHUN forecast composites for the same set of low-skill events, respectively. Shading denotes outgoing longwave radiation anomalies, and vectors denote 850-hPa wind anomalies. The upper-right value in each forecast panel indicates the OLR </w:t>
      </w:r>
      <w:proofErr w:type="spellStart"/>
      <w:r w:rsidRPr="001916A0">
        <w:t>ACCu</w:t>
      </w:r>
      <w:proofErr w:type="spellEnd"/>
      <w:r w:rsidRPr="001916A0">
        <w:t>.</w:t>
      </w:r>
    </w:p>
    <w:sectPr w:rsidR="00CF53E9" w:rsidRPr="00C7362A" w:rsidSect="00173C33">
      <w:footerReference w:type="default" r:id="rId16"/>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25FE" w:rsidRDefault="000025FE" w:rsidP="0043161B">
      <w:r>
        <w:separator/>
      </w:r>
    </w:p>
  </w:endnote>
  <w:endnote w:type="continuationSeparator" w:id="0">
    <w:p w:rsidR="000025FE" w:rsidRDefault="000025FE" w:rsidP="00431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6452727"/>
      <w:docPartObj>
        <w:docPartGallery w:val="Page Numbers (Bottom of Page)"/>
        <w:docPartUnique/>
      </w:docPartObj>
    </w:sdtPr>
    <w:sdtContent>
      <w:p w:rsidR="00173C33" w:rsidRDefault="00173C33">
        <w:pPr>
          <w:pStyle w:val="a5"/>
          <w:jc w:val="center"/>
        </w:pPr>
        <w:r>
          <w:fldChar w:fldCharType="begin"/>
        </w:r>
        <w:r>
          <w:instrText>PAGE   \* MERGEFORMAT</w:instrText>
        </w:r>
        <w:r>
          <w:fldChar w:fldCharType="separate"/>
        </w:r>
        <w:r w:rsidRPr="00173C33">
          <w:rPr>
            <w:noProof/>
            <w:lang w:val="zh-CN"/>
          </w:rPr>
          <w:t>2</w:t>
        </w:r>
        <w:r>
          <w:fldChar w:fldCharType="end"/>
        </w:r>
      </w:p>
    </w:sdtContent>
  </w:sdt>
  <w:p w:rsidR="00173C33" w:rsidRDefault="00173C33">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25FE" w:rsidRDefault="000025FE" w:rsidP="0043161B">
      <w:r>
        <w:separator/>
      </w:r>
    </w:p>
  </w:footnote>
  <w:footnote w:type="continuationSeparator" w:id="0">
    <w:p w:rsidR="000025FE" w:rsidRDefault="000025FE" w:rsidP="004316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DB1"/>
    <w:rsid w:val="000025FE"/>
    <w:rsid w:val="000317D4"/>
    <w:rsid w:val="000379EF"/>
    <w:rsid w:val="00051CA6"/>
    <w:rsid w:val="000615D4"/>
    <w:rsid w:val="000B0012"/>
    <w:rsid w:val="000F6E3C"/>
    <w:rsid w:val="00173C33"/>
    <w:rsid w:val="001916A0"/>
    <w:rsid w:val="001B1977"/>
    <w:rsid w:val="001B45DC"/>
    <w:rsid w:val="001C1565"/>
    <w:rsid w:val="001D7874"/>
    <w:rsid w:val="00220D9B"/>
    <w:rsid w:val="0028305A"/>
    <w:rsid w:val="002E7E1A"/>
    <w:rsid w:val="002F0EC9"/>
    <w:rsid w:val="002F4152"/>
    <w:rsid w:val="002F7A90"/>
    <w:rsid w:val="00344FB8"/>
    <w:rsid w:val="003B185D"/>
    <w:rsid w:val="003D15A7"/>
    <w:rsid w:val="003D287F"/>
    <w:rsid w:val="00407D34"/>
    <w:rsid w:val="0043161B"/>
    <w:rsid w:val="004562A7"/>
    <w:rsid w:val="00477951"/>
    <w:rsid w:val="0048511E"/>
    <w:rsid w:val="004A5541"/>
    <w:rsid w:val="004E253E"/>
    <w:rsid w:val="004F660F"/>
    <w:rsid w:val="00544B7D"/>
    <w:rsid w:val="005517C5"/>
    <w:rsid w:val="00552875"/>
    <w:rsid w:val="005E62C4"/>
    <w:rsid w:val="005F451A"/>
    <w:rsid w:val="00617D2D"/>
    <w:rsid w:val="00633FB6"/>
    <w:rsid w:val="00656260"/>
    <w:rsid w:val="00666DB1"/>
    <w:rsid w:val="00742813"/>
    <w:rsid w:val="00757282"/>
    <w:rsid w:val="0076092A"/>
    <w:rsid w:val="0077299C"/>
    <w:rsid w:val="00780E73"/>
    <w:rsid w:val="007A5236"/>
    <w:rsid w:val="007A7C86"/>
    <w:rsid w:val="007A7EA7"/>
    <w:rsid w:val="007B31FF"/>
    <w:rsid w:val="007B5BB4"/>
    <w:rsid w:val="007D2DA9"/>
    <w:rsid w:val="007E371A"/>
    <w:rsid w:val="008A31BE"/>
    <w:rsid w:val="008E471C"/>
    <w:rsid w:val="00911D48"/>
    <w:rsid w:val="00954CB4"/>
    <w:rsid w:val="00990E7C"/>
    <w:rsid w:val="00A62BC4"/>
    <w:rsid w:val="00AA4F48"/>
    <w:rsid w:val="00AD332E"/>
    <w:rsid w:val="00AD5E8F"/>
    <w:rsid w:val="00B80096"/>
    <w:rsid w:val="00BC51FC"/>
    <w:rsid w:val="00C36625"/>
    <w:rsid w:val="00C61122"/>
    <w:rsid w:val="00C7362A"/>
    <w:rsid w:val="00C9353F"/>
    <w:rsid w:val="00CE0DC0"/>
    <w:rsid w:val="00CE552B"/>
    <w:rsid w:val="00CF0A11"/>
    <w:rsid w:val="00CF53E9"/>
    <w:rsid w:val="00D30863"/>
    <w:rsid w:val="00D57638"/>
    <w:rsid w:val="00D96161"/>
    <w:rsid w:val="00DA64A7"/>
    <w:rsid w:val="00E4255D"/>
    <w:rsid w:val="00E510D7"/>
    <w:rsid w:val="00E645E2"/>
    <w:rsid w:val="00EB2682"/>
    <w:rsid w:val="00EC28A3"/>
    <w:rsid w:val="00F2683A"/>
    <w:rsid w:val="00F36080"/>
    <w:rsid w:val="00F52EF1"/>
    <w:rsid w:val="00F573E2"/>
    <w:rsid w:val="00FD71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30"/>
  <w15:chartTrackingRefBased/>
  <w15:docId w15:val="{4C8A1378-5D6A-424D-88E7-2831AAC4D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6161"/>
    <w:pPr>
      <w:widowControl w:val="0"/>
      <w:jc w:val="both"/>
    </w:pPr>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161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3161B"/>
    <w:rPr>
      <w:sz w:val="18"/>
      <w:szCs w:val="18"/>
    </w:rPr>
  </w:style>
  <w:style w:type="paragraph" w:styleId="a5">
    <w:name w:val="footer"/>
    <w:basedOn w:val="a"/>
    <w:link w:val="a6"/>
    <w:uiPriority w:val="99"/>
    <w:unhideWhenUsed/>
    <w:rsid w:val="0043161B"/>
    <w:pPr>
      <w:tabs>
        <w:tab w:val="center" w:pos="4153"/>
        <w:tab w:val="right" w:pos="8306"/>
      </w:tabs>
      <w:snapToGrid w:val="0"/>
      <w:jc w:val="left"/>
    </w:pPr>
    <w:rPr>
      <w:sz w:val="18"/>
      <w:szCs w:val="18"/>
    </w:rPr>
  </w:style>
  <w:style w:type="character" w:customStyle="1" w:styleId="a6">
    <w:name w:val="页脚 字符"/>
    <w:basedOn w:val="a0"/>
    <w:link w:val="a5"/>
    <w:uiPriority w:val="99"/>
    <w:rsid w:val="0043161B"/>
    <w:rPr>
      <w:sz w:val="18"/>
      <w:szCs w:val="18"/>
    </w:rPr>
  </w:style>
  <w:style w:type="paragraph" w:styleId="a7">
    <w:name w:val="caption"/>
    <w:basedOn w:val="a"/>
    <w:next w:val="a"/>
    <w:uiPriority w:val="35"/>
    <w:unhideWhenUsed/>
    <w:qFormat/>
    <w:rsid w:val="00D96161"/>
    <w:rPr>
      <w:rFonts w:cs="Times New Roman"/>
      <w:sz w:val="20"/>
      <w:szCs w:val="20"/>
    </w:rPr>
  </w:style>
  <w:style w:type="character" w:styleId="a8">
    <w:name w:val="Hyperlink"/>
    <w:basedOn w:val="a0"/>
    <w:uiPriority w:val="99"/>
    <w:unhideWhenUsed/>
    <w:rsid w:val="00EC28A3"/>
    <w:rPr>
      <w:color w:val="0563C1" w:themeColor="hyperlink"/>
      <w:u w:val="single"/>
    </w:rPr>
  </w:style>
  <w:style w:type="character" w:styleId="a9">
    <w:name w:val="line number"/>
    <w:basedOn w:val="a0"/>
    <w:uiPriority w:val="99"/>
    <w:semiHidden/>
    <w:unhideWhenUsed/>
    <w:rsid w:val="00173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115089">
      <w:bodyDiv w:val="1"/>
      <w:marLeft w:val="0"/>
      <w:marRight w:val="0"/>
      <w:marTop w:val="0"/>
      <w:marBottom w:val="0"/>
      <w:divBdr>
        <w:top w:val="none" w:sz="0" w:space="0" w:color="auto"/>
        <w:left w:val="none" w:sz="0" w:space="0" w:color="auto"/>
        <w:bottom w:val="none" w:sz="0" w:space="0" w:color="auto"/>
        <w:right w:val="none" w:sz="0" w:space="0" w:color="auto"/>
      </w:divBdr>
      <w:divsChild>
        <w:div w:id="243494346">
          <w:marLeft w:val="480"/>
          <w:marRight w:val="0"/>
          <w:marTop w:val="0"/>
          <w:marBottom w:val="0"/>
          <w:divBdr>
            <w:top w:val="none" w:sz="0" w:space="0" w:color="auto"/>
            <w:left w:val="none" w:sz="0" w:space="0" w:color="auto"/>
            <w:bottom w:val="none" w:sz="0" w:space="0" w:color="auto"/>
            <w:right w:val="none" w:sz="0" w:space="0" w:color="auto"/>
          </w:divBdr>
          <w:divsChild>
            <w:div w:id="197440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782506">
      <w:bodyDiv w:val="1"/>
      <w:marLeft w:val="0"/>
      <w:marRight w:val="0"/>
      <w:marTop w:val="0"/>
      <w:marBottom w:val="0"/>
      <w:divBdr>
        <w:top w:val="none" w:sz="0" w:space="0" w:color="auto"/>
        <w:left w:val="none" w:sz="0" w:space="0" w:color="auto"/>
        <w:bottom w:val="none" w:sz="0" w:space="0" w:color="auto"/>
        <w:right w:val="none" w:sz="0" w:space="0" w:color="auto"/>
      </w:divBdr>
      <w:divsChild>
        <w:div w:id="1150288203">
          <w:marLeft w:val="0"/>
          <w:marRight w:val="0"/>
          <w:marTop w:val="0"/>
          <w:marBottom w:val="0"/>
          <w:divBdr>
            <w:top w:val="none" w:sz="0" w:space="0" w:color="auto"/>
            <w:left w:val="none" w:sz="0" w:space="0" w:color="auto"/>
            <w:bottom w:val="none" w:sz="0" w:space="0" w:color="auto"/>
            <w:right w:val="none" w:sz="0" w:space="0" w:color="auto"/>
          </w:divBdr>
          <w:divsChild>
            <w:div w:id="21431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014160">
      <w:bodyDiv w:val="1"/>
      <w:marLeft w:val="0"/>
      <w:marRight w:val="0"/>
      <w:marTop w:val="0"/>
      <w:marBottom w:val="0"/>
      <w:divBdr>
        <w:top w:val="none" w:sz="0" w:space="0" w:color="auto"/>
        <w:left w:val="none" w:sz="0" w:space="0" w:color="auto"/>
        <w:bottom w:val="none" w:sz="0" w:space="0" w:color="auto"/>
        <w:right w:val="none" w:sz="0" w:space="0" w:color="auto"/>
      </w:divBdr>
      <w:divsChild>
        <w:div w:id="1024474562">
          <w:marLeft w:val="480"/>
          <w:marRight w:val="0"/>
          <w:marTop w:val="0"/>
          <w:marBottom w:val="0"/>
          <w:divBdr>
            <w:top w:val="none" w:sz="0" w:space="0" w:color="auto"/>
            <w:left w:val="none" w:sz="0" w:space="0" w:color="auto"/>
            <w:bottom w:val="none" w:sz="0" w:space="0" w:color="auto"/>
            <w:right w:val="none" w:sz="0" w:space="0" w:color="auto"/>
          </w:divBdr>
          <w:divsChild>
            <w:div w:id="19839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3-4233-2740"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wujie@cma.gov.cn"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2DD34-C4EC-48DF-882A-8F9FCF579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13043</TotalTime>
  <Pages>6</Pages>
  <Words>635</Words>
  <Characters>3625</Characters>
  <Application>Microsoft Office Word</Application>
  <DocSecurity>0</DocSecurity>
  <Lines>30</Lines>
  <Paragraphs>8</Paragraphs>
  <ScaleCrop>false</ScaleCrop>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39</cp:revision>
  <dcterms:created xsi:type="dcterms:W3CDTF">2026-01-01T09:49:00Z</dcterms:created>
  <dcterms:modified xsi:type="dcterms:W3CDTF">2026-08-12T12:21:00Z</dcterms:modified>
</cp:coreProperties>
</file>