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D8" w:rsidRPr="00D66C02" w:rsidRDefault="008317D8" w:rsidP="008317D8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D66C02">
        <w:rPr>
          <w:rFonts w:ascii="Times New Roman" w:hAnsi="Times New Roman"/>
          <w:b/>
          <w:bCs/>
          <w:sz w:val="24"/>
          <w:szCs w:val="24"/>
        </w:rPr>
        <w:t xml:space="preserve">Supplementary table 1. </w:t>
      </w:r>
      <w:r w:rsidRPr="00B362AB">
        <w:rPr>
          <w:rFonts w:ascii="Times New Roman" w:hAnsi="Times New Roman"/>
          <w:b/>
          <w:bCs/>
          <w:sz w:val="24"/>
          <w:szCs w:val="24"/>
        </w:rPr>
        <w:t>Primers used in the present study</w:t>
      </w:r>
    </w:p>
    <w:tbl>
      <w:tblPr>
        <w:tblW w:w="7797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2127"/>
        <w:gridCol w:w="5670"/>
      </w:tblGrid>
      <w:tr w:rsidR="008317D8" w:rsidRPr="00D66C02" w:rsidTr="008618FB">
        <w:trPr>
          <w:trHeight w:val="20"/>
        </w:trPr>
        <w:tc>
          <w:tcPr>
            <w:tcW w:w="2127" w:type="dxa"/>
            <w:tcBorders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Primers</w:t>
            </w:r>
          </w:p>
        </w:tc>
        <w:tc>
          <w:tcPr>
            <w:tcW w:w="5670" w:type="dxa"/>
            <w:tcBorders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Sequence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E-cadherin</w:t>
            </w:r>
          </w:p>
        </w:tc>
        <w:tc>
          <w:tcPr>
            <w:tcW w:w="56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5′-AGTCACTGACACCAACGATAAT-3′(forward)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5′-ATCGTTGTTCACTGGATTTGTG-3′(reverse)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N-cadherin</w:t>
            </w:r>
          </w:p>
        </w:tc>
        <w:tc>
          <w:tcPr>
            <w:tcW w:w="5670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CGATAAGGATCAACCCCATACA-3′(forward)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5′-TTCAAAGTCGATTGGTTTGACC-3′(reverse)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Vimentin</w:t>
            </w:r>
          </w:p>
        </w:tc>
        <w:tc>
          <w:tcPr>
            <w:tcW w:w="56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CCTTCGTGAATACCAAGACCTGCTC-3′(forward)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AATCCTGCTCTCCTCGCCTTCC-3′(reverse)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α-SMA</w:t>
            </w:r>
          </w:p>
        </w:tc>
        <w:tc>
          <w:tcPr>
            <w:tcW w:w="5670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CTTCGTTACTACTGCTGAGCGTGAG-3′(forward)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CCCATCAGGCAACTCGTAACTCTTC-3′(reverse)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slug</w:t>
            </w:r>
          </w:p>
        </w:tc>
        <w:tc>
          <w:tcPr>
            <w:tcW w:w="56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CTGTGACAAGGAATATGTGAGC-3′(forward)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5′-CTAATGTGTCCTTGAAGCAACC-3′(reverse)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snail</w:t>
            </w:r>
          </w:p>
        </w:tc>
        <w:tc>
          <w:tcPr>
            <w:tcW w:w="5670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CCTCGCTGCCAATGCTCATCTG-3′(forward)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AGCCTTTCCCACTGTCCTCATCTG-3′(reverse)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zeb1</w:t>
            </w:r>
          </w:p>
        </w:tc>
        <w:tc>
          <w:tcPr>
            <w:tcW w:w="56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5′-CAGGCAAAGTAAATATCCCTGC-3′(forward)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5′-GGTAAAACTGGGGAGTTAGTCA-3′(reverse)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zeb2</w:t>
            </w:r>
          </w:p>
        </w:tc>
        <w:tc>
          <w:tcPr>
            <w:tcW w:w="5670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5′-GAAGACAGAGAGTGGCATGTAT-3′(forward)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 GTGTGTTCGTATTTATGTCGCA-3′(reverse)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MMP1</w:t>
            </w:r>
          </w:p>
        </w:tc>
        <w:tc>
          <w:tcPr>
            <w:tcW w:w="56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5′-AGATTCTACATGCGCACAAATC-3′ 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5′-CCTTTGAAAAACCGGACTTCAT-3′ (reverse)</w:t>
            </w:r>
          </w:p>
        </w:tc>
      </w:tr>
      <w:tr w:rsidR="008317D8" w:rsidRPr="00D66C02" w:rsidTr="008618FB">
        <w:trPr>
          <w:trHeight w:val="20"/>
        </w:trPr>
        <w:tc>
          <w:tcPr>
            <w:tcW w:w="2127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GAPDH</w:t>
            </w:r>
          </w:p>
        </w:tc>
        <w:tc>
          <w:tcPr>
            <w:tcW w:w="5670" w:type="dxa"/>
            <w:shd w:val="clear" w:color="auto" w:fill="auto"/>
          </w:tcPr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5'- GCACCGTCAAGGCTGAGAAC -3'(forward)</w:t>
            </w:r>
          </w:p>
          <w:p w:rsidR="008317D8" w:rsidRPr="00D66C02" w:rsidRDefault="008317D8" w:rsidP="008618FB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5'- TGGTGAAGACGCCAGTGGA -3' (reverse)</w:t>
            </w:r>
          </w:p>
        </w:tc>
      </w:tr>
    </w:tbl>
    <w:p w:rsidR="008317D8" w:rsidRPr="00D66C02" w:rsidRDefault="008317D8" w:rsidP="008317D8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D66C02">
        <w:rPr>
          <w:rFonts w:ascii="Times New Roman" w:hAnsi="Times New Roman"/>
          <w:sz w:val="24"/>
          <w:szCs w:val="24"/>
        </w:rPr>
        <w:t>The above primers were used for real-time quantitative PCR experiment.</w:t>
      </w:r>
    </w:p>
    <w:p w:rsidR="00000F57" w:rsidRDefault="008317D8"/>
    <w:p w:rsidR="008317D8" w:rsidRPr="00B362AB" w:rsidRDefault="008317D8" w:rsidP="008317D8">
      <w:pPr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D66C02">
        <w:rPr>
          <w:rFonts w:ascii="Times New Roman" w:hAnsi="Times New Roman"/>
          <w:b/>
          <w:bCs/>
          <w:sz w:val="24"/>
          <w:szCs w:val="24"/>
        </w:rPr>
        <w:t>Supplementary table 2</w:t>
      </w:r>
      <w:r w:rsidRPr="00D66C02">
        <w:rPr>
          <w:rFonts w:ascii="Times New Roman" w:hAnsi="Times New Roman"/>
          <w:sz w:val="24"/>
          <w:szCs w:val="24"/>
        </w:rPr>
        <w:t xml:space="preserve">. </w:t>
      </w:r>
      <w:r w:rsidRPr="00B362AB">
        <w:rPr>
          <w:rFonts w:ascii="Times New Roman" w:hAnsi="Times New Roman"/>
          <w:b/>
          <w:bCs/>
          <w:sz w:val="24"/>
          <w:szCs w:val="24"/>
        </w:rPr>
        <w:t>The fold change of glucose transporters in acidosis-adapted PANC1 cells</w:t>
      </w:r>
    </w:p>
    <w:tbl>
      <w:tblPr>
        <w:tblW w:w="7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680"/>
        <w:gridCol w:w="1520"/>
        <w:gridCol w:w="1080"/>
        <w:gridCol w:w="1520"/>
      </w:tblGrid>
      <w:tr w:rsidR="008317D8" w:rsidRPr="00D66C02" w:rsidTr="008618FB">
        <w:trPr>
          <w:trHeight w:val="20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Gene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Family group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Fold change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Trend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b/>
                <w:bCs/>
                <w:szCs w:val="21"/>
              </w:rPr>
              <w:t>P value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SLC2A12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4.50 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1.42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0.07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1.32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lastRenderedPageBreak/>
              <w:t>SLC2A14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0.04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0.84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2.22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0.11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SLC2A9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GLUT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1.43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0.20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0.05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0.23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0.91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0.45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0.01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up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0.98 </w:t>
            </w:r>
          </w:p>
        </w:tc>
      </w:tr>
      <w:tr w:rsidR="008317D8" w:rsidRPr="00D66C02" w:rsidTr="008618FB">
        <w:trPr>
          <w:trHeight w:val="20"/>
        </w:trPr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SLC5A10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SGLT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1.08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>down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bottom"/>
          </w:tcPr>
          <w:p w:rsidR="008317D8" w:rsidRPr="00D66C02" w:rsidRDefault="008317D8" w:rsidP="008618FB">
            <w:pPr>
              <w:spacing w:line="480" w:lineRule="auto"/>
              <w:jc w:val="left"/>
              <w:rPr>
                <w:rFonts w:ascii="Times New Roman" w:hAnsi="Times New Roman"/>
                <w:szCs w:val="21"/>
              </w:rPr>
            </w:pPr>
            <w:r w:rsidRPr="00D66C02">
              <w:rPr>
                <w:rFonts w:ascii="Times New Roman" w:hAnsi="Times New Roman"/>
                <w:szCs w:val="21"/>
              </w:rPr>
              <w:t xml:space="preserve">0.37 </w:t>
            </w:r>
          </w:p>
        </w:tc>
      </w:tr>
    </w:tbl>
    <w:p w:rsidR="008317D8" w:rsidRPr="00F206F5" w:rsidRDefault="008317D8" w:rsidP="008317D8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 w:rsidRPr="00D66C02">
        <w:rPr>
          <w:rFonts w:ascii="Times New Roman" w:hAnsi="Times New Roman"/>
          <w:sz w:val="24"/>
          <w:szCs w:val="24"/>
        </w:rPr>
        <w:t>Change information of glucose transporters in acidosis-adapted PANC1 cells.</w:t>
      </w:r>
    </w:p>
    <w:p w:rsidR="008317D8" w:rsidRDefault="008317D8">
      <w:bookmarkStart w:id="0" w:name="_GoBack"/>
      <w:bookmarkEnd w:id="0"/>
    </w:p>
    <w:sectPr w:rsidR="0083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D8"/>
    <w:rsid w:val="0007695B"/>
    <w:rsid w:val="005615C6"/>
    <w:rsid w:val="007D4061"/>
    <w:rsid w:val="008317D8"/>
    <w:rsid w:val="008B4EED"/>
    <w:rsid w:val="00CD1A17"/>
    <w:rsid w:val="00EE3FE5"/>
    <w:rsid w:val="00E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8078"/>
  <w15:chartTrackingRefBased/>
  <w15:docId w15:val="{6EB93658-AECE-4269-8795-9E7B90F1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D8"/>
    <w:pPr>
      <w:widowControl w:val="0"/>
      <w:spacing w:after="0" w:line="240" w:lineRule="auto"/>
      <w:jc w:val="both"/>
    </w:pPr>
    <w:rPr>
      <w:rFonts w:ascii="DengXian" w:eastAsia="DengXian" w:hAnsi="DengXian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>Springer Nature IT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2021-11-23T09:16:00Z</dcterms:created>
  <dcterms:modified xsi:type="dcterms:W3CDTF">2021-11-23T09:16:00Z</dcterms:modified>
</cp:coreProperties>
</file>