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F72" w:rsidRPr="003C6CF4" w:rsidRDefault="00D87D0A" w:rsidP="003C6CF4">
      <w:pPr>
        <w:jc w:val="both"/>
        <w:rPr>
          <w:sz w:val="24"/>
          <w:szCs w:val="24"/>
        </w:rPr>
      </w:pPr>
      <w:r>
        <w:rPr>
          <w:sz w:val="24"/>
          <w:szCs w:val="24"/>
        </w:rPr>
        <w:t>Table S1</w:t>
      </w:r>
      <w:r w:rsidR="003C6CF4" w:rsidRPr="003C6CF4">
        <w:rPr>
          <w:sz w:val="24"/>
          <w:szCs w:val="24"/>
        </w:rPr>
        <w:t>. Multivariable logistic regression of factors associated with non-obstructive coronary arteries after fibrinolysis</w:t>
      </w:r>
    </w:p>
    <w:tbl>
      <w:tblPr>
        <w:tblW w:w="9707" w:type="dxa"/>
        <w:jc w:val="center"/>
        <w:tblLayout w:type="fixed"/>
        <w:tblLook w:val="04A0" w:firstRow="1" w:lastRow="0" w:firstColumn="1" w:lastColumn="0" w:noHBand="0" w:noVBand="1"/>
      </w:tblPr>
      <w:tblGrid>
        <w:gridCol w:w="3086"/>
        <w:gridCol w:w="2207"/>
        <w:gridCol w:w="2207"/>
        <w:gridCol w:w="2207"/>
      </w:tblGrid>
      <w:tr w:rsidR="00D12F72" w:rsidRPr="003C6CF4" w:rsidTr="003C6CF4">
        <w:trPr>
          <w:trHeight w:val="421"/>
          <w:jc w:val="center"/>
        </w:trPr>
        <w:tc>
          <w:tcPr>
            <w:tcW w:w="30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22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C6CF4">
              <w:rPr>
                <w:b/>
                <w:sz w:val="24"/>
                <w:szCs w:val="24"/>
              </w:rPr>
              <w:t>Adjusted OR</w:t>
            </w:r>
          </w:p>
        </w:tc>
        <w:tc>
          <w:tcPr>
            <w:tcW w:w="22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b/>
                <w:sz w:val="24"/>
                <w:szCs w:val="24"/>
              </w:rPr>
              <w:t>95% CI</w:t>
            </w:r>
          </w:p>
        </w:tc>
        <w:tc>
          <w:tcPr>
            <w:tcW w:w="22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b/>
                <w:sz w:val="24"/>
                <w:szCs w:val="24"/>
              </w:rPr>
              <w:t>P value</w:t>
            </w:r>
          </w:p>
        </w:tc>
      </w:tr>
      <w:tr w:rsidR="00D12F72" w:rsidRPr="003C6CF4" w:rsidTr="003C6CF4">
        <w:trPr>
          <w:trHeight w:val="407"/>
          <w:jc w:val="center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Age, per 10-year increase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0.61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0.47–0.81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&lt;0.001</w:t>
            </w:r>
          </w:p>
        </w:tc>
      </w:tr>
      <w:tr w:rsidR="00D12F72" w:rsidRPr="003C6CF4" w:rsidTr="003C6CF4">
        <w:trPr>
          <w:trHeight w:val="407"/>
          <w:jc w:val="center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Female sex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0.72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0.36–1.45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0.357</w:t>
            </w:r>
          </w:p>
        </w:tc>
      </w:tr>
      <w:tr w:rsidR="00D12F72" w:rsidRPr="003C6CF4" w:rsidTr="003C6CF4">
        <w:trPr>
          <w:trHeight w:val="407"/>
          <w:jc w:val="center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Diabetes mellitus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0.51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0.22–1.17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0.112</w:t>
            </w:r>
          </w:p>
        </w:tc>
      </w:tr>
      <w:tr w:rsidR="00D12F72" w:rsidRPr="003C6CF4" w:rsidTr="003C6CF4">
        <w:trPr>
          <w:trHeight w:val="421"/>
          <w:jc w:val="center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Dyslipidemia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0.50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0.28–0.91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0.024</w:t>
            </w:r>
          </w:p>
        </w:tc>
      </w:tr>
      <w:tr w:rsidR="00D12F72" w:rsidRPr="003C6CF4" w:rsidTr="003C6CF4">
        <w:trPr>
          <w:trHeight w:val="407"/>
          <w:jc w:val="center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Reported illicit drug use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0.93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0.31–2.81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0.902</w:t>
            </w:r>
          </w:p>
        </w:tc>
      </w:tr>
      <w:tr w:rsidR="00D12F72" w:rsidRPr="003C6CF4" w:rsidTr="003C6CF4">
        <w:trPr>
          <w:trHeight w:val="407"/>
          <w:jc w:val="center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hs-TnT &gt;100 pg/mL at admission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0.22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0.12–0.39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&lt;0.001</w:t>
            </w:r>
          </w:p>
        </w:tc>
      </w:tr>
      <w:tr w:rsidR="00D12F72" w:rsidRPr="003C6CF4" w:rsidTr="003C6CF4">
        <w:trPr>
          <w:trHeight w:val="421"/>
          <w:jc w:val="center"/>
        </w:trPr>
        <w:tc>
          <w:tcPr>
            <w:tcW w:w="308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LVEF &lt;50%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0.45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0.24–0.83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12F72" w:rsidRPr="003C6CF4" w:rsidRDefault="003C6CF4">
            <w:pPr>
              <w:jc w:val="center"/>
              <w:rPr>
                <w:sz w:val="24"/>
                <w:szCs w:val="24"/>
              </w:rPr>
            </w:pPr>
            <w:r w:rsidRPr="003C6CF4">
              <w:rPr>
                <w:sz w:val="24"/>
                <w:szCs w:val="24"/>
              </w:rPr>
              <w:t>0.011</w:t>
            </w:r>
          </w:p>
        </w:tc>
      </w:tr>
    </w:tbl>
    <w:p w:rsidR="00D12F72" w:rsidRPr="003C6CF4" w:rsidRDefault="003C6CF4" w:rsidP="003C6CF4">
      <w:pPr>
        <w:jc w:val="both"/>
        <w:rPr>
          <w:szCs w:val="20"/>
        </w:rPr>
      </w:pPr>
      <w:r w:rsidRPr="003C6CF4">
        <w:rPr>
          <w:szCs w:val="20"/>
        </w:rPr>
        <w:t>The model included 1,472 patients with complete data, including 55 patients with non-obstructive coronary arteries. The dependent variable was the presence of non-obstructive coronary arteries (&lt;50% stenosis). An OR &gt;1 indicates a greater association with the non-obstructive phenotype. Abbreviations: CI, confidence interval; hs-TnT, high-sensitivity troponin T; LVEF, left ventricular ejection fraction; OR, odds ratio.</w:t>
      </w:r>
    </w:p>
    <w:sectPr w:rsidR="00D12F72" w:rsidRPr="003C6CF4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6CF4"/>
    <w:rsid w:val="00AA1D8D"/>
    <w:rsid w:val="00B47730"/>
    <w:rsid w:val="00CB0664"/>
    <w:rsid w:val="00D12F72"/>
    <w:rsid w:val="00D87D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433CE"/>
  <w14:defaultImageDpi w14:val="300"/>
  <w15:docId w15:val="{AFB471BE-F371-E748-854A-6835EF49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A527A4-46D0-FD40-B634-E065ED77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3</cp:revision>
  <dcterms:created xsi:type="dcterms:W3CDTF">2013-12-23T23:15:00Z</dcterms:created>
  <dcterms:modified xsi:type="dcterms:W3CDTF">2026-08-12T20:33:00Z</dcterms:modified>
  <cp:category/>
</cp:coreProperties>
</file>