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2"/>
        <w:spacing w:line="240" w:lineRule="auto"/>
      </w:pPr>
      <w:r>
        <w:rPr>
          <w:rFonts w:ascii="Arial" w:hAnsi="Arial" w:eastAsia="Arial"/>
          <w:sz w:val="20"/>
        </w:rPr>
        <w:t>Supplementary Table S1. Robustness of remifentanil-DGE association (the seven-covariate core model is primary; extended models are exploratory)</w:t>
      </w:r>
    </w:p>
    <w:p>
      <w:pPr>
        <w:spacing w:line="240" w:lineRule="auto"/>
      </w:pPr>
      <w:r>
        <w:rPr>
          <w:rFonts w:ascii="Arial" w:hAnsi="Arial" w:eastAsia="Arial"/>
          <w:i/>
          <w:sz w:val="20"/>
        </w:rPr>
        <w:t>DGE-severe (ISGPS grade C) as outcome. OR per one-level increase in dose group. CI = 95% confidence interval.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  <w:cantSplit/>
        </w:trPr>
        <w:tc>
          <w:tcPr>
            <w:tcW w:type="dxa" w:w="1728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Model</w:t>
            </w:r>
          </w:p>
        </w:tc>
        <w:tc>
          <w:tcPr>
            <w:tcW w:type="dxa" w:w="1728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OR</w:t>
            </w:r>
          </w:p>
        </w:tc>
        <w:tc>
          <w:tcPr>
            <w:tcW w:type="dxa" w:w="1728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95% CI</w:t>
            </w:r>
          </w:p>
        </w:tc>
        <w:tc>
          <w:tcPr>
            <w:tcW w:type="dxa" w:w="1728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P value</w:t>
            </w:r>
          </w:p>
        </w:tc>
        <w:tc>
          <w:tcPr>
            <w:tcW w:type="dxa" w:w="1728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EPV</w:t>
            </w:r>
          </w:p>
        </w:tc>
      </w:tr>
      <w:tr>
        <w:trPr>
          <w:cantSplit/>
        </w:trPr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Crude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2.13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1.33–3.40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0.0016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20.5</w:t>
            </w:r>
          </w:p>
        </w:tc>
      </w:tr>
      <w:tr>
        <w:trPr>
          <w:cantSplit/>
        </w:trPr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Minimal (age/sex/surg_dur)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2.12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1.32–3.43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0.0021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8.2</w:t>
            </w:r>
          </w:p>
        </w:tc>
      </w:tr>
      <w:tr>
        <w:trPr>
          <w:cantSplit/>
        </w:trPr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Reduced (age/sex/bmi/asa/surg_dur)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2.40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1.44–4.00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0.0008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5.9</w:t>
            </w:r>
          </w:p>
        </w:tc>
      </w:tr>
      <w:tr>
        <w:trPr>
          <w:cantSplit/>
        </w:trPr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Full standard logistic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2.39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1.41–4.07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0.0013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2.6</w:t>
            </w:r>
          </w:p>
        </w:tc>
      </w:tr>
      <w:tr>
        <w:trPr>
          <w:cantSplit/>
        </w:trPr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Full Firth penalized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2.22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1.35–3.67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0.0018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2.6</w:t>
            </w:r>
          </w:p>
        </w:tc>
      </w:tr>
      <w:tr>
        <w:trPr>
          <w:cantSplit/>
        </w:trPr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High vs Low standard logistic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8.12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2.52–26.17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0.0005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2.6</w:t>
            </w:r>
          </w:p>
        </w:tc>
      </w:tr>
      <w:tr>
        <w:trPr>
          <w:cantSplit/>
        </w:trPr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High vs Low Firth penalized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6.00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2.10–17.21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0.0008</w:t>
            </w:r>
          </w:p>
        </w:tc>
        <w:tc>
          <w:tcPr>
            <w:tcW w:type="dxa" w:w="1728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2.6</w:t>
            </w:r>
          </w:p>
        </w:tc>
      </w:tr>
      <w:tr>
        <w:trPr>
          <w:cantSplit/>
        </w:trPr>
        <w:tc>
          <w:tcPr>
            <w:tcW w:type="dxa" w:w="1728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High vs Low PS-adjusted</w:t>
            </w:r>
          </w:p>
        </w:tc>
        <w:tc>
          <w:tcPr>
            <w:tcW w:type="dxa" w:w="1728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4.34</w:t>
            </w:r>
          </w:p>
        </w:tc>
        <w:tc>
          <w:tcPr>
            <w:tcW w:type="dxa" w:w="1728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1.62–11.61</w:t>
            </w:r>
          </w:p>
        </w:tc>
        <w:tc>
          <w:tcPr>
            <w:tcW w:type="dxa" w:w="1728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0.0034</w:t>
            </w:r>
          </w:p>
        </w:tc>
        <w:tc>
          <w:tcPr>
            <w:tcW w:type="dxa" w:w="1728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13.7</w:t>
            </w:r>
          </w:p>
        </w:tc>
      </w:tr>
    </w:tbl>
    <w:p>
      <w:pPr>
        <w:spacing w:line="240" w:lineRule="auto"/>
      </w:pPr>
    </w:p>
    <w:p>
      <w:pPr>
        <w:pStyle w:val="Heading2"/>
        <w:spacing w:line="240" w:lineRule="auto"/>
      </w:pPr>
      <w:r>
        <w:rPr>
          <w:rFonts w:ascii="Arial" w:hAnsi="Arial" w:eastAsia="Arial"/>
          <w:sz w:val="20"/>
        </w:rPr>
        <w:t>Supplementary Table S2. Temporal validation by surgical date</w:t>
      </w:r>
    </w:p>
    <w:p>
      <w:pPr>
        <w:spacing w:line="240" w:lineRule="auto"/>
      </w:pPr>
      <w:r>
        <w:rPr>
          <w:rFonts w:ascii="Arial" w:hAnsi="Arial" w:eastAsia="Arial"/>
          <w:i/>
          <w:sz w:val="20"/>
        </w:rPr>
        <w:t>Split at median surgical date (2024-02-07). Firth penalized logistic regression adjusted for 14 covariates.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blHeader w:val="true"/>
          <w:cantSplit/>
        </w:trPr>
        <w:tc>
          <w:tcPr>
            <w:tcW w:type="dxa" w:w="1440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Period</w:t>
            </w:r>
          </w:p>
        </w:tc>
        <w:tc>
          <w:tcPr>
            <w:tcW w:type="dxa" w:w="1440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N</w:t>
            </w:r>
          </w:p>
        </w:tc>
        <w:tc>
          <w:tcPr>
            <w:tcW w:type="dxa" w:w="1440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Events</w:t>
            </w:r>
          </w:p>
        </w:tc>
        <w:tc>
          <w:tcPr>
            <w:tcW w:type="dxa" w:w="1440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Adjusted OR</w:t>
            </w:r>
          </w:p>
        </w:tc>
        <w:tc>
          <w:tcPr>
            <w:tcW w:type="dxa" w:w="1440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95% CI</w:t>
            </w:r>
          </w:p>
        </w:tc>
        <w:tc>
          <w:tcPr>
            <w:tcW w:type="dxa" w:w="1440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P value</w:t>
            </w:r>
          </w:p>
        </w:tc>
      </w:tr>
      <w:tr>
        <w:trPr>
          <w:cantSplit/>
        </w:trPr>
        <w:tc>
          <w:tcPr>
            <w:tcW w:type="dxa" w:w="144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2024-02-07 and before</w:t>
            </w:r>
          </w:p>
        </w:tc>
        <w:tc>
          <w:tcPr>
            <w:tcW w:type="dxa" w:w="144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148</w:t>
            </w:r>
          </w:p>
        </w:tc>
        <w:tc>
          <w:tcPr>
            <w:tcW w:type="dxa" w:w="144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22</w:t>
            </w:r>
          </w:p>
        </w:tc>
        <w:tc>
          <w:tcPr>
            <w:tcW w:type="dxa" w:w="144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2.38</w:t>
            </w:r>
          </w:p>
        </w:tc>
        <w:tc>
          <w:tcPr>
            <w:tcW w:type="dxa" w:w="144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1.20–4.71</w:t>
            </w:r>
          </w:p>
        </w:tc>
        <w:tc>
          <w:tcPr>
            <w:tcW w:type="dxa" w:w="144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0.0131</w:t>
            </w:r>
          </w:p>
        </w:tc>
      </w:tr>
      <w:tr>
        <w:trPr>
          <w:cantSplit/>
        </w:trPr>
        <w:tc>
          <w:tcPr>
            <w:tcW w:type="dxa" w:w="1440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After 2024-02-07</w:t>
            </w:r>
          </w:p>
        </w:tc>
        <w:tc>
          <w:tcPr>
            <w:tcW w:type="dxa" w:w="1440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148</w:t>
            </w:r>
          </w:p>
        </w:tc>
        <w:tc>
          <w:tcPr>
            <w:tcW w:type="dxa" w:w="1440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19</w:t>
            </w:r>
          </w:p>
        </w:tc>
        <w:tc>
          <w:tcPr>
            <w:tcW w:type="dxa" w:w="1440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1.43</w:t>
            </w:r>
          </w:p>
        </w:tc>
        <w:tc>
          <w:tcPr>
            <w:tcW w:type="dxa" w:w="1440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0.63–3.26</w:t>
            </w:r>
          </w:p>
        </w:tc>
        <w:tc>
          <w:tcPr>
            <w:tcW w:type="dxa" w:w="1440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0.3921</w:t>
            </w:r>
          </w:p>
        </w:tc>
      </w:tr>
    </w:tbl>
    <w:p>
      <w:pPr>
        <w:spacing w:line="240" w:lineRule="auto"/>
      </w:pPr>
    </w:p>
    <w:p>
      <w:pPr>
        <w:pStyle w:val="Heading2"/>
        <w:spacing w:line="240" w:lineRule="auto"/>
      </w:pPr>
      <w:r>
        <w:rPr>
          <w:rFonts w:ascii="Arial" w:hAnsi="Arial" w:eastAsia="Arial"/>
          <w:sz w:val="20"/>
        </w:rPr>
        <w:t>Supplementary Table S3. Sensitivity analysis: additional adjustment for sufentanil</w:t>
      </w:r>
    </w:p>
    <w:p>
      <w:pPr>
        <w:spacing w:line="240" w:lineRule="auto"/>
      </w:pPr>
      <w:r>
        <w:rPr>
          <w:rFonts w:ascii="Arial" w:hAnsi="Arial" w:eastAsia="Arial"/>
          <w:i/>
          <w:sz w:val="20"/>
        </w:rPr>
        <w:t>Overall sufentanil use: 62.5% (80.2% low, 56.9% medium, 31.1% high remifentanil groups). All models adjusted for 14 baseline covariates.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  <w:cantSplit/>
        </w:trPr>
        <w:tc>
          <w:tcPr>
            <w:tcW w:type="dxa" w:w="2160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Model</w:t>
            </w:r>
          </w:p>
        </w:tc>
        <w:tc>
          <w:tcPr>
            <w:tcW w:type="dxa" w:w="2160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OR</w:t>
            </w:r>
          </w:p>
        </w:tc>
        <w:tc>
          <w:tcPr>
            <w:tcW w:type="dxa" w:w="2160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95% CI</w:t>
            </w:r>
          </w:p>
        </w:tc>
        <w:tc>
          <w:tcPr>
            <w:tcW w:type="dxa" w:w="2160"/>
            <w:tcBorders>
              <w:top w:sz="12" w:val="single" w:color="000000"/>
              <w:bottom w:sz="6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/>
                <w:sz w:val="16"/>
              </w:rPr>
              <w:t>P value</w:t>
            </w:r>
          </w:p>
        </w:tc>
      </w:tr>
      <w:tr>
        <w:trPr>
          <w:cantSplit/>
        </w:trPr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Without sufentanil (primary)</w:t>
            </w:r>
          </w:p>
        </w:tc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2.391</w:t>
            </w:r>
          </w:p>
        </w:tc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1.405–4.069</w:t>
            </w:r>
          </w:p>
        </w:tc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0.0013</w:t>
            </w:r>
          </w:p>
        </w:tc>
      </w:tr>
      <w:tr>
        <w:trPr>
          <w:cantSplit/>
        </w:trPr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+ Sufentanil use (binary)</w:t>
            </w:r>
          </w:p>
        </w:tc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2.591</w:t>
            </w:r>
          </w:p>
        </w:tc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1.461–4.595</w:t>
            </w:r>
          </w:p>
        </w:tc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0.0011</w:t>
            </w:r>
          </w:p>
        </w:tc>
      </w:tr>
      <w:tr>
        <w:trPr>
          <w:cantSplit/>
        </w:trPr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+ Sufentanil dose (continuous, µg)</w:t>
            </w:r>
          </w:p>
        </w:tc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2.703</w:t>
            </w:r>
          </w:p>
        </w:tc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1.537–4.755</w:t>
            </w:r>
          </w:p>
        </w:tc>
        <w:tc>
          <w:tcPr>
            <w:tcW w:type="dxa" w:w="2160"/>
            <w:tcBorders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sz w:val="16"/>
              </w:rPr>
              <w:t>0.0006</w:t>
            </w:r>
          </w:p>
        </w:tc>
      </w:tr>
      <w:tr>
        <w:trPr>
          <w:cantSplit/>
        </w:trPr>
        <w:tc>
          <w:tcPr>
            <w:tcW w:type="dxa" w:w="2160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/>
                <w:sz w:val="16"/>
              </w:rPr>
              <w:t>Sufentanil direct association (per µg)</w:t>
            </w:r>
          </w:p>
        </w:tc>
        <w:tc>
          <w:tcPr>
            <w:tcW w:type="dxa" w:w="2160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/>
                <w:sz w:val="16"/>
              </w:rPr>
              <w:t>1.017</w:t>
            </w:r>
          </w:p>
        </w:tc>
        <w:tc>
          <w:tcPr>
            <w:tcW w:type="dxa" w:w="2160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/>
                <w:sz w:val="16"/>
              </w:rPr>
              <w:t>0.994–1.040</w:t>
            </w:r>
          </w:p>
        </w:tc>
        <w:tc>
          <w:tcPr>
            <w:tcW w:type="dxa" w:w="2160"/>
            <w:tcBorders>
              <w:bottom w:sz="12" w:val="single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i/>
                <w:sz w:val="16"/>
              </w:rPr>
              <w:t>0.1548</w:t>
            </w:r>
          </w:p>
        </w:tc>
      </w:tr>
    </w:tbl>
    <w:p>
      <w:r>
        <w:br w:type="page"/>
      </w:r>
    </w:p>
    <w:p>
      <w:pPr>
        <w:spacing w:before="0" w:after="120"/>
        <w:ind w:left="0" w:firstLine="0"/>
      </w:pPr>
      <w:r>
        <w:rPr>
          <w:rFonts w:ascii="Arial" w:hAnsi="Arial" w:eastAsia="Arial"/>
          <w:b/>
          <w:i w:val="0"/>
          <w:sz w:val="22"/>
        </w:rPr>
        <w:t>Supplementary Figure S1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97880" cy="272788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Fig1_Subgrou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7278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0" w:firstLine="0"/>
      </w:pPr>
      <w:r>
        <w:rPr>
          <w:rFonts w:ascii="Arial" w:hAnsi="Arial" w:eastAsia="Arial"/>
          <w:b w:val="0"/>
          <w:i w:val="0"/>
          <w:sz w:val="18"/>
        </w:rPr>
        <w:t>Supplementary Figure S1. Exploratory subgroup estimates for severe delayed gastric emptying. Squares show core-model odds ratios per one-level increase in cumulative remifentanil dose group; horizontal lines show 95% confidence intervals. N/events are shown. Overlapping confidence intervals do not establish effect modification.</w:t>
      </w:r>
    </w:p>
    <w:p>
      <w:r>
        <w:br w:type="page"/>
      </w:r>
    </w:p>
    <w:p>
      <w:pPr>
        <w:spacing w:before="0" w:after="120"/>
        <w:ind w:left="0" w:firstLine="0"/>
      </w:pPr>
      <w:r>
        <w:rPr>
          <w:rFonts w:ascii="Arial" w:hAnsi="Arial" w:eastAsia="Arial"/>
          <w:b/>
          <w:i w:val="0"/>
          <w:sz w:val="22"/>
        </w:rPr>
        <w:t>Supplementary Figure S2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97880" cy="317563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Fig2_Robustnes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1756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0" w:firstLine="0"/>
      </w:pPr>
      <w:r>
        <w:rPr>
          <w:rFonts w:ascii="Arial" w:hAnsi="Arial" w:eastAsia="Arial"/>
          <w:b w:val="0"/>
          <w:i w:val="0"/>
          <w:sz w:val="18"/>
        </w:rPr>
        <w:t>Supplementary Figure S2. Sensitivity analyses for severe delayed gastric emptying. Estimates are adjusted odds ratios per one-level increase in cumulative remifentanil dose group. Models differ by design and are shown as robustness checks, not pooled effects. CR-POPF, clinically relevant postoperative pancreatic fistula; IAI, intra-abdominal infection.</w:t>
      </w:r>
    </w:p>
    <w:p>
      <w:r>
        <w:br w:type="page"/>
      </w:r>
    </w:p>
    <w:p>
      <w:pPr>
        <w:spacing w:before="0" w:after="120"/>
        <w:ind w:left="0" w:firstLine="0"/>
      </w:pPr>
      <w:r>
        <w:rPr>
          <w:rFonts w:ascii="Arial" w:hAnsi="Arial" w:eastAsia="Arial"/>
          <w:b/>
          <w:i w:val="0"/>
          <w:sz w:val="22"/>
        </w:rPr>
        <w:t>Supplementary Figure S3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97880" cy="350335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Fig3_Flowchar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35033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0" w:firstLine="0"/>
      </w:pPr>
      <w:r>
        <w:rPr>
          <w:rFonts w:ascii="Arial" w:hAnsi="Arial" w:eastAsia="Arial"/>
          <w:b w:val="0"/>
          <w:i w:val="0"/>
          <w:sz w:val="18"/>
        </w:rPr>
        <w:t>Supplementary Figure S3. Study flow. Of 300 consecutive pancreaticoduodenectomy procedures, four records without cumulative remifentanil dose were excluded, leaving 296 patients for analysis.</w:t>
      </w:r>
    </w:p>
    <w:p>
      <w:r>
        <w:br w:type="page"/>
      </w:r>
    </w:p>
    <w:p>
      <w:pPr>
        <w:spacing w:before="0" w:after="120"/>
        <w:ind w:left="0" w:firstLine="0"/>
      </w:pPr>
      <w:r>
        <w:rPr>
          <w:rFonts w:ascii="Arial" w:hAnsi="Arial" w:eastAsia="Arial"/>
          <w:b/>
          <w:i w:val="0"/>
          <w:sz w:val="22"/>
        </w:rPr>
        <w:t>Supplementary Figure S4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97880" cy="261959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upplFig4_RC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6195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ind w:left="0" w:firstLine="0"/>
      </w:pPr>
      <w:r>
        <w:rPr>
          <w:rFonts w:ascii="Arial" w:hAnsi="Arial" w:eastAsia="Arial"/>
          <w:b w:val="0"/>
          <w:i w:val="0"/>
          <w:sz w:val="18"/>
        </w:rPr>
        <w:t>Supplementary Figure S4. Observed severe-DGE incidence across fixed cumulative remifentanil dose intervals. Points are observed proportions and bars are Wilson 95% confidence intervals. Intervals are descriptive and do not define a clinical dosing threshold.</w:t>
      </w:r>
    </w:p>
    <w:sectPr w:rsidR="00FC693F" w:rsidRPr="0006063C" w:rsidSect="00034616">
      <w:pgSz w:w="12240" w:h="15840"/>
      <w:pgMar w:top="1152" w:right="1224" w:bottom="1152" w:left="1224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