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913CF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Supplemental table 1</w:t>
      </w:r>
      <w:r>
        <w:rPr>
          <w:rFonts w:hint="eastAsia" w:ascii="Times New Roman" w:hAnsi="Times New Roman" w:cs="Times New Roman"/>
          <w:b/>
          <w:bCs/>
          <w:sz w:val="24"/>
        </w:rPr>
        <w:t>-3</w:t>
      </w:r>
    </w:p>
    <w:tbl>
      <w:tblPr>
        <w:tblStyle w:val="16"/>
        <w:tblW w:w="7937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7"/>
        <w:gridCol w:w="3170"/>
      </w:tblGrid>
      <w:tr w14:paraId="54FAF0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</w:trPr>
        <w:tc>
          <w:tcPr>
            <w:tcW w:w="7937" w:type="dxa"/>
            <w:gridSpan w:val="2"/>
            <w:tcBorders>
              <w:top w:val="nil"/>
              <w:bottom w:val="single" w:color="auto" w:sz="12" w:space="0"/>
            </w:tcBorders>
          </w:tcPr>
          <w:p w14:paraId="789DB378">
            <w:pPr>
              <w:widowControl/>
              <w:spacing w:line="480" w:lineRule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4"/>
                <w:lang w:bidi="ar"/>
              </w:rPr>
              <w:t>Supplemental</w:t>
            </w:r>
            <w:r>
              <w:rPr>
                <w:rFonts w:ascii="Times New Roman" w:hAnsi="Times New Roman"/>
                <w:b/>
                <w:bCs/>
                <w:kern w:val="0"/>
                <w:sz w:val="24"/>
                <w:lang w:bidi="ar"/>
              </w:rPr>
              <w:t xml:space="preserve"> Table 1. </w:t>
            </w:r>
            <w:r>
              <w:rPr>
                <w:rFonts w:ascii="Times New Roman" w:hAnsi="Times New Roman"/>
                <w:kern w:val="0"/>
                <w:sz w:val="24"/>
                <w:lang w:bidi="ar"/>
              </w:rPr>
              <w:t>Baseline Clinicopathological Characteristics of the 41 Patients with Stage IIIC Cervical Cancer Who Experienced Treatment Failure</w:t>
            </w:r>
          </w:p>
        </w:tc>
      </w:tr>
      <w:tr w14:paraId="3A5901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  <w:tcBorders>
              <w:top w:val="single" w:color="auto" w:sz="12" w:space="0"/>
              <w:bottom w:val="single" w:color="auto" w:sz="6" w:space="0"/>
            </w:tcBorders>
          </w:tcPr>
          <w:p w14:paraId="39E3FDAC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Basic Characteristics</w:t>
            </w:r>
          </w:p>
        </w:tc>
        <w:tc>
          <w:tcPr>
            <w:tcW w:w="3170" w:type="dxa"/>
            <w:tcBorders>
              <w:top w:val="single" w:color="auto" w:sz="12" w:space="0"/>
              <w:bottom w:val="single" w:color="auto" w:sz="6" w:space="0"/>
            </w:tcBorders>
          </w:tcPr>
          <w:p w14:paraId="7A8779CF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n (％)</w:t>
            </w:r>
          </w:p>
        </w:tc>
      </w:tr>
      <w:tr w14:paraId="5F5414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  <w:tcBorders>
              <w:top w:val="single" w:color="auto" w:sz="6" w:space="0"/>
            </w:tcBorders>
          </w:tcPr>
          <w:p w14:paraId="039F06C1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Age(years)</w:t>
            </w:r>
          </w:p>
        </w:tc>
        <w:tc>
          <w:tcPr>
            <w:tcW w:w="3170" w:type="dxa"/>
            <w:tcBorders>
              <w:top w:val="single" w:color="auto" w:sz="6" w:space="0"/>
            </w:tcBorders>
          </w:tcPr>
          <w:p w14:paraId="06D2C820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45A87E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37B5416A">
            <w:pPr>
              <w:pStyle w:val="11"/>
              <w:spacing w:line="480" w:lineRule="auto"/>
              <w:ind w:firstLine="240" w:firstLineChars="100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&gt; 50</w:t>
            </w:r>
          </w:p>
        </w:tc>
        <w:tc>
          <w:tcPr>
            <w:tcW w:w="3170" w:type="dxa"/>
          </w:tcPr>
          <w:p w14:paraId="3F9B58BF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27 (65.9％)</w:t>
            </w:r>
          </w:p>
        </w:tc>
      </w:tr>
      <w:tr w14:paraId="09B454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6BF819A0">
            <w:pPr>
              <w:pStyle w:val="11"/>
              <w:spacing w:line="480" w:lineRule="auto"/>
              <w:ind w:firstLine="240" w:firstLineChars="100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≤5 0</w:t>
            </w:r>
          </w:p>
        </w:tc>
        <w:tc>
          <w:tcPr>
            <w:tcW w:w="3170" w:type="dxa"/>
          </w:tcPr>
          <w:p w14:paraId="27FC00B8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14 (34.1％)</w:t>
            </w:r>
          </w:p>
        </w:tc>
      </w:tr>
      <w:tr w14:paraId="174391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6616F125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FIGO Stage (2018)</w:t>
            </w:r>
          </w:p>
        </w:tc>
        <w:tc>
          <w:tcPr>
            <w:tcW w:w="3170" w:type="dxa"/>
          </w:tcPr>
          <w:p w14:paraId="192E10B4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5B67A3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162ADF04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ⅢC1</w:t>
            </w:r>
          </w:p>
        </w:tc>
        <w:tc>
          <w:tcPr>
            <w:tcW w:w="3170" w:type="dxa"/>
          </w:tcPr>
          <w:p w14:paraId="05BA6955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4F5584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31F03DAD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ⅢC1r</w:t>
            </w:r>
          </w:p>
        </w:tc>
        <w:tc>
          <w:tcPr>
            <w:tcW w:w="3170" w:type="dxa"/>
          </w:tcPr>
          <w:p w14:paraId="687AEFFC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22 (53.6％)</w:t>
            </w:r>
          </w:p>
        </w:tc>
      </w:tr>
      <w:tr w14:paraId="4BA52A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1EB955A0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ⅢC1p</w:t>
            </w:r>
          </w:p>
        </w:tc>
        <w:tc>
          <w:tcPr>
            <w:tcW w:w="3170" w:type="dxa"/>
          </w:tcPr>
          <w:p w14:paraId="4716AAD9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11 (26.8％)</w:t>
            </w:r>
          </w:p>
        </w:tc>
      </w:tr>
      <w:tr w14:paraId="103BDA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1A6A2692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ⅢC2</w:t>
            </w:r>
          </w:p>
        </w:tc>
        <w:tc>
          <w:tcPr>
            <w:tcW w:w="3170" w:type="dxa"/>
          </w:tcPr>
          <w:p w14:paraId="7556710C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25E10E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633B994D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ⅢC2r</w:t>
            </w:r>
          </w:p>
        </w:tc>
        <w:tc>
          <w:tcPr>
            <w:tcW w:w="3170" w:type="dxa"/>
          </w:tcPr>
          <w:p w14:paraId="00750F85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4 (9.8％)</w:t>
            </w:r>
          </w:p>
        </w:tc>
      </w:tr>
      <w:tr w14:paraId="6C0745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45E4CD0F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ⅢC2p</w:t>
            </w:r>
          </w:p>
        </w:tc>
        <w:tc>
          <w:tcPr>
            <w:tcW w:w="3170" w:type="dxa"/>
          </w:tcPr>
          <w:p w14:paraId="759B9099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4 (9.8％)</w:t>
            </w:r>
          </w:p>
        </w:tc>
      </w:tr>
      <w:tr w14:paraId="238571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6E022C85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Primary treatment</w:t>
            </w:r>
          </w:p>
        </w:tc>
        <w:tc>
          <w:tcPr>
            <w:tcW w:w="3170" w:type="dxa"/>
          </w:tcPr>
          <w:p w14:paraId="6472CF3E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003B5E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51522FF8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Radical CCRT</w:t>
            </w:r>
          </w:p>
        </w:tc>
        <w:tc>
          <w:tcPr>
            <w:tcW w:w="3170" w:type="dxa"/>
          </w:tcPr>
          <w:p w14:paraId="59071848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29 (70.7％)</w:t>
            </w:r>
          </w:p>
        </w:tc>
      </w:tr>
      <w:tr w14:paraId="5E0763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00987390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Radical Surgery + Adjuvant (Chemo)Radiotherapy</w:t>
            </w:r>
          </w:p>
        </w:tc>
        <w:tc>
          <w:tcPr>
            <w:tcW w:w="3170" w:type="dxa"/>
          </w:tcPr>
          <w:p w14:paraId="739609EB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12 (29.3％)</w:t>
            </w:r>
          </w:p>
        </w:tc>
      </w:tr>
      <w:tr w14:paraId="246B52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5C8DD159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Pattern of Failure</w:t>
            </w:r>
          </w:p>
        </w:tc>
        <w:tc>
          <w:tcPr>
            <w:tcW w:w="3170" w:type="dxa"/>
          </w:tcPr>
          <w:p w14:paraId="47A51D8C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098208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443601E0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Locoregional Recurrence Only</w:t>
            </w:r>
          </w:p>
        </w:tc>
        <w:tc>
          <w:tcPr>
            <w:tcW w:w="3170" w:type="dxa"/>
          </w:tcPr>
          <w:p w14:paraId="66F2BE79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8 (19.5％)</w:t>
            </w:r>
          </w:p>
        </w:tc>
      </w:tr>
      <w:tr w14:paraId="47CA86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5C8B9545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Distant Metastasis Only</w:t>
            </w:r>
          </w:p>
        </w:tc>
        <w:tc>
          <w:tcPr>
            <w:tcW w:w="3170" w:type="dxa"/>
          </w:tcPr>
          <w:p w14:paraId="71EA6250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27 (65.9％)</w:t>
            </w:r>
          </w:p>
        </w:tc>
      </w:tr>
      <w:tr w14:paraId="72742C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3F9BBA29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Locoregional + Distant Metastasis</w:t>
            </w:r>
          </w:p>
        </w:tc>
        <w:tc>
          <w:tcPr>
            <w:tcW w:w="3170" w:type="dxa"/>
          </w:tcPr>
          <w:p w14:paraId="54419168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6 (14.6％)</w:t>
            </w:r>
          </w:p>
        </w:tc>
      </w:tr>
      <w:tr w14:paraId="1C446E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6DE7B57F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Pre-Tx SCC-Antigen (ng/mL)</w:t>
            </w:r>
          </w:p>
        </w:tc>
        <w:tc>
          <w:tcPr>
            <w:tcW w:w="3170" w:type="dxa"/>
          </w:tcPr>
          <w:p w14:paraId="6D2AC13F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1B5C8D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</w:trPr>
        <w:tc>
          <w:tcPr>
            <w:tcW w:w="4767" w:type="dxa"/>
          </w:tcPr>
          <w:p w14:paraId="084910F1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&lt; 4.1</w:t>
            </w:r>
          </w:p>
        </w:tc>
        <w:tc>
          <w:tcPr>
            <w:tcW w:w="3170" w:type="dxa"/>
          </w:tcPr>
          <w:p w14:paraId="761B9629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10 (24.4％)</w:t>
            </w:r>
          </w:p>
        </w:tc>
      </w:tr>
      <w:tr w14:paraId="243903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</w:trPr>
        <w:tc>
          <w:tcPr>
            <w:tcW w:w="4767" w:type="dxa"/>
            <w:tcBorders>
              <w:bottom w:val="nil"/>
            </w:tcBorders>
          </w:tcPr>
          <w:p w14:paraId="48BF2C4C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≥ 4.1</w:t>
            </w:r>
          </w:p>
        </w:tc>
        <w:tc>
          <w:tcPr>
            <w:tcW w:w="3170" w:type="dxa"/>
            <w:tcBorders>
              <w:bottom w:val="nil"/>
            </w:tcBorders>
          </w:tcPr>
          <w:p w14:paraId="69134B34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31 (75.6％)</w:t>
            </w:r>
          </w:p>
        </w:tc>
      </w:tr>
      <w:tr w14:paraId="77EADD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  <w:tcBorders>
              <w:top w:val="nil"/>
              <w:bottom w:val="nil"/>
            </w:tcBorders>
          </w:tcPr>
          <w:p w14:paraId="3A539741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Metastatic Lymph Node Count</w:t>
            </w:r>
          </w:p>
        </w:tc>
        <w:tc>
          <w:tcPr>
            <w:tcW w:w="3170" w:type="dxa"/>
            <w:tcBorders>
              <w:top w:val="nil"/>
              <w:bottom w:val="nil"/>
            </w:tcBorders>
          </w:tcPr>
          <w:p w14:paraId="33DE72E7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094457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  <w:tcBorders>
              <w:top w:val="nil"/>
            </w:tcBorders>
          </w:tcPr>
          <w:p w14:paraId="082E894D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1</w:t>
            </w:r>
          </w:p>
        </w:tc>
        <w:tc>
          <w:tcPr>
            <w:tcW w:w="3170" w:type="dxa"/>
            <w:tcBorders>
              <w:top w:val="nil"/>
            </w:tcBorders>
          </w:tcPr>
          <w:p w14:paraId="7C55F927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6 (14.6％)</w:t>
            </w:r>
          </w:p>
        </w:tc>
      </w:tr>
      <w:tr w14:paraId="340D15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1DDD15E0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2</w:t>
            </w:r>
          </w:p>
        </w:tc>
        <w:tc>
          <w:tcPr>
            <w:tcW w:w="3170" w:type="dxa"/>
          </w:tcPr>
          <w:p w14:paraId="459D0672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9 (22.0％)</w:t>
            </w:r>
          </w:p>
        </w:tc>
      </w:tr>
      <w:tr w14:paraId="7174A1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7502E579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≥ 3</w:t>
            </w:r>
          </w:p>
        </w:tc>
        <w:tc>
          <w:tcPr>
            <w:tcW w:w="3170" w:type="dxa"/>
          </w:tcPr>
          <w:p w14:paraId="0B2A5111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26 (63.4％)</w:t>
            </w:r>
          </w:p>
        </w:tc>
      </w:tr>
      <w:tr w14:paraId="60B233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225B6800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Laterality of Pelvic Nodal Metastasis</w:t>
            </w:r>
          </w:p>
        </w:tc>
        <w:tc>
          <w:tcPr>
            <w:tcW w:w="3170" w:type="dxa"/>
          </w:tcPr>
          <w:p w14:paraId="27B187C4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4C322B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67" w:type="dxa"/>
          </w:tcPr>
          <w:p w14:paraId="2F7967BC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Unilateral</w:t>
            </w:r>
          </w:p>
        </w:tc>
        <w:tc>
          <w:tcPr>
            <w:tcW w:w="3170" w:type="dxa"/>
          </w:tcPr>
          <w:p w14:paraId="5F8D563C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17 (41.4％)</w:t>
            </w:r>
          </w:p>
        </w:tc>
      </w:tr>
      <w:tr w14:paraId="3DA4BB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</w:trPr>
        <w:tc>
          <w:tcPr>
            <w:tcW w:w="4767" w:type="dxa"/>
          </w:tcPr>
          <w:p w14:paraId="3BC7B99B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Bilateral</w:t>
            </w:r>
          </w:p>
        </w:tc>
        <w:tc>
          <w:tcPr>
            <w:tcW w:w="3170" w:type="dxa"/>
          </w:tcPr>
          <w:p w14:paraId="7828507D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24 (58.6％)</w:t>
            </w:r>
          </w:p>
        </w:tc>
      </w:tr>
      <w:tr w14:paraId="3FF8C3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73C592FE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Short Axis of Largest Metastatic Lymph Node (cm)</w:t>
            </w:r>
          </w:p>
        </w:tc>
        <w:tc>
          <w:tcPr>
            <w:tcW w:w="3170" w:type="dxa"/>
          </w:tcPr>
          <w:p w14:paraId="7DA50D36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7DB024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455EF1D5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&lt; 1</w:t>
            </w:r>
          </w:p>
        </w:tc>
        <w:tc>
          <w:tcPr>
            <w:tcW w:w="3170" w:type="dxa"/>
          </w:tcPr>
          <w:p w14:paraId="66704FBE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25 (61.0％)</w:t>
            </w:r>
          </w:p>
        </w:tc>
      </w:tr>
      <w:tr w14:paraId="3B6033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696CCC73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≥ 1</w:t>
            </w:r>
          </w:p>
        </w:tc>
        <w:tc>
          <w:tcPr>
            <w:tcW w:w="3170" w:type="dxa"/>
          </w:tcPr>
          <w:p w14:paraId="0DEC4002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16 (39.0％)</w:t>
            </w:r>
          </w:p>
        </w:tc>
      </w:tr>
      <w:tr w14:paraId="5180E9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749A92EF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Maximum Primary Tumor Dimension (cm)</w:t>
            </w:r>
          </w:p>
        </w:tc>
        <w:tc>
          <w:tcPr>
            <w:tcW w:w="3170" w:type="dxa"/>
          </w:tcPr>
          <w:p w14:paraId="6903CA9D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4A61B2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598C1A50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≤ 4</w:t>
            </w:r>
          </w:p>
        </w:tc>
        <w:tc>
          <w:tcPr>
            <w:tcW w:w="3170" w:type="dxa"/>
          </w:tcPr>
          <w:p w14:paraId="6EDA5E54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19 (46.3％)</w:t>
            </w:r>
          </w:p>
        </w:tc>
      </w:tr>
      <w:tr w14:paraId="13EF5F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210DA1FA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&gt; 4</w:t>
            </w:r>
          </w:p>
        </w:tc>
        <w:tc>
          <w:tcPr>
            <w:tcW w:w="3170" w:type="dxa"/>
          </w:tcPr>
          <w:p w14:paraId="230BBA1B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22 (53.7％)</w:t>
            </w:r>
          </w:p>
        </w:tc>
      </w:tr>
      <w:tr w14:paraId="1C5AA1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613BD61A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Progression-Free Survival (months)</w:t>
            </w:r>
          </w:p>
        </w:tc>
        <w:tc>
          <w:tcPr>
            <w:tcW w:w="3170" w:type="dxa"/>
          </w:tcPr>
          <w:p w14:paraId="4F9182FA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3CE3E6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</w:trPr>
        <w:tc>
          <w:tcPr>
            <w:tcW w:w="4767" w:type="dxa"/>
          </w:tcPr>
          <w:p w14:paraId="5BED3FE1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≤ 18.55</w:t>
            </w:r>
          </w:p>
        </w:tc>
        <w:tc>
          <w:tcPr>
            <w:tcW w:w="3170" w:type="dxa"/>
          </w:tcPr>
          <w:p w14:paraId="37B88570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24 (58.5％)</w:t>
            </w:r>
          </w:p>
        </w:tc>
      </w:tr>
      <w:tr w14:paraId="64B051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67" w:type="dxa"/>
          </w:tcPr>
          <w:p w14:paraId="0E086A7B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&gt; 18.55</w:t>
            </w:r>
          </w:p>
        </w:tc>
        <w:tc>
          <w:tcPr>
            <w:tcW w:w="3170" w:type="dxa"/>
          </w:tcPr>
          <w:p w14:paraId="73E9A01C">
            <w:pPr>
              <w:pStyle w:val="11"/>
              <w:spacing w:line="480" w:lineRule="auto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17 (41.5％)</w:t>
            </w:r>
          </w:p>
        </w:tc>
      </w:tr>
    </w:tbl>
    <w:p w14:paraId="45451F62">
      <w:pPr>
        <w:rPr>
          <w:rFonts w:ascii="Times New Roman" w:hAnsi="Times New Roman" w:cs="Times New Roman"/>
          <w:sz w:val="24"/>
        </w:rPr>
      </w:pPr>
    </w:p>
    <w:p w14:paraId="1CA42841">
      <w:pPr>
        <w:rPr>
          <w:rFonts w:hint="eastAsia" w:ascii="Times New Roman" w:hAnsi="Times New Roman" w:cs="Times New Roman"/>
          <w:sz w:val="24"/>
        </w:rPr>
      </w:pPr>
    </w:p>
    <w:tbl>
      <w:tblPr>
        <w:tblStyle w:val="16"/>
        <w:tblW w:w="0" w:type="auto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8"/>
        <w:gridCol w:w="1475"/>
        <w:gridCol w:w="1545"/>
        <w:gridCol w:w="1228"/>
      </w:tblGrid>
      <w:tr w14:paraId="4E273D0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306" w:type="dxa"/>
            <w:gridSpan w:val="4"/>
            <w:tcBorders>
              <w:top w:val="nil"/>
              <w:bottom w:val="single" w:color="auto" w:sz="12" w:space="0"/>
            </w:tcBorders>
          </w:tcPr>
          <w:p w14:paraId="5A176269">
            <w:pPr>
              <w:snapToGrid w:val="0"/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 xml:space="preserve">Supplemental </w:t>
            </w:r>
            <w:r>
              <w:rPr>
                <w:rFonts w:ascii="Times New Roman" w:hAnsi="Times New Roman"/>
                <w:b/>
                <w:bCs/>
                <w:sz w:val="24"/>
              </w:rPr>
              <w:t>Table 2</w:t>
            </w:r>
            <w:r>
              <w:rPr>
                <w:rFonts w:ascii="Times New Roman" w:hAnsi="Times New Roman"/>
                <w:sz w:val="24"/>
              </w:rPr>
              <w:t xml:space="preserve"> Specific distribution of treatment failure sites in patients with stage IIIC cervical cancer</w:t>
            </w:r>
          </w:p>
        </w:tc>
      </w:tr>
      <w:tr w14:paraId="4DA9EB0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58" w:type="dxa"/>
            <w:tcBorders>
              <w:top w:val="single" w:color="auto" w:sz="12" w:space="0"/>
              <w:bottom w:val="single" w:color="000000" w:sz="6" w:space="0"/>
            </w:tcBorders>
          </w:tcPr>
          <w:p w14:paraId="525CD1B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Failure Site</w:t>
            </w:r>
          </w:p>
        </w:tc>
        <w:tc>
          <w:tcPr>
            <w:tcW w:w="1475" w:type="dxa"/>
            <w:tcBorders>
              <w:top w:val="single" w:color="auto" w:sz="12" w:space="0"/>
              <w:bottom w:val="single" w:color="000000" w:sz="6" w:space="0"/>
            </w:tcBorders>
          </w:tcPr>
          <w:p w14:paraId="4DE63EB5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n (％)</w:t>
            </w:r>
          </w:p>
        </w:tc>
        <w:tc>
          <w:tcPr>
            <w:tcW w:w="1545" w:type="dxa"/>
            <w:tcBorders>
              <w:top w:val="single" w:color="auto" w:sz="12" w:space="0"/>
              <w:bottom w:val="single" w:color="000000" w:sz="6" w:space="0"/>
            </w:tcBorders>
          </w:tcPr>
          <w:p w14:paraId="15008ECE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X</w:t>
            </w:r>
            <w:r>
              <w:rPr>
                <w:rFonts w:ascii="Times New Roman" w:hAnsi="Times New Roman"/>
                <w:b/>
                <w:bCs/>
                <w:sz w:val="24"/>
                <w:vertAlign w:val="superscript"/>
              </w:rPr>
              <w:t>2</w:t>
            </w:r>
          </w:p>
        </w:tc>
        <w:tc>
          <w:tcPr>
            <w:tcW w:w="1228" w:type="dxa"/>
            <w:tcBorders>
              <w:top w:val="single" w:color="auto" w:sz="12" w:space="0"/>
              <w:bottom w:val="single" w:color="000000" w:sz="6" w:space="0"/>
            </w:tcBorders>
          </w:tcPr>
          <w:p w14:paraId="517341A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</w:rPr>
              <w:t>P</w:t>
            </w:r>
          </w:p>
        </w:tc>
      </w:tr>
      <w:tr w14:paraId="63C8AC4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58" w:type="dxa"/>
            <w:tcBorders>
              <w:top w:val="single" w:color="000000" w:sz="6" w:space="0"/>
            </w:tcBorders>
          </w:tcPr>
          <w:p w14:paraId="0AAA12BC">
            <w:pPr>
              <w:snapToGrid w:val="0"/>
              <w:spacing w:line="480" w:lineRule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Locoregional Recurrence (LRR)</w:t>
            </w:r>
          </w:p>
        </w:tc>
        <w:tc>
          <w:tcPr>
            <w:tcW w:w="1475" w:type="dxa"/>
            <w:tcBorders>
              <w:top w:val="single" w:color="000000" w:sz="6" w:space="0"/>
            </w:tcBorders>
          </w:tcPr>
          <w:p w14:paraId="399D69B3">
            <w:pPr>
              <w:snapToGrid w:val="0"/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45" w:type="dxa"/>
            <w:tcBorders>
              <w:top w:val="single" w:color="000000" w:sz="6" w:space="0"/>
            </w:tcBorders>
          </w:tcPr>
          <w:p w14:paraId="66ECC2BB">
            <w:pPr>
              <w:snapToGrid w:val="0"/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28" w:type="dxa"/>
            <w:tcBorders>
              <w:top w:val="single" w:color="000000" w:sz="6" w:space="0"/>
            </w:tcBorders>
          </w:tcPr>
          <w:p w14:paraId="23F75D72">
            <w:pPr>
              <w:snapToGrid w:val="0"/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</w:tr>
      <w:tr w14:paraId="22C2743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58" w:type="dxa"/>
          </w:tcPr>
          <w:p w14:paraId="24857BFB">
            <w:pPr>
              <w:snapToGrid w:val="0"/>
              <w:spacing w:line="480" w:lineRule="auto"/>
              <w:rPr>
                <w:rFonts w:ascii="Times New Roman" w:hAnsi="Times New Roman"/>
                <w:sz w:val="24"/>
              </w:rPr>
            </w:pPr>
            <w:bookmarkStart w:id="0" w:name="OLE_LINK29"/>
            <w:r>
              <w:rPr>
                <w:rFonts w:ascii="Times New Roman" w:hAnsi="Times New Roman"/>
                <w:sz w:val="24"/>
              </w:rPr>
              <w:t xml:space="preserve">  Central Recurrence</w:t>
            </w:r>
          </w:p>
        </w:tc>
        <w:tc>
          <w:tcPr>
            <w:tcW w:w="1475" w:type="dxa"/>
          </w:tcPr>
          <w:p w14:paraId="2FF20667">
            <w:pPr>
              <w:snapToGrid w:val="0"/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(19.5％)</w:t>
            </w:r>
          </w:p>
        </w:tc>
        <w:tc>
          <w:tcPr>
            <w:tcW w:w="1545" w:type="dxa"/>
          </w:tcPr>
          <w:p w14:paraId="72EC7C6D">
            <w:pPr>
              <w:snapToGrid w:val="0"/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0.953</w:t>
            </w:r>
          </w:p>
        </w:tc>
        <w:tc>
          <w:tcPr>
            <w:tcW w:w="1228" w:type="dxa"/>
          </w:tcPr>
          <w:p w14:paraId="756E47B9">
            <w:pPr>
              <w:snapToGrid w:val="0"/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0.329</w:t>
            </w:r>
          </w:p>
        </w:tc>
      </w:tr>
      <w:tr w14:paraId="7D6409C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58" w:type="dxa"/>
          </w:tcPr>
          <w:p w14:paraId="18F19DD4">
            <w:pPr>
              <w:snapToGrid w:val="0"/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Regional Nodal Recurrence</w:t>
            </w:r>
          </w:p>
        </w:tc>
        <w:tc>
          <w:tcPr>
            <w:tcW w:w="1475" w:type="dxa"/>
          </w:tcPr>
          <w:p w14:paraId="08408FCE">
            <w:pPr>
              <w:snapToGrid w:val="0"/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(17.1％)</w:t>
            </w:r>
          </w:p>
        </w:tc>
        <w:tc>
          <w:tcPr>
            <w:tcW w:w="1545" w:type="dxa"/>
          </w:tcPr>
          <w:p w14:paraId="2FD997BF">
            <w:pPr>
              <w:snapToGrid w:val="0"/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3.755</w:t>
            </w:r>
          </w:p>
        </w:tc>
        <w:tc>
          <w:tcPr>
            <w:tcW w:w="1228" w:type="dxa"/>
          </w:tcPr>
          <w:p w14:paraId="499F3FEB">
            <w:pPr>
              <w:snapToGrid w:val="0"/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0.053</w:t>
            </w:r>
          </w:p>
        </w:tc>
      </w:tr>
      <w:tr w14:paraId="0A0710C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58" w:type="dxa"/>
          </w:tcPr>
          <w:p w14:paraId="01D8680C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Distant Lymph Node Metastasis (DLNM)</w:t>
            </w:r>
          </w:p>
        </w:tc>
        <w:tc>
          <w:tcPr>
            <w:tcW w:w="1475" w:type="dxa"/>
          </w:tcPr>
          <w:p w14:paraId="661C49EE">
            <w:pPr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45" w:type="dxa"/>
          </w:tcPr>
          <w:p w14:paraId="664D2ACB">
            <w:pPr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28" w:type="dxa"/>
          </w:tcPr>
          <w:p w14:paraId="396F9DD7">
            <w:pPr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</w:tr>
      <w:tr w14:paraId="29E213C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58" w:type="dxa"/>
          </w:tcPr>
          <w:p w14:paraId="4C1A992C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Supraclavicular Lymph Node</w:t>
            </w:r>
          </w:p>
        </w:tc>
        <w:tc>
          <w:tcPr>
            <w:tcW w:w="1475" w:type="dxa"/>
          </w:tcPr>
          <w:p w14:paraId="33731DC1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(19.5％)</w:t>
            </w:r>
          </w:p>
        </w:tc>
        <w:tc>
          <w:tcPr>
            <w:tcW w:w="1545" w:type="dxa"/>
          </w:tcPr>
          <w:p w14:paraId="624936C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1.518</w:t>
            </w:r>
          </w:p>
        </w:tc>
        <w:tc>
          <w:tcPr>
            <w:tcW w:w="1228" w:type="dxa"/>
          </w:tcPr>
          <w:p w14:paraId="2DC64216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0.218</w:t>
            </w:r>
          </w:p>
        </w:tc>
      </w:tr>
      <w:tr w14:paraId="6289C56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58" w:type="dxa"/>
            <w:tcBorders>
              <w:bottom w:val="nil"/>
            </w:tcBorders>
          </w:tcPr>
          <w:p w14:paraId="611D34DF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Cervical Lymph Node</w:t>
            </w:r>
          </w:p>
        </w:tc>
        <w:tc>
          <w:tcPr>
            <w:tcW w:w="1475" w:type="dxa"/>
            <w:tcBorders>
              <w:bottom w:val="nil"/>
            </w:tcBorders>
          </w:tcPr>
          <w:p w14:paraId="388233B7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(12.2％)</w:t>
            </w:r>
          </w:p>
        </w:tc>
        <w:tc>
          <w:tcPr>
            <w:tcW w:w="1545" w:type="dxa"/>
            <w:tcBorders>
              <w:bottom w:val="nil"/>
            </w:tcBorders>
          </w:tcPr>
          <w:p w14:paraId="7606D21D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1.381</w:t>
            </w:r>
          </w:p>
        </w:tc>
        <w:tc>
          <w:tcPr>
            <w:tcW w:w="1228" w:type="dxa"/>
            <w:tcBorders>
              <w:bottom w:val="nil"/>
            </w:tcBorders>
          </w:tcPr>
          <w:p w14:paraId="7EB78C2E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0.240</w:t>
            </w:r>
          </w:p>
        </w:tc>
      </w:tr>
      <w:tr w14:paraId="4833E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58" w:type="dxa"/>
          </w:tcPr>
          <w:p w14:paraId="5A671AFE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Mediastinal/Hilar Lymph Node</w:t>
            </w:r>
          </w:p>
        </w:tc>
        <w:tc>
          <w:tcPr>
            <w:tcW w:w="1475" w:type="dxa"/>
          </w:tcPr>
          <w:p w14:paraId="408377E9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(4.9％)</w:t>
            </w:r>
          </w:p>
        </w:tc>
        <w:tc>
          <w:tcPr>
            <w:tcW w:w="1545" w:type="dxa"/>
          </w:tcPr>
          <w:p w14:paraId="0E9C063B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0.011</w:t>
            </w:r>
          </w:p>
        </w:tc>
        <w:tc>
          <w:tcPr>
            <w:tcW w:w="1228" w:type="dxa"/>
          </w:tcPr>
          <w:p w14:paraId="12A7BE15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0.915</w:t>
            </w:r>
          </w:p>
        </w:tc>
      </w:tr>
      <w:bookmarkEnd w:id="0"/>
      <w:tr w14:paraId="2E163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58" w:type="dxa"/>
          </w:tcPr>
          <w:p w14:paraId="0ADA4B46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Hematogenous Metastasis</w:t>
            </w:r>
          </w:p>
        </w:tc>
        <w:tc>
          <w:tcPr>
            <w:tcW w:w="1475" w:type="dxa"/>
          </w:tcPr>
          <w:p w14:paraId="73867E24">
            <w:pPr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45" w:type="dxa"/>
          </w:tcPr>
          <w:p w14:paraId="09A21063">
            <w:pPr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28" w:type="dxa"/>
          </w:tcPr>
          <w:p w14:paraId="295B4942">
            <w:pPr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</w:tr>
      <w:tr w14:paraId="189D7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58" w:type="dxa"/>
          </w:tcPr>
          <w:p w14:paraId="247BDB37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Lung</w:t>
            </w:r>
          </w:p>
        </w:tc>
        <w:tc>
          <w:tcPr>
            <w:tcW w:w="1475" w:type="dxa"/>
          </w:tcPr>
          <w:p w14:paraId="3E959703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 (46.3％)</w:t>
            </w:r>
          </w:p>
        </w:tc>
        <w:tc>
          <w:tcPr>
            <w:tcW w:w="1545" w:type="dxa"/>
          </w:tcPr>
          <w:p w14:paraId="0BCF1341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0.043</w:t>
            </w:r>
          </w:p>
        </w:tc>
        <w:tc>
          <w:tcPr>
            <w:tcW w:w="1228" w:type="dxa"/>
          </w:tcPr>
          <w:p w14:paraId="22224AD4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0.307</w:t>
            </w:r>
          </w:p>
        </w:tc>
      </w:tr>
      <w:tr w14:paraId="55A0E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58" w:type="dxa"/>
          </w:tcPr>
          <w:p w14:paraId="6B4E7B48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Bone</w:t>
            </w:r>
          </w:p>
        </w:tc>
        <w:tc>
          <w:tcPr>
            <w:tcW w:w="1475" w:type="dxa"/>
          </w:tcPr>
          <w:p w14:paraId="3CDC7829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(12.2％)</w:t>
            </w:r>
          </w:p>
        </w:tc>
        <w:tc>
          <w:tcPr>
            <w:tcW w:w="1545" w:type="dxa"/>
          </w:tcPr>
          <w:p w14:paraId="70FA923C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0.885</w:t>
            </w:r>
          </w:p>
        </w:tc>
        <w:tc>
          <w:tcPr>
            <w:tcW w:w="1228" w:type="dxa"/>
          </w:tcPr>
          <w:p w14:paraId="57C903BA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0.347</w:t>
            </w:r>
          </w:p>
        </w:tc>
      </w:tr>
      <w:tr w14:paraId="66228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58" w:type="dxa"/>
          </w:tcPr>
          <w:p w14:paraId="17EC00DA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Liver</w:t>
            </w:r>
          </w:p>
        </w:tc>
        <w:tc>
          <w:tcPr>
            <w:tcW w:w="1475" w:type="dxa"/>
          </w:tcPr>
          <w:p w14:paraId="53E95BD3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(9.8％)</w:t>
            </w:r>
          </w:p>
        </w:tc>
        <w:tc>
          <w:tcPr>
            <w:tcW w:w="1545" w:type="dxa"/>
          </w:tcPr>
          <w:p w14:paraId="3A748312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0.011</w:t>
            </w:r>
          </w:p>
        </w:tc>
        <w:tc>
          <w:tcPr>
            <w:tcW w:w="1228" w:type="dxa"/>
          </w:tcPr>
          <w:p w14:paraId="22D52614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0.916</w:t>
            </w:r>
          </w:p>
        </w:tc>
      </w:tr>
      <w:tr w14:paraId="3BB25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58" w:type="dxa"/>
          </w:tcPr>
          <w:p w14:paraId="5691D519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Kidney</w:t>
            </w:r>
          </w:p>
        </w:tc>
        <w:tc>
          <w:tcPr>
            <w:tcW w:w="1475" w:type="dxa"/>
          </w:tcPr>
          <w:p w14:paraId="33A8FBCC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(2.4％)</w:t>
            </w:r>
          </w:p>
        </w:tc>
        <w:tc>
          <w:tcPr>
            <w:tcW w:w="1545" w:type="dxa"/>
          </w:tcPr>
          <w:p w14:paraId="74D0812C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0.015</w:t>
            </w:r>
          </w:p>
        </w:tc>
        <w:tc>
          <w:tcPr>
            <w:tcW w:w="1228" w:type="dxa"/>
          </w:tcPr>
          <w:p w14:paraId="7DF85A6F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0.904</w:t>
            </w:r>
          </w:p>
        </w:tc>
      </w:tr>
      <w:tr w14:paraId="6DBAE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4058" w:type="dxa"/>
          </w:tcPr>
          <w:p w14:paraId="43111469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Brain</w:t>
            </w:r>
          </w:p>
        </w:tc>
        <w:tc>
          <w:tcPr>
            <w:tcW w:w="1475" w:type="dxa"/>
          </w:tcPr>
          <w:p w14:paraId="0148E0CE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(2.4％)</w:t>
            </w:r>
          </w:p>
        </w:tc>
        <w:tc>
          <w:tcPr>
            <w:tcW w:w="1545" w:type="dxa"/>
          </w:tcPr>
          <w:p w14:paraId="63E4FE73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2.964</w:t>
            </w:r>
          </w:p>
        </w:tc>
        <w:tc>
          <w:tcPr>
            <w:tcW w:w="1228" w:type="dxa"/>
          </w:tcPr>
          <w:p w14:paraId="630263C8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0.085</w:t>
            </w:r>
          </w:p>
        </w:tc>
      </w:tr>
      <w:tr w14:paraId="72D478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58" w:type="dxa"/>
            <w:tcBorders>
              <w:top w:val="nil"/>
              <w:bottom w:val="nil"/>
            </w:tcBorders>
          </w:tcPr>
          <w:p w14:paraId="36E7043A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Pleura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 w14:paraId="5799E522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(2.4％)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45F82ECE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0.558</w:t>
            </w: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5D286C6D">
            <w:pPr>
              <w:tabs>
                <w:tab w:val="center" w:pos="519"/>
              </w:tabs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0.455</w:t>
            </w:r>
          </w:p>
        </w:tc>
      </w:tr>
      <w:tr w14:paraId="117132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58" w:type="dxa"/>
            <w:tcBorders>
              <w:top w:val="nil"/>
              <w:bottom w:val="single" w:color="000000" w:sz="12" w:space="0"/>
            </w:tcBorders>
          </w:tcPr>
          <w:p w14:paraId="5C1BC2FC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Unknown Site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*</w:t>
            </w:r>
          </w:p>
        </w:tc>
        <w:tc>
          <w:tcPr>
            <w:tcW w:w="1475" w:type="dxa"/>
            <w:tcBorders>
              <w:top w:val="nil"/>
              <w:bottom w:val="single" w:color="000000" w:sz="12" w:space="0"/>
            </w:tcBorders>
          </w:tcPr>
          <w:p w14:paraId="301426F9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(9.8％)</w:t>
            </w:r>
          </w:p>
        </w:tc>
        <w:tc>
          <w:tcPr>
            <w:tcW w:w="1545" w:type="dxa"/>
            <w:tcBorders>
              <w:top w:val="nil"/>
              <w:bottom w:val="single" w:color="000000" w:sz="12" w:space="0"/>
            </w:tcBorders>
          </w:tcPr>
          <w:p w14:paraId="1027E7BD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0.863</w:t>
            </w:r>
          </w:p>
        </w:tc>
        <w:tc>
          <w:tcPr>
            <w:tcW w:w="1228" w:type="dxa"/>
            <w:tcBorders>
              <w:top w:val="nil"/>
              <w:bottom w:val="single" w:color="000000" w:sz="12" w:space="0"/>
            </w:tcBorders>
          </w:tcPr>
          <w:p w14:paraId="65F209DC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0.353</w:t>
            </w:r>
          </w:p>
        </w:tc>
      </w:tr>
    </w:tbl>
    <w:p w14:paraId="33FA33D7">
      <w:pPr>
        <w:widowControl/>
        <w:spacing w:line="48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  <w:vertAlign w:val="superscript"/>
        </w:rPr>
        <w:t>*</w:t>
      </w:r>
      <w:r>
        <w:rPr>
          <w:rFonts w:ascii="Times New Roman" w:hAnsi="Times New Roman"/>
          <w:sz w:val="24"/>
        </w:rPr>
        <w:t xml:space="preserve">The exact site of distant metastasis could not be determined for patients who did not receive post-recurrence care at our institution and were reported deceased by family </w:t>
      </w:r>
      <w:bookmarkStart w:id="1" w:name="_GoBack"/>
      <w:r>
        <w:rPr>
          <w:rFonts w:ascii="Times New Roman" w:hAnsi="Times New Roman"/>
          <w:sz w:val="24"/>
        </w:rPr>
        <w:t>members during follow-up.</w:t>
      </w:r>
    </w:p>
    <w:bookmarkEnd w:id="1"/>
    <w:p w14:paraId="2AAA15E9">
      <w:pPr>
        <w:rPr>
          <w:rFonts w:ascii="Times New Roman" w:hAnsi="Times New Roman" w:cs="Times New Roman"/>
          <w:sz w:val="24"/>
        </w:rPr>
      </w:pPr>
    </w:p>
    <w:tbl>
      <w:tblPr>
        <w:tblStyle w:val="16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1"/>
        <w:gridCol w:w="2148"/>
        <w:gridCol w:w="1518"/>
        <w:gridCol w:w="1371"/>
        <w:gridCol w:w="977"/>
      </w:tblGrid>
      <w:tr w14:paraId="0DC14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gridSpan w:val="5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4144F6EA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bidi="ar"/>
              </w:rPr>
              <w:t xml:space="preserve">Supplemental </w:t>
            </w:r>
            <w:r>
              <w:rPr>
                <w:rFonts w:ascii="Times New Roman" w:hAnsi="Times New Roman"/>
                <w:b/>
                <w:bCs/>
                <w:sz w:val="24"/>
                <w:lang w:bidi="ar"/>
              </w:rPr>
              <w:t>Table 3</w:t>
            </w:r>
            <w:r>
              <w:rPr>
                <w:rFonts w:ascii="Times New Roman" w:hAnsi="Times New Roman"/>
                <w:sz w:val="24"/>
                <w:lang w:bidi="ar"/>
              </w:rPr>
              <w:t xml:space="preserve"> Survival time of patients with distant metastasis after treatment of stage IIIC cervical cancer</w:t>
            </w:r>
          </w:p>
        </w:tc>
      </w:tr>
      <w:tr w14:paraId="3FBC6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1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8A84B6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Metastasis Information</w:t>
            </w:r>
          </w:p>
        </w:tc>
        <w:tc>
          <w:tcPr>
            <w:tcW w:w="2148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121980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Metastasis (Yes/No)</w:t>
            </w:r>
          </w:p>
        </w:tc>
        <w:tc>
          <w:tcPr>
            <w:tcW w:w="151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9261B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N (41)</w:t>
            </w:r>
          </w:p>
        </w:tc>
        <w:tc>
          <w:tcPr>
            <w:tcW w:w="1371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7B525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OS (months)</w:t>
            </w:r>
          </w:p>
        </w:tc>
        <w:tc>
          <w:tcPr>
            <w:tcW w:w="97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D3665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lang w:bidi="ar"/>
              </w:rPr>
              <w:t>P</w:t>
            </w:r>
          </w:p>
        </w:tc>
      </w:tr>
      <w:tr w14:paraId="354EC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5B1E6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Lung metastasis</w:t>
            </w:r>
          </w:p>
        </w:tc>
        <w:tc>
          <w:tcPr>
            <w:tcW w:w="21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3316969A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Yes</w:t>
            </w:r>
          </w:p>
        </w:tc>
        <w:tc>
          <w:tcPr>
            <w:tcW w:w="151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C67D1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19</w:t>
            </w:r>
          </w:p>
        </w:tc>
        <w:tc>
          <w:tcPr>
            <w:tcW w:w="137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7768B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19.03</w:t>
            </w:r>
          </w:p>
        </w:tc>
        <w:tc>
          <w:tcPr>
            <w:tcW w:w="97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BA67B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0.307</w:t>
            </w:r>
          </w:p>
        </w:tc>
      </w:tr>
      <w:tr w14:paraId="63C63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99651">
            <w:pPr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85FEA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No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48094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22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58F2D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47.78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269EC">
            <w:pPr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</w:tr>
      <w:tr w14:paraId="4B097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69E1B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Bone metastasis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4C598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Yes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2B90D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205FC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36.90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C5B5A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0.347</w:t>
            </w:r>
          </w:p>
        </w:tc>
      </w:tr>
      <w:tr w14:paraId="28683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63F60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A2809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No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E92CD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36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2786C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35.20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298AF">
            <w:pPr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</w:tr>
      <w:tr w14:paraId="7B409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EB80A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Liver metastasis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7224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Yes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A3AE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1C21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36.90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F21CD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0.916</w:t>
            </w:r>
          </w:p>
        </w:tc>
      </w:tr>
      <w:tr w14:paraId="462A0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0900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1CDC8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No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053E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37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F0A5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35.20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BEA58">
            <w:pPr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</w:tr>
      <w:tr w14:paraId="54650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043B5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Hematogenous metastasis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2631A">
            <w:pPr>
              <w:spacing w:line="480" w:lineRule="auto"/>
              <w:jc w:val="center"/>
              <w:rPr>
                <w:rFonts w:ascii="Times New Roman" w:hAnsi="Times New Roman"/>
                <w:sz w:val="24"/>
                <w:lang w:bidi="ar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Yes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0A8F3">
            <w:pPr>
              <w:spacing w:line="480" w:lineRule="auto"/>
              <w:jc w:val="center"/>
              <w:rPr>
                <w:rFonts w:ascii="Times New Roman" w:hAnsi="Times New Roman"/>
                <w:sz w:val="24"/>
                <w:lang w:bidi="ar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27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E3736">
            <w:pPr>
              <w:spacing w:line="480" w:lineRule="auto"/>
              <w:jc w:val="center"/>
              <w:rPr>
                <w:rFonts w:ascii="Times New Roman" w:hAnsi="Times New Roman"/>
                <w:sz w:val="24"/>
                <w:lang w:bidi="ar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23.57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8F0A8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0.158</w:t>
            </w:r>
          </w:p>
        </w:tc>
      </w:tr>
      <w:tr w14:paraId="19F18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3FABF9D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</w:tcPr>
          <w:p w14:paraId="0595CD3E">
            <w:pPr>
              <w:spacing w:line="480" w:lineRule="auto"/>
              <w:jc w:val="center"/>
              <w:rPr>
                <w:rFonts w:ascii="Times New Roman" w:hAnsi="Times New Roman"/>
                <w:sz w:val="24"/>
                <w:lang w:bidi="ar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No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EEF89E1">
            <w:pPr>
              <w:spacing w:line="480" w:lineRule="auto"/>
              <w:jc w:val="center"/>
              <w:rPr>
                <w:rFonts w:ascii="Times New Roman" w:hAnsi="Times New Roman"/>
                <w:sz w:val="24"/>
                <w:lang w:bidi="ar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14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6896C15">
            <w:pPr>
              <w:spacing w:line="480" w:lineRule="auto"/>
              <w:jc w:val="center"/>
              <w:rPr>
                <w:rFonts w:ascii="Times New Roman" w:hAnsi="Times New Roman"/>
                <w:sz w:val="24"/>
                <w:lang w:bidi="ar"/>
              </w:rPr>
            </w:pPr>
            <w:r>
              <w:rPr>
                <w:rFonts w:ascii="Times New Roman" w:hAnsi="Times New Roman"/>
                <w:sz w:val="24"/>
                <w:lang w:bidi="ar"/>
              </w:rPr>
              <w:t>41.79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1043853">
            <w:pPr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080A259C">
      <w:pPr>
        <w:rPr>
          <w:rFonts w:ascii="Times New Roman" w:hAnsi="Times New Roman" w:cs="Times New Roman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420"/>
    <w:rsid w:val="00002E02"/>
    <w:rsid w:val="00345E55"/>
    <w:rsid w:val="004C1420"/>
    <w:rsid w:val="005F0E35"/>
    <w:rsid w:val="007B58BC"/>
    <w:rsid w:val="008411BF"/>
    <w:rsid w:val="008A0F68"/>
    <w:rsid w:val="00A95F90"/>
    <w:rsid w:val="00DA4C3C"/>
    <w:rsid w:val="2900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35"/>
    <w:pPr>
      <w:spacing w:after="0" w:line="360" w:lineRule="exact"/>
      <w:jc w:val="center"/>
    </w:pPr>
    <w:rPr>
      <w:rFonts w:ascii="Calibri" w:hAnsi="Calibri" w:eastAsia="楷体" w:cs="Times New Roman"/>
      <w:sz w:val="21"/>
      <w:szCs w:val="28"/>
      <w14:ligatures w14:val="none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234</Words>
  <Characters>953</Characters>
  <Lines>17</Lines>
  <Paragraphs>4</Paragraphs>
  <TotalTime>5</TotalTime>
  <ScaleCrop>false</ScaleCrop>
  <LinksUpToDate>false</LinksUpToDate>
  <CharactersWithSpaces>1122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2026-03-26T10:13:00Z</dcterms:created>
  <dc:creator>琪琪 黄</dc:creator>
  <cp:lastModifiedBy>kiki</cp:lastModifiedBy>
  <dcterms:modified xsi:type="dcterms:W3CDTF">2026-07-07T08:07:59Z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eyJoZGlkIjoiZDUwZTMxMGY0MmQ1ZGRkM2I1MzdkZGRkYTFkYmVkNzMiLCJ1c2VySWQiOiI0Mzc2NjU4NzQifQ==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0DE8BEB6EE6B465FB8F58BA1F241E9F9_12</vt:lpwstr>
  </property>
</Properties>
</file>