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4A6CC2" w14:textId="77777777" w:rsidR="00C32DDD" w:rsidRPr="00A66138" w:rsidRDefault="00000000" w:rsidP="00A66138">
      <w:pPr>
        <w:pStyle w:val="Title"/>
        <w:spacing w:after="0"/>
        <w:rPr>
          <w:rFonts w:ascii="Times New Roman" w:hAnsi="Times New Roman" w:cs="Times New Roman"/>
          <w:b/>
          <w:bCs/>
          <w:sz w:val="24"/>
          <w:szCs w:val="24"/>
        </w:rPr>
      </w:pPr>
      <w:r w:rsidRPr="00A66138">
        <w:rPr>
          <w:rFonts w:ascii="Times New Roman" w:hAnsi="Times New Roman" w:cs="Times New Roman"/>
          <w:b/>
          <w:bCs/>
          <w:sz w:val="24"/>
          <w:szCs w:val="24"/>
        </w:rPr>
        <w:t>Grade 4-to-5 Joint Mathematics–Science Benchmark Transitions in Nine Systems: A Descriptive Common-Severity Analysis Using TIMSS 2023 Longitudinal Data</w:t>
      </w:r>
    </w:p>
    <w:sdt>
      <w:sdtPr>
        <w:rPr>
          <w:rFonts w:ascii="Times New Roman" w:eastAsiaTheme="minorEastAsia" w:hAnsi="Times New Roman" w:cs="Times New Roman"/>
          <w:b/>
          <w:bCs/>
          <w:color w:val="auto"/>
          <w:sz w:val="24"/>
          <w:szCs w:val="24"/>
        </w:rPr>
        <w:id w:val="2084260795"/>
        <w:docPartObj>
          <w:docPartGallery w:val="Table of Contents"/>
          <w:docPartUnique/>
        </w:docPartObj>
      </w:sdtPr>
      <w:sdtEndPr>
        <w:rPr>
          <w:b w:val="0"/>
          <w:bCs w:val="0"/>
        </w:rPr>
      </w:sdtEndPr>
      <w:sdtContent>
        <w:p w14:paraId="6A5678D8" w14:textId="77777777" w:rsidR="00C32DDD" w:rsidRPr="00A66138" w:rsidRDefault="00000000" w:rsidP="00A66138">
          <w:pPr>
            <w:pStyle w:val="TOCHeading"/>
            <w:spacing w:line="480" w:lineRule="auto"/>
            <w:jc w:val="center"/>
            <w:rPr>
              <w:rFonts w:ascii="Times New Roman" w:hAnsi="Times New Roman" w:cs="Times New Roman"/>
              <w:b/>
              <w:bCs/>
              <w:sz w:val="24"/>
              <w:szCs w:val="24"/>
            </w:rPr>
          </w:pPr>
          <w:r w:rsidRPr="00A66138">
            <w:rPr>
              <w:rFonts w:ascii="Times New Roman" w:hAnsi="Times New Roman" w:cs="Times New Roman"/>
              <w:b/>
              <w:bCs/>
              <w:sz w:val="24"/>
              <w:szCs w:val="24"/>
            </w:rPr>
            <w:t>Table of contents</w:t>
          </w:r>
        </w:p>
        <w:p w14:paraId="1266E7FD" w14:textId="77777777" w:rsidR="00A66138" w:rsidRPr="00A66138" w:rsidRDefault="00000000">
          <w:pPr>
            <w:pStyle w:val="TOC2"/>
            <w:tabs>
              <w:tab w:val="right" w:leader="dot" w:pos="9350"/>
            </w:tabs>
            <w:rPr>
              <w:rFonts w:ascii="Times New Roman" w:hAnsi="Times New Roman" w:cs="Times New Roman"/>
              <w:noProof/>
            </w:rPr>
          </w:pPr>
          <w:r w:rsidRPr="00A66138">
            <w:rPr>
              <w:rFonts w:ascii="Times New Roman" w:hAnsi="Times New Roman" w:cs="Times New Roman"/>
            </w:rPr>
            <w:fldChar w:fldCharType="begin"/>
          </w:r>
          <w:r w:rsidRPr="00A66138">
            <w:rPr>
              <w:rFonts w:ascii="Times New Roman" w:hAnsi="Times New Roman" w:cs="Times New Roman"/>
            </w:rPr>
            <w:instrText>TOC \o "1-3" \h \z \u</w:instrText>
          </w:r>
          <w:r w:rsidRPr="00A66138">
            <w:rPr>
              <w:rFonts w:ascii="Times New Roman" w:hAnsi="Times New Roman" w:cs="Times New Roman"/>
            </w:rPr>
            <w:fldChar w:fldCharType="separate"/>
          </w:r>
          <w:hyperlink w:anchor="_Toc237481819" w:history="1">
            <w:r w:rsidR="00A66138" w:rsidRPr="00A66138">
              <w:rPr>
                <w:rStyle w:val="Hyperlink"/>
                <w:rFonts w:ascii="Times New Roman" w:hAnsi="Times New Roman" w:cs="Times New Roman"/>
                <w:noProof/>
              </w:rPr>
              <w:t>S1. Data files, systems, samples, and variable map</w:t>
            </w:r>
            <w:r w:rsidR="00A66138" w:rsidRPr="00A66138">
              <w:rPr>
                <w:rFonts w:ascii="Times New Roman" w:hAnsi="Times New Roman" w:cs="Times New Roman"/>
                <w:noProof/>
                <w:webHidden/>
              </w:rPr>
              <w:tab/>
            </w:r>
            <w:r w:rsidR="00A66138" w:rsidRPr="00A66138">
              <w:rPr>
                <w:rFonts w:ascii="Times New Roman" w:hAnsi="Times New Roman" w:cs="Times New Roman"/>
                <w:noProof/>
                <w:webHidden/>
              </w:rPr>
              <w:fldChar w:fldCharType="begin"/>
            </w:r>
            <w:r w:rsidR="00A66138" w:rsidRPr="00A66138">
              <w:rPr>
                <w:rFonts w:ascii="Times New Roman" w:hAnsi="Times New Roman" w:cs="Times New Roman"/>
                <w:noProof/>
                <w:webHidden/>
              </w:rPr>
              <w:instrText xml:space="preserve"> PAGEREF _Toc237481819 \h </w:instrText>
            </w:r>
            <w:r w:rsidR="00A66138" w:rsidRPr="00A66138">
              <w:rPr>
                <w:rFonts w:ascii="Times New Roman" w:hAnsi="Times New Roman" w:cs="Times New Roman"/>
                <w:noProof/>
                <w:webHidden/>
              </w:rPr>
            </w:r>
            <w:r w:rsidR="00A66138" w:rsidRPr="00A66138">
              <w:rPr>
                <w:rFonts w:ascii="Times New Roman" w:hAnsi="Times New Roman" w:cs="Times New Roman"/>
                <w:noProof/>
                <w:webHidden/>
              </w:rPr>
              <w:fldChar w:fldCharType="separate"/>
            </w:r>
            <w:r w:rsidR="00A66138" w:rsidRPr="00A66138">
              <w:rPr>
                <w:rFonts w:ascii="Times New Roman" w:hAnsi="Times New Roman" w:cs="Times New Roman"/>
                <w:noProof/>
                <w:webHidden/>
              </w:rPr>
              <w:t>1</w:t>
            </w:r>
            <w:r w:rsidR="00A66138" w:rsidRPr="00A66138">
              <w:rPr>
                <w:rFonts w:ascii="Times New Roman" w:hAnsi="Times New Roman" w:cs="Times New Roman"/>
                <w:noProof/>
                <w:webHidden/>
              </w:rPr>
              <w:fldChar w:fldCharType="end"/>
            </w:r>
          </w:hyperlink>
        </w:p>
        <w:p w14:paraId="10DE8F82" w14:textId="77777777" w:rsidR="00A66138" w:rsidRPr="00A66138" w:rsidRDefault="00A66138">
          <w:pPr>
            <w:pStyle w:val="TOC3"/>
            <w:tabs>
              <w:tab w:val="right" w:leader="dot" w:pos="9350"/>
            </w:tabs>
            <w:rPr>
              <w:rFonts w:ascii="Times New Roman" w:hAnsi="Times New Roman" w:cs="Times New Roman"/>
              <w:noProof/>
            </w:rPr>
          </w:pPr>
          <w:hyperlink w:anchor="_Toc237481820" w:history="1">
            <w:r w:rsidRPr="00A66138">
              <w:rPr>
                <w:rStyle w:val="Hyperlink"/>
                <w:rFonts w:ascii="Times New Roman" w:hAnsi="Times New Roman" w:cs="Times New Roman"/>
                <w:noProof/>
              </w:rPr>
              <w:t>S1.1 Official source files and acquisition</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_Toc237481820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4534235A" w14:textId="77777777" w:rsidR="00A66138" w:rsidRPr="00A66138" w:rsidRDefault="00A66138">
          <w:pPr>
            <w:pStyle w:val="TOC3"/>
            <w:tabs>
              <w:tab w:val="right" w:leader="dot" w:pos="9350"/>
            </w:tabs>
            <w:rPr>
              <w:rFonts w:ascii="Times New Roman" w:hAnsi="Times New Roman" w:cs="Times New Roman"/>
              <w:noProof/>
            </w:rPr>
          </w:pPr>
          <w:hyperlink w:anchor="_Toc237481821" w:history="1">
            <w:r w:rsidRPr="00A66138">
              <w:rPr>
                <w:rStyle w:val="Hyperlink"/>
                <w:rFonts w:ascii="Times New Roman" w:hAnsi="Times New Roman" w:cs="Times New Roman"/>
                <w:noProof/>
              </w:rPr>
              <w:t>S1.2 Variable map and terminal PV index</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_Toc237481821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7C3D0537" w14:textId="77777777" w:rsidR="00A66138" w:rsidRPr="00A66138" w:rsidRDefault="00A66138">
          <w:pPr>
            <w:pStyle w:val="TOC2"/>
            <w:tabs>
              <w:tab w:val="right" w:leader="dot" w:pos="9350"/>
            </w:tabs>
            <w:rPr>
              <w:rFonts w:ascii="Times New Roman" w:hAnsi="Times New Roman" w:cs="Times New Roman"/>
              <w:noProof/>
            </w:rPr>
          </w:pPr>
          <w:hyperlink w:anchor="_Toc237481822" w:history="1">
            <w:r w:rsidRPr="00A66138">
              <w:rPr>
                <w:rStyle w:val="Hyperlink"/>
                <w:rFonts w:ascii="Times New Roman" w:hAnsi="Times New Roman" w:cs="Times New Roman"/>
                <w:noProof/>
              </w:rPr>
              <w:t>S2. Estimands and complete PV/JRR covariance derivation</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_Toc237481822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4BFE00CC" w14:textId="77777777" w:rsidR="00A66138" w:rsidRPr="00A66138" w:rsidRDefault="00A66138">
          <w:pPr>
            <w:pStyle w:val="TOC3"/>
            <w:tabs>
              <w:tab w:val="right" w:leader="dot" w:pos="9350"/>
            </w:tabs>
            <w:rPr>
              <w:rFonts w:ascii="Times New Roman" w:hAnsi="Times New Roman" w:cs="Times New Roman"/>
              <w:noProof/>
            </w:rPr>
          </w:pPr>
          <w:hyperlink w:anchor="_Toc237481823" w:history="1">
            <w:r w:rsidRPr="00A66138">
              <w:rPr>
                <w:rStyle w:val="Hyperlink"/>
                <w:rFonts w:ascii="Times New Roman" w:hAnsi="Times New Roman" w:cs="Times New Roman"/>
                <w:noProof/>
              </w:rPr>
              <w:t>S2.1 Joint states and transition estimands</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_Toc237481823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6A7168A6" w14:textId="77777777" w:rsidR="00A66138" w:rsidRPr="00A66138" w:rsidRDefault="00A66138">
          <w:pPr>
            <w:pStyle w:val="TOC3"/>
            <w:tabs>
              <w:tab w:val="right" w:leader="dot" w:pos="9350"/>
            </w:tabs>
            <w:rPr>
              <w:rFonts w:ascii="Times New Roman" w:hAnsi="Times New Roman" w:cs="Times New Roman"/>
              <w:noProof/>
            </w:rPr>
          </w:pPr>
          <w:hyperlink w:anchor="_Toc237481824" w:history="1">
            <w:r w:rsidRPr="00A66138">
              <w:rPr>
                <w:rStyle w:val="Hyperlink"/>
                <w:rFonts w:ascii="Times New Roman" w:hAnsi="Times New Roman" w:cs="Times New Roman"/>
                <w:noProof/>
              </w:rPr>
              <w:t>S2.2 Matched four-dimensional plausible-value tuples</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_Toc237481824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1BC8A0A4" w14:textId="77777777" w:rsidR="00A66138" w:rsidRPr="00A66138" w:rsidRDefault="00A66138">
          <w:pPr>
            <w:pStyle w:val="TOC3"/>
            <w:tabs>
              <w:tab w:val="right" w:leader="dot" w:pos="9350"/>
            </w:tabs>
            <w:rPr>
              <w:rFonts w:ascii="Times New Roman" w:hAnsi="Times New Roman" w:cs="Times New Roman"/>
              <w:noProof/>
            </w:rPr>
          </w:pPr>
          <w:hyperlink w:anchor="_Toc237481825" w:history="1">
            <w:r w:rsidRPr="00A66138">
              <w:rPr>
                <w:rStyle w:val="Hyperlink"/>
                <w:rFonts w:ascii="Times New Roman" w:hAnsi="Times New Roman" w:cs="Times New Roman"/>
                <w:noProof/>
              </w:rPr>
              <w:t>S2.3 JRR sampling covariance within a matched draw</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_Toc237481825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7AC78279" w14:textId="77777777" w:rsidR="00A66138" w:rsidRPr="00A66138" w:rsidRDefault="00A66138">
          <w:pPr>
            <w:pStyle w:val="TOC3"/>
            <w:tabs>
              <w:tab w:val="right" w:leader="dot" w:pos="9350"/>
            </w:tabs>
            <w:rPr>
              <w:rFonts w:ascii="Times New Roman" w:hAnsi="Times New Roman" w:cs="Times New Roman"/>
              <w:noProof/>
            </w:rPr>
          </w:pPr>
          <w:hyperlink w:anchor="_Toc237481826" w:history="1">
            <w:r w:rsidRPr="00A66138">
              <w:rPr>
                <w:rStyle w:val="Hyperlink"/>
                <w:rFonts w:ascii="Times New Roman" w:hAnsi="Times New Roman" w:cs="Times New Roman"/>
                <w:noProof/>
              </w:rPr>
              <w:t>S2.4 Primary common-severity standardization</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_Toc237481826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52E5666C" w14:textId="77777777" w:rsidR="00A66138" w:rsidRPr="00A66138" w:rsidRDefault="00A66138">
          <w:pPr>
            <w:pStyle w:val="TOC3"/>
            <w:tabs>
              <w:tab w:val="right" w:leader="dot" w:pos="9350"/>
            </w:tabs>
            <w:rPr>
              <w:rFonts w:ascii="Times New Roman" w:hAnsi="Times New Roman" w:cs="Times New Roman"/>
              <w:noProof/>
            </w:rPr>
          </w:pPr>
          <w:hyperlink w:anchor="_Toc237481827" w:history="1">
            <w:r w:rsidRPr="00A66138">
              <w:rPr>
                <w:rStyle w:val="Hyperlink"/>
                <w:rFonts w:ascii="Times New Roman" w:hAnsi="Times New Roman" w:cs="Times New Roman"/>
                <w:noProof/>
              </w:rPr>
              <w:t>S2.5 Full 168-parameter stacked standardization covariance</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_Toc237481827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459730D9" w14:textId="77777777" w:rsidR="00A66138" w:rsidRPr="00A66138" w:rsidRDefault="00A66138">
          <w:pPr>
            <w:pStyle w:val="TOC2"/>
            <w:tabs>
              <w:tab w:val="right" w:leader="dot" w:pos="9350"/>
            </w:tabs>
            <w:rPr>
              <w:rFonts w:ascii="Times New Roman" w:hAnsi="Times New Roman" w:cs="Times New Roman"/>
              <w:noProof/>
            </w:rPr>
          </w:pPr>
          <w:hyperlink w:anchor="_Toc237481828" w:history="1">
            <w:r w:rsidRPr="00A66138">
              <w:rPr>
                <w:rStyle w:val="Hyperlink"/>
                <w:rFonts w:ascii="Times New Roman" w:hAnsi="Times New Roman" w:cs="Times New Roman"/>
                <w:noProof/>
              </w:rPr>
              <w:t>S3. Reproduction of official TIMSS-L statistics</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_Toc237481828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5439D916" w14:textId="77777777" w:rsidR="00A66138" w:rsidRPr="00A66138" w:rsidRDefault="00A66138">
          <w:pPr>
            <w:pStyle w:val="TOC2"/>
            <w:tabs>
              <w:tab w:val="right" w:leader="dot" w:pos="9350"/>
            </w:tabs>
            <w:rPr>
              <w:rFonts w:ascii="Times New Roman" w:hAnsi="Times New Roman" w:cs="Times New Roman"/>
              <w:noProof/>
            </w:rPr>
          </w:pPr>
          <w:hyperlink w:anchor="_Toc237481829" w:history="1">
            <w:r w:rsidRPr="00A66138">
              <w:rPr>
                <w:rStyle w:val="Hyperlink"/>
                <w:rFonts w:ascii="Times New Roman" w:hAnsi="Times New Roman" w:cs="Times New Roman"/>
                <w:noProof/>
              </w:rPr>
              <w:t>S4. Full four-state transition matrices</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_Toc237481829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4A49FC2E" w14:textId="77777777" w:rsidR="00A66138" w:rsidRPr="00A66138" w:rsidRDefault="00A66138">
          <w:pPr>
            <w:pStyle w:val="TOC2"/>
            <w:tabs>
              <w:tab w:val="right" w:leader="dot" w:pos="9350"/>
            </w:tabs>
            <w:rPr>
              <w:rFonts w:ascii="Times New Roman" w:hAnsi="Times New Roman" w:cs="Times New Roman"/>
              <w:noProof/>
            </w:rPr>
          </w:pPr>
          <w:hyperlink w:anchor="_Toc237481830" w:history="1">
            <w:r w:rsidRPr="00A66138">
              <w:rPr>
                <w:rStyle w:val="Hyperlink"/>
                <w:rFonts w:ascii="Times New Roman" w:hAnsi="Times New Roman" w:cs="Times New Roman"/>
                <w:noProof/>
              </w:rPr>
              <w:t>S5. Six standardization specifications, decomposition, and overlap</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_Toc237481830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135C4CBA" w14:textId="77777777" w:rsidR="00A66138" w:rsidRPr="00A66138" w:rsidRDefault="00A66138">
          <w:pPr>
            <w:pStyle w:val="TOC2"/>
            <w:tabs>
              <w:tab w:val="right" w:leader="dot" w:pos="9350"/>
            </w:tabs>
            <w:rPr>
              <w:rFonts w:ascii="Times New Roman" w:hAnsi="Times New Roman" w:cs="Times New Roman"/>
              <w:noProof/>
            </w:rPr>
          </w:pPr>
          <w:hyperlink w:anchor="_Toc237481831" w:history="1">
            <w:r w:rsidRPr="00A66138">
              <w:rPr>
                <w:rStyle w:val="Hyperlink"/>
                <w:rFonts w:ascii="Times New Roman" w:hAnsi="Times New Roman" w:cs="Times New Roman"/>
                <w:noProof/>
              </w:rPr>
              <w:t>S6. Alternative thresholds and crossing buffers</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_Toc237481831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56F83125" w14:textId="77777777" w:rsidR="00A66138" w:rsidRPr="00A66138" w:rsidRDefault="00A66138">
          <w:pPr>
            <w:pStyle w:val="TOC2"/>
            <w:tabs>
              <w:tab w:val="right" w:leader="dot" w:pos="9350"/>
            </w:tabs>
            <w:rPr>
              <w:rFonts w:ascii="Times New Roman" w:hAnsi="Times New Roman" w:cs="Times New Roman"/>
              <w:noProof/>
            </w:rPr>
          </w:pPr>
          <w:hyperlink w:anchor="_Toc237481832" w:history="1">
            <w:r w:rsidRPr="00A66138">
              <w:rPr>
                <w:rStyle w:val="Hyperlink"/>
                <w:rFonts w:ascii="Times New Roman" w:hAnsi="Times New Roman" w:cs="Times New Roman"/>
                <w:noProof/>
              </w:rPr>
              <w:t>S7. Missing-data, IPW, and MNAR sensitivity analyses</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_Toc237481832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0A822D6A" w14:textId="77777777" w:rsidR="00A66138" w:rsidRPr="00A66138" w:rsidRDefault="00A66138">
          <w:pPr>
            <w:pStyle w:val="TOC3"/>
            <w:tabs>
              <w:tab w:val="right" w:leader="dot" w:pos="9350"/>
            </w:tabs>
            <w:rPr>
              <w:rFonts w:ascii="Times New Roman" w:hAnsi="Times New Roman" w:cs="Times New Roman"/>
              <w:noProof/>
            </w:rPr>
          </w:pPr>
          <w:hyperlink w:anchor="_Toc237481833" w:history="1">
            <w:r w:rsidRPr="00A66138">
              <w:rPr>
                <w:rStyle w:val="Hyperlink"/>
                <w:rFonts w:ascii="Times New Roman" w:hAnsi="Times New Roman" w:cs="Times New Roman"/>
                <w:noProof/>
              </w:rPr>
              <w:t>S7.1 PV-completed, both-wave, and response-IPW targets</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_Toc237481833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3F14EE3C" w14:textId="77777777" w:rsidR="00A66138" w:rsidRPr="00A66138" w:rsidRDefault="00A66138">
          <w:pPr>
            <w:pStyle w:val="TOC3"/>
            <w:tabs>
              <w:tab w:val="right" w:leader="dot" w:pos="9350"/>
            </w:tabs>
            <w:rPr>
              <w:rFonts w:ascii="Times New Roman" w:hAnsi="Times New Roman" w:cs="Times New Roman"/>
              <w:noProof/>
            </w:rPr>
          </w:pPr>
          <w:hyperlink w:anchor="_Toc237481834" w:history="1">
            <w:r w:rsidRPr="00A66138">
              <w:rPr>
                <w:rStyle w:val="Hyperlink"/>
                <w:rFonts w:ascii="Times New Roman" w:hAnsi="Times New Roman" w:cs="Times New Roman"/>
                <w:noProof/>
              </w:rPr>
              <w:t>S7.2 Pattern-mixture shifts</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_Toc237481834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21044C84" w14:textId="77777777" w:rsidR="00A66138" w:rsidRPr="00A66138" w:rsidRDefault="00A66138">
          <w:pPr>
            <w:pStyle w:val="TOC2"/>
            <w:tabs>
              <w:tab w:val="right" w:leader="dot" w:pos="9350"/>
            </w:tabs>
            <w:rPr>
              <w:rFonts w:ascii="Times New Roman" w:hAnsi="Times New Roman" w:cs="Times New Roman"/>
              <w:noProof/>
            </w:rPr>
          </w:pPr>
          <w:hyperlink w:anchor="_Toc237481835" w:history="1">
            <w:r w:rsidRPr="00A66138">
              <w:rPr>
                <w:rStyle w:val="Hyperlink"/>
                <w:rFonts w:ascii="Times New Roman" w:hAnsi="Times New Roman" w:cs="Times New Roman"/>
                <w:noProof/>
              </w:rPr>
              <w:t>S8. Descriptive Grade 8-to-9 extension</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_Toc237481835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3CF819D4" w14:textId="77777777" w:rsidR="00A66138" w:rsidRPr="00A66138" w:rsidRDefault="00A66138">
          <w:pPr>
            <w:pStyle w:val="TOC2"/>
            <w:tabs>
              <w:tab w:val="right" w:leader="dot" w:pos="9350"/>
            </w:tabs>
            <w:rPr>
              <w:rFonts w:ascii="Times New Roman" w:hAnsi="Times New Roman" w:cs="Times New Roman"/>
              <w:noProof/>
            </w:rPr>
          </w:pPr>
          <w:hyperlink w:anchor="_Toc237481836" w:history="1">
            <w:r w:rsidRPr="00A66138">
              <w:rPr>
                <w:rStyle w:val="Hyperlink"/>
                <w:rFonts w:ascii="Times New Roman" w:hAnsi="Times New Roman" w:cs="Times New Roman"/>
                <w:noProof/>
              </w:rPr>
              <w:t>S9. Exploratory same-wave unequal-index classification-discordance diagnostic</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_Toc237481836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1503A47F" w14:textId="77777777" w:rsidR="00A66138" w:rsidRPr="00A66138" w:rsidRDefault="00A66138">
          <w:pPr>
            <w:pStyle w:val="TOC2"/>
            <w:tabs>
              <w:tab w:val="right" w:leader="dot" w:pos="9350"/>
            </w:tabs>
            <w:rPr>
              <w:rFonts w:ascii="Times New Roman" w:hAnsi="Times New Roman" w:cs="Times New Roman"/>
              <w:noProof/>
            </w:rPr>
          </w:pPr>
          <w:hyperlink w:anchor="_Toc237481837" w:history="1">
            <w:r w:rsidRPr="00A66138">
              <w:rPr>
                <w:rStyle w:val="Hyperlink"/>
                <w:rFonts w:ascii="Times New Roman" w:hAnsi="Times New Roman" w:cs="Times New Roman"/>
                <w:noProof/>
              </w:rPr>
              <w:t>S10. Computational reproducibility and artifact inventory</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_Toc237481837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47CA64BE" w14:textId="77777777" w:rsidR="00A66138" w:rsidRPr="00A66138" w:rsidRDefault="00A66138">
          <w:pPr>
            <w:pStyle w:val="TOC3"/>
            <w:tabs>
              <w:tab w:val="right" w:leader="dot" w:pos="9350"/>
            </w:tabs>
            <w:rPr>
              <w:rFonts w:ascii="Times New Roman" w:hAnsi="Times New Roman" w:cs="Times New Roman"/>
              <w:noProof/>
            </w:rPr>
          </w:pPr>
          <w:hyperlink w:anchor="_Toc237481838" w:history="1">
            <w:r w:rsidRPr="00A66138">
              <w:rPr>
                <w:rStyle w:val="Hyperlink"/>
                <w:rFonts w:ascii="Times New Roman" w:hAnsi="Times New Roman" w:cs="Times New Roman"/>
                <w:noProof/>
              </w:rPr>
              <w:t>S10.1 Dependency-free execution order</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_Toc237481838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3A87A73D" w14:textId="77777777" w:rsidR="00A66138" w:rsidRPr="00A66138" w:rsidRDefault="00A66138">
          <w:pPr>
            <w:pStyle w:val="TOC3"/>
            <w:tabs>
              <w:tab w:val="right" w:leader="dot" w:pos="9350"/>
            </w:tabs>
            <w:rPr>
              <w:rFonts w:ascii="Times New Roman" w:hAnsi="Times New Roman" w:cs="Times New Roman"/>
              <w:noProof/>
            </w:rPr>
          </w:pPr>
          <w:hyperlink w:anchor="_Toc237481839" w:history="1">
            <w:r w:rsidRPr="00A66138">
              <w:rPr>
                <w:rStyle w:val="Hyperlink"/>
                <w:rFonts w:ascii="Times New Roman" w:hAnsi="Times New Roman" w:cs="Times New Roman"/>
                <w:noProof/>
              </w:rPr>
              <w:t>S10.2 Anonymous software record</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_Toc237481839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01279D51" w14:textId="77777777" w:rsidR="00A66138" w:rsidRPr="00A66138" w:rsidRDefault="00A66138">
          <w:pPr>
            <w:pStyle w:val="TOC3"/>
            <w:tabs>
              <w:tab w:val="right" w:leader="dot" w:pos="9350"/>
            </w:tabs>
            <w:rPr>
              <w:rFonts w:ascii="Times New Roman" w:hAnsi="Times New Roman" w:cs="Times New Roman"/>
              <w:noProof/>
            </w:rPr>
          </w:pPr>
          <w:hyperlink w:anchor="_Toc237481840" w:history="1">
            <w:r w:rsidRPr="00A66138">
              <w:rPr>
                <w:rStyle w:val="Hyperlink"/>
                <w:rFonts w:ascii="Times New Roman" w:hAnsi="Times New Roman" w:cs="Times New Roman"/>
                <w:noProof/>
              </w:rPr>
              <w:t>S10.3 Validation gates and publication inventory</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_Toc237481840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67CACAD8" w14:textId="77777777" w:rsidR="00A66138" w:rsidRPr="00A66138" w:rsidRDefault="00A66138">
          <w:pPr>
            <w:pStyle w:val="TOC2"/>
            <w:tabs>
              <w:tab w:val="right" w:leader="dot" w:pos="9350"/>
            </w:tabs>
            <w:rPr>
              <w:rFonts w:ascii="Times New Roman" w:hAnsi="Times New Roman" w:cs="Times New Roman"/>
              <w:noProof/>
            </w:rPr>
          </w:pPr>
          <w:hyperlink w:anchor="_Toc237481841" w:history="1">
            <w:r w:rsidRPr="00A66138">
              <w:rPr>
                <w:rStyle w:val="Hyperlink"/>
                <w:rFonts w:ascii="Times New Roman" w:hAnsi="Times New Roman" w:cs="Times New Roman"/>
                <w:noProof/>
              </w:rPr>
              <w:t>References</w:t>
            </w:r>
            <w:r w:rsidRPr="00A66138">
              <w:rPr>
                <w:rFonts w:ascii="Times New Roman" w:hAnsi="Times New Roman" w:cs="Times New Roman"/>
                <w:noProof/>
                <w:webHidden/>
              </w:rPr>
              <w:tab/>
            </w:r>
            <w:r w:rsidRPr="00A66138">
              <w:rPr>
                <w:rFonts w:ascii="Times New Roman" w:hAnsi="Times New Roman" w:cs="Times New Roman"/>
                <w:noProof/>
                <w:webHidden/>
              </w:rPr>
              <w:fldChar w:fldCharType="begin"/>
            </w:r>
            <w:r w:rsidRPr="00A66138">
              <w:rPr>
                <w:rFonts w:ascii="Times New Roman" w:hAnsi="Times New Roman" w:cs="Times New Roman"/>
                <w:noProof/>
                <w:webHidden/>
              </w:rPr>
              <w:instrText xml:space="preserve"> PAGEREF _Toc237481841 \h </w:instrText>
            </w:r>
            <w:r w:rsidRPr="00A66138">
              <w:rPr>
                <w:rFonts w:ascii="Times New Roman" w:hAnsi="Times New Roman" w:cs="Times New Roman"/>
                <w:noProof/>
                <w:webHidden/>
              </w:rPr>
            </w:r>
            <w:r w:rsidRPr="00A66138">
              <w:rPr>
                <w:rFonts w:ascii="Times New Roman" w:hAnsi="Times New Roman" w:cs="Times New Roman"/>
                <w:noProof/>
                <w:webHidden/>
              </w:rPr>
              <w:fldChar w:fldCharType="separate"/>
            </w:r>
            <w:r w:rsidRPr="00A66138">
              <w:rPr>
                <w:rFonts w:ascii="Times New Roman" w:hAnsi="Times New Roman" w:cs="Times New Roman"/>
                <w:noProof/>
                <w:webHidden/>
              </w:rPr>
              <w:t>1</w:t>
            </w:r>
            <w:r w:rsidRPr="00A66138">
              <w:rPr>
                <w:rFonts w:ascii="Times New Roman" w:hAnsi="Times New Roman" w:cs="Times New Roman"/>
                <w:noProof/>
                <w:webHidden/>
              </w:rPr>
              <w:fldChar w:fldCharType="end"/>
            </w:r>
          </w:hyperlink>
        </w:p>
        <w:p w14:paraId="69D4B6EE" w14:textId="77777777" w:rsidR="00C32DDD" w:rsidRPr="00A66138" w:rsidRDefault="00000000">
          <w:pPr>
            <w:rPr>
              <w:rFonts w:ascii="Times New Roman" w:hAnsi="Times New Roman" w:cs="Times New Roman"/>
            </w:rPr>
          </w:pPr>
          <w:r w:rsidRPr="00A66138">
            <w:rPr>
              <w:rFonts w:ascii="Times New Roman" w:hAnsi="Times New Roman" w:cs="Times New Roman"/>
            </w:rPr>
            <w:fldChar w:fldCharType="end"/>
          </w:r>
        </w:p>
      </w:sdtContent>
    </w:sdt>
    <w:p w14:paraId="51290F3D" w14:textId="77777777" w:rsidR="00A66138" w:rsidRDefault="00A66138">
      <w:pPr>
        <w:pStyle w:val="FirstParagraph"/>
        <w:rPr>
          <w:rFonts w:ascii="Times New Roman" w:hAnsi="Times New Roman" w:cs="Times New Roman"/>
        </w:rPr>
      </w:pPr>
    </w:p>
    <w:p w14:paraId="207AB46F" w14:textId="0A1134F3"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This supplement accompanies the anonymous manuscript </w:t>
      </w:r>
      <w:r w:rsidRPr="00A66138">
        <w:rPr>
          <w:rFonts w:ascii="Times New Roman" w:hAnsi="Times New Roman" w:cs="Times New Roman"/>
          <w:i/>
          <w:iCs/>
        </w:rPr>
        <w:t>Grade 4-to-5 Joint Mathematics–Science Benchmark Transitions in Nine Systems: A Descriptive Common-Severity Analysis Using TIMSS 2023 Longitudinal Data</w:t>
      </w:r>
      <w:r w:rsidRPr="00A66138">
        <w:rPr>
          <w:rFonts w:ascii="Times New Roman" w:hAnsi="Times New Roman" w:cs="Times New Roman"/>
        </w:rPr>
        <w:t xml:space="preserve">. It documents the analytic files, joint estimands, matched four-dimensional plausible-value/jackknife repeated replication (PV/JRR) calculations, six standardization specifications, validation checks, robustness analyses, and a descriptive Grade 8-to-9 extension. Every displayed data-driven table is generated directly from the validated canonical objects that also produce </w:t>
      </w:r>
      <w:r w:rsidRPr="00A66138">
        <w:rPr>
          <w:rStyle w:val="VerbatimChar"/>
          <w:rFonts w:ascii="Times New Roman" w:hAnsi="Times New Roman" w:cs="Times New Roman"/>
          <w:sz w:val="24"/>
        </w:rPr>
        <w:t>outputs/tables/</w:t>
      </w:r>
      <w:r w:rsidRPr="00A66138">
        <w:rPr>
          <w:rFonts w:ascii="Times New Roman" w:hAnsi="Times New Roman" w:cs="Times New Roman"/>
        </w:rPr>
        <w:t xml:space="preserve"> and </w:t>
      </w:r>
      <w:r w:rsidRPr="00A66138">
        <w:rPr>
          <w:rStyle w:val="VerbatimChar"/>
          <w:rFonts w:ascii="Times New Roman" w:hAnsi="Times New Roman" w:cs="Times New Roman"/>
          <w:sz w:val="24"/>
        </w:rPr>
        <w:t>outputs/diagnostics/</w:t>
      </w:r>
      <w:r w:rsidRPr="00A66138">
        <w:rPr>
          <w:rFonts w:ascii="Times New Roman" w:hAnsi="Times New Roman" w:cs="Times New Roman"/>
        </w:rPr>
        <w:t>; complete-precision results remain in the cited machine-readable CSV files. BB denotes below both mathematics and science thresholds, MB mathematics below only, SB science below only, and AA at or above both thresholds. The focal estimand is the BB-to-AA transition to joint attainment, not a claim that students had attained previously.</w:t>
      </w:r>
    </w:p>
    <w:p w14:paraId="1E68D65A" w14:textId="77777777" w:rsidR="00C32DDD" w:rsidRPr="00A66138" w:rsidRDefault="00000000">
      <w:pPr>
        <w:pStyle w:val="Heading2"/>
        <w:rPr>
          <w:rFonts w:ascii="Times New Roman" w:hAnsi="Times New Roman" w:cs="Times New Roman"/>
          <w:sz w:val="24"/>
          <w:szCs w:val="24"/>
        </w:rPr>
      </w:pPr>
      <w:bookmarkStart w:id="0" w:name="X82d6b75b000a04a605ccc95311d940333334dc6"/>
      <w:bookmarkStart w:id="1" w:name="_Toc237481819"/>
      <w:r w:rsidRPr="00A66138">
        <w:rPr>
          <w:rFonts w:ascii="Times New Roman" w:hAnsi="Times New Roman" w:cs="Times New Roman"/>
          <w:sz w:val="24"/>
          <w:szCs w:val="24"/>
        </w:rPr>
        <w:lastRenderedPageBreak/>
        <w:t>S1. Data files, systems, samples, and variable map</w:t>
      </w:r>
      <w:bookmarkEnd w:id="1"/>
    </w:p>
    <w:p w14:paraId="36F3EDDF" w14:textId="77777777" w:rsidR="00C32DDD" w:rsidRPr="00A66138" w:rsidRDefault="00000000">
      <w:pPr>
        <w:pStyle w:val="Heading3"/>
        <w:rPr>
          <w:rFonts w:ascii="Times New Roman" w:hAnsi="Times New Roman" w:cs="Times New Roman"/>
          <w:sz w:val="24"/>
          <w:szCs w:val="24"/>
        </w:rPr>
      </w:pPr>
      <w:bookmarkStart w:id="2" w:name="X449c3fe7c97cc247cb7d73a87485498f4f8af97"/>
      <w:bookmarkStart w:id="3" w:name="_Toc237481820"/>
      <w:r w:rsidRPr="00A66138">
        <w:rPr>
          <w:rFonts w:ascii="Times New Roman" w:hAnsi="Times New Roman" w:cs="Times New Roman"/>
          <w:sz w:val="24"/>
          <w:szCs w:val="24"/>
        </w:rPr>
        <w:t>S1.1 Official source files and acquisition</w:t>
      </w:r>
      <w:bookmarkEnd w:id="3"/>
    </w:p>
    <w:p w14:paraId="46F9602C"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The reproducible acquisition script </w:t>
      </w:r>
      <w:r w:rsidRPr="00A66138">
        <w:rPr>
          <w:rStyle w:val="VerbatimChar"/>
          <w:rFonts w:ascii="Times New Roman" w:hAnsi="Times New Roman" w:cs="Times New Roman"/>
          <w:sz w:val="24"/>
        </w:rPr>
        <w:t>analysis/01_acquire_</w:t>
      </w:r>
      <w:proofErr w:type="gramStart"/>
      <w:r w:rsidRPr="00A66138">
        <w:rPr>
          <w:rStyle w:val="VerbatimChar"/>
          <w:rFonts w:ascii="Times New Roman" w:hAnsi="Times New Roman" w:cs="Times New Roman"/>
          <w:sz w:val="24"/>
        </w:rPr>
        <w:t>data.R</w:t>
      </w:r>
      <w:proofErr w:type="gramEnd"/>
      <w:r w:rsidRPr="00A66138">
        <w:rPr>
          <w:rFonts w:ascii="Times New Roman" w:hAnsi="Times New Roman" w:cs="Times New Roman"/>
        </w:rPr>
        <w:t xml:space="preserve"> downloads the official TIMSS 2023 Longitudinal Grade 4-to-5 and Grade 8-to-9 R archives, codebooks, official R programs, user guide, longitudinal technical-report addendum, TIMSS standard-error chapter, six official results workbooks, and two sampling/participation workbooks. Source URLs are declared in </w:t>
      </w:r>
      <w:r w:rsidRPr="00A66138">
        <w:rPr>
          <w:rStyle w:val="VerbatimChar"/>
          <w:rFonts w:ascii="Times New Roman" w:hAnsi="Times New Roman" w:cs="Times New Roman"/>
          <w:sz w:val="24"/>
        </w:rPr>
        <w:t>analysis/00_config.R</w:t>
      </w:r>
      <w:r w:rsidRPr="00A66138">
        <w:rPr>
          <w:rFonts w:ascii="Times New Roman" w:hAnsi="Times New Roman" w:cs="Times New Roman"/>
        </w:rPr>
        <w:t xml:space="preserve">. The acquisition step writes file size, acquisition status, and MD5 checksums to </w:t>
      </w:r>
      <w:r w:rsidRPr="00A66138">
        <w:rPr>
          <w:rStyle w:val="VerbatimChar"/>
          <w:rFonts w:ascii="Times New Roman" w:hAnsi="Times New Roman" w:cs="Times New Roman"/>
          <w:sz w:val="24"/>
        </w:rPr>
        <w:t>data/raw/download_manifest.csv</w:t>
      </w:r>
      <w:r w:rsidRPr="00A66138">
        <w:rPr>
          <w:rFonts w:ascii="Times New Roman" w:hAnsi="Times New Roman" w:cs="Times New Roman"/>
        </w:rPr>
        <w:t>. Raw archives and extracted public-use files are excluded from the distributable code package; users reacquire them from the official TIMSS site (</w:t>
      </w:r>
      <w:hyperlink w:anchor="ref-vondavier2025longitudinal">
        <w:r w:rsidRPr="00A66138">
          <w:rPr>
            <w:rStyle w:val="Hyperlink"/>
            <w:rFonts w:ascii="Times New Roman" w:hAnsi="Times New Roman" w:cs="Times New Roman"/>
          </w:rPr>
          <w:t>Davier et al., 2025</w:t>
        </w:r>
      </w:hyperlink>
      <w:r w:rsidRPr="00A66138">
        <w:rPr>
          <w:rFonts w:ascii="Times New Roman" w:hAnsi="Times New Roman" w:cs="Times New Roman"/>
        </w:rPr>
        <w:t xml:space="preserve">; </w:t>
      </w:r>
      <w:hyperlink w:anchor="ref-fishbein2025technical">
        <w:r w:rsidRPr="00A66138">
          <w:rPr>
            <w:rStyle w:val="Hyperlink"/>
            <w:rFonts w:ascii="Times New Roman" w:hAnsi="Times New Roman" w:cs="Times New Roman"/>
          </w:rPr>
          <w:t>Fishbein et al., 2025</w:t>
        </w:r>
      </w:hyperlink>
      <w:r w:rsidRPr="00A66138">
        <w:rPr>
          <w:rFonts w:ascii="Times New Roman" w:hAnsi="Times New Roman" w:cs="Times New Roman"/>
        </w:rPr>
        <w:t xml:space="preserve">; </w:t>
      </w:r>
      <w:hyperlink w:anchor="ref-fishbein2026user">
        <w:r w:rsidRPr="00A66138">
          <w:rPr>
            <w:rStyle w:val="Hyperlink"/>
            <w:rFonts w:ascii="Times New Roman" w:hAnsi="Times New Roman" w:cs="Times New Roman"/>
          </w:rPr>
          <w:t>Fishbein et al., 2026</w:t>
        </w:r>
      </w:hyperlink>
      <w:r w:rsidRPr="00A66138">
        <w:rPr>
          <w:rFonts w:ascii="Times New Roman" w:hAnsi="Times New Roman" w:cs="Times New Roman"/>
        </w:rPr>
        <w:t>).</w:t>
      </w:r>
    </w:p>
    <w:p w14:paraId="67EB61DB"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The reduced Grade 4-to-5 analytic file contains 44,325 students in nine systems: Georgia, Italy, Jordan, the Republic of Korea, Kosovo, Montenegro, North Macedonia, Slovenia, and Sweden. The separate Grade 8-to-9 file contains 16,764 students in Jordan, the Republic of Korea, and Sweden. Grade bands were never pooled.</w:t>
      </w:r>
    </w:p>
    <w:tbl>
      <w:tblPr>
        <w:tblStyle w:val="Table"/>
        <w:tblW w:w="5000" w:type="pct"/>
        <w:tblLayout w:type="fixed"/>
        <w:tblLook w:val="0020" w:firstRow="1" w:lastRow="0" w:firstColumn="0" w:lastColumn="0" w:noHBand="0" w:noVBand="0"/>
      </w:tblPr>
      <w:tblGrid>
        <w:gridCol w:w="1512"/>
        <w:gridCol w:w="2016"/>
        <w:gridCol w:w="2016"/>
        <w:gridCol w:w="2016"/>
        <w:gridCol w:w="2016"/>
      </w:tblGrid>
      <w:tr w:rsidR="00C32DDD" w:rsidRPr="00A66138" w14:paraId="11B38F34" w14:textId="77777777" w:rsidTr="00C32DDD">
        <w:trPr>
          <w:cnfStyle w:val="100000000000" w:firstRow="1" w:lastRow="0" w:firstColumn="0" w:lastColumn="0" w:oddVBand="0" w:evenVBand="0" w:oddHBand="0" w:evenHBand="0" w:firstRowFirstColumn="0" w:firstRowLastColumn="0" w:lastRowFirstColumn="0" w:lastRowLastColumn="0"/>
          <w:tblHeader/>
        </w:trPr>
        <w:tc>
          <w:tcPr>
            <w:tcW w:w="1250" w:type="dxa"/>
          </w:tcPr>
          <w:p w14:paraId="4C1601A6"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Grade band</w:t>
            </w:r>
          </w:p>
        </w:tc>
        <w:tc>
          <w:tcPr>
            <w:tcW w:w="1667" w:type="dxa"/>
          </w:tcPr>
          <w:p w14:paraId="034A1726"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Systems</w:t>
            </w:r>
          </w:p>
        </w:tc>
        <w:tc>
          <w:tcPr>
            <w:tcW w:w="1667" w:type="dxa"/>
          </w:tcPr>
          <w:p w14:paraId="4C66B81D"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Students</w:t>
            </w:r>
          </w:p>
        </w:tc>
        <w:tc>
          <w:tcPr>
            <w:tcW w:w="1667" w:type="dxa"/>
          </w:tcPr>
          <w:p w14:paraId="1BB209E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System-specific school records</w:t>
            </w:r>
          </w:p>
        </w:tc>
        <w:tc>
          <w:tcPr>
            <w:tcW w:w="1667" w:type="dxa"/>
          </w:tcPr>
          <w:p w14:paraId="1833AE54"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Weighted both-wave participation range</w:t>
            </w:r>
          </w:p>
        </w:tc>
      </w:tr>
      <w:tr w:rsidR="00C32DDD" w:rsidRPr="00A66138" w14:paraId="3EC34768" w14:textId="77777777">
        <w:tc>
          <w:tcPr>
            <w:tcW w:w="1250" w:type="dxa"/>
          </w:tcPr>
          <w:p w14:paraId="30898AB2"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Grades 4–5</w:t>
            </w:r>
          </w:p>
        </w:tc>
        <w:tc>
          <w:tcPr>
            <w:tcW w:w="1667" w:type="dxa"/>
          </w:tcPr>
          <w:p w14:paraId="279A891C"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w:t>
            </w:r>
          </w:p>
        </w:tc>
        <w:tc>
          <w:tcPr>
            <w:tcW w:w="1667" w:type="dxa"/>
          </w:tcPr>
          <w:p w14:paraId="6E8AC4B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44,325</w:t>
            </w:r>
          </w:p>
        </w:tc>
        <w:tc>
          <w:tcPr>
            <w:tcW w:w="1667" w:type="dxa"/>
          </w:tcPr>
          <w:p w14:paraId="5CA9C6F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1,440</w:t>
            </w:r>
          </w:p>
        </w:tc>
        <w:tc>
          <w:tcPr>
            <w:tcW w:w="1667" w:type="dxa"/>
          </w:tcPr>
          <w:p w14:paraId="7843092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81.3%–91.6%</w:t>
            </w:r>
          </w:p>
        </w:tc>
      </w:tr>
      <w:tr w:rsidR="00C32DDD" w:rsidRPr="00A66138" w14:paraId="03922D2D" w14:textId="77777777">
        <w:tc>
          <w:tcPr>
            <w:tcW w:w="1250" w:type="dxa"/>
          </w:tcPr>
          <w:p w14:paraId="64972EA1"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Grades 8–9</w:t>
            </w:r>
          </w:p>
        </w:tc>
        <w:tc>
          <w:tcPr>
            <w:tcW w:w="1667" w:type="dxa"/>
          </w:tcPr>
          <w:p w14:paraId="16E4CC21"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3</w:t>
            </w:r>
          </w:p>
        </w:tc>
        <w:tc>
          <w:tcPr>
            <w:tcW w:w="1667" w:type="dxa"/>
          </w:tcPr>
          <w:p w14:paraId="6277C835"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16,764</w:t>
            </w:r>
          </w:p>
        </w:tc>
        <w:tc>
          <w:tcPr>
            <w:tcW w:w="1667" w:type="dxa"/>
          </w:tcPr>
          <w:p w14:paraId="28487844"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555</w:t>
            </w:r>
          </w:p>
        </w:tc>
        <w:tc>
          <w:tcPr>
            <w:tcW w:w="1667" w:type="dxa"/>
          </w:tcPr>
          <w:p w14:paraId="7F3A8877"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81.6%–86.7%</w:t>
            </w:r>
          </w:p>
        </w:tc>
      </w:tr>
    </w:tbl>
    <w:p w14:paraId="19DBD910"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i/>
          <w:iCs/>
        </w:rPr>
        <w:t>Note.</w:t>
      </w:r>
      <w:r w:rsidRPr="00A66138">
        <w:rPr>
          <w:rFonts w:ascii="Times New Roman" w:hAnsi="Times New Roman" w:cs="Times New Roman"/>
        </w:rPr>
        <w:t xml:space="preserve"> Schools are counted within systems. Complete system-level counts, jackknife zones, participation patterns, and plausible-value completeness are in Table 1 and </w:t>
      </w:r>
      <w:r w:rsidRPr="00A66138">
        <w:rPr>
          <w:rStyle w:val="VerbatimChar"/>
          <w:rFonts w:ascii="Times New Roman" w:hAnsi="Times New Roman" w:cs="Times New Roman"/>
          <w:sz w:val="24"/>
        </w:rPr>
        <w:t>outputs/diagnostics/data_inventory.csv</w:t>
      </w:r>
      <w:r w:rsidRPr="00A66138">
        <w:rPr>
          <w:rFonts w:ascii="Times New Roman" w:hAnsi="Times New Roman" w:cs="Times New Roman"/>
        </w:rPr>
        <w:t>.</w:t>
      </w:r>
    </w:p>
    <w:p w14:paraId="2222F9C1"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Participation at each wave was defined as at least one of the two relevant TIMSS process-participation flags being coded </w:t>
      </w:r>
      <w:r w:rsidRPr="00A66138">
        <w:rPr>
          <w:rStyle w:val="VerbatimChar"/>
          <w:rFonts w:ascii="Times New Roman" w:hAnsi="Times New Roman" w:cs="Times New Roman"/>
          <w:sz w:val="24"/>
        </w:rPr>
        <w:t>1</w:t>
      </w:r>
      <w:r w:rsidRPr="00A66138">
        <w:rPr>
          <w:rFonts w:ascii="Times New Roman" w:hAnsi="Times New Roman" w:cs="Times New Roman"/>
        </w:rPr>
        <w:t xml:space="preserve">; the loader does not treat arbitrary positive values as </w:t>
      </w:r>
      <w:r w:rsidRPr="00A66138">
        <w:rPr>
          <w:rFonts w:ascii="Times New Roman" w:hAnsi="Times New Roman" w:cs="Times New Roman"/>
        </w:rPr>
        <w:lastRenderedPageBreak/>
        <w:t xml:space="preserve">participation. Fail-fast gates required every nonmissing source code to be in {1, 2}, where </w:t>
      </w:r>
      <w:r w:rsidRPr="00A66138">
        <w:rPr>
          <w:rStyle w:val="VerbatimChar"/>
          <w:rFonts w:ascii="Times New Roman" w:hAnsi="Times New Roman" w:cs="Times New Roman"/>
          <w:sz w:val="24"/>
        </w:rPr>
        <w:t>1</w:t>
      </w:r>
      <w:r w:rsidRPr="00A66138">
        <w:rPr>
          <w:rFonts w:ascii="Times New Roman" w:hAnsi="Times New Roman" w:cs="Times New Roman"/>
        </w:rPr>
        <w:t xml:space="preserve"> denotes participation, and required the derived wave indicators to be binary. The linked files contained both-wave, baseline-only, and follow-up-only patterns but no students classified as participating in neither wave. Achievement files contained every longitudinal plausible-value cell used by the analyses, including for records whose process flags did not indicate both-wave participation. The primary analysis therefore uses the official PV-completed representation; Sections S7.1–S7.2 examine participation restrictions and departures from it.</w:t>
      </w:r>
    </w:p>
    <w:p w14:paraId="32D42AC5" w14:textId="77777777" w:rsidR="00C32DDD" w:rsidRPr="00A66138" w:rsidRDefault="00000000">
      <w:pPr>
        <w:pStyle w:val="Heading3"/>
        <w:rPr>
          <w:rFonts w:ascii="Times New Roman" w:hAnsi="Times New Roman" w:cs="Times New Roman"/>
          <w:sz w:val="24"/>
          <w:szCs w:val="24"/>
        </w:rPr>
      </w:pPr>
      <w:bookmarkStart w:id="4" w:name="s1.2-variable-map-and-terminal-pv-index"/>
      <w:bookmarkStart w:id="5" w:name="_Toc237481821"/>
      <w:bookmarkEnd w:id="2"/>
      <w:r w:rsidRPr="00A66138">
        <w:rPr>
          <w:rFonts w:ascii="Times New Roman" w:hAnsi="Times New Roman" w:cs="Times New Roman"/>
          <w:sz w:val="24"/>
          <w:szCs w:val="24"/>
        </w:rPr>
        <w:t>S1.2 Variable map and terminal PV index</w:t>
      </w:r>
      <w:bookmarkEnd w:id="5"/>
    </w:p>
    <w:p w14:paraId="10799040"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The loader requires one achievement record and one linked process record per country–student key. It retains the following fields.</w:t>
      </w:r>
    </w:p>
    <w:tbl>
      <w:tblPr>
        <w:tblStyle w:val="Table"/>
        <w:tblW w:w="5000" w:type="pct"/>
        <w:tblLayout w:type="fixed"/>
        <w:tblLook w:val="0020" w:firstRow="1" w:lastRow="0" w:firstColumn="0" w:lastColumn="0" w:noHBand="0" w:noVBand="0"/>
      </w:tblPr>
      <w:tblGrid>
        <w:gridCol w:w="3192"/>
        <w:gridCol w:w="3192"/>
        <w:gridCol w:w="3192"/>
      </w:tblGrid>
      <w:tr w:rsidR="00C32DDD" w:rsidRPr="00A66138" w14:paraId="36B1451B" w14:textId="77777777" w:rsidTr="00C32DDD">
        <w:trPr>
          <w:cnfStyle w:val="100000000000" w:firstRow="1" w:lastRow="0" w:firstColumn="0" w:lastColumn="0" w:oddVBand="0" w:evenVBand="0" w:oddHBand="0" w:evenHBand="0" w:firstRowFirstColumn="0" w:firstRowLastColumn="0" w:lastRowFirstColumn="0" w:lastRowLastColumn="0"/>
          <w:tblHeader/>
        </w:trPr>
        <w:tc>
          <w:tcPr>
            <w:tcW w:w="2640" w:type="dxa"/>
          </w:tcPr>
          <w:p w14:paraId="229FA212"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Role</w:t>
            </w:r>
          </w:p>
        </w:tc>
        <w:tc>
          <w:tcPr>
            <w:tcW w:w="2640" w:type="dxa"/>
          </w:tcPr>
          <w:p w14:paraId="61195691"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Grade 4–5 field or pattern</w:t>
            </w:r>
          </w:p>
        </w:tc>
        <w:tc>
          <w:tcPr>
            <w:tcW w:w="2640" w:type="dxa"/>
          </w:tcPr>
          <w:p w14:paraId="241AE433"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Grade 8–9 field or pattern</w:t>
            </w:r>
          </w:p>
        </w:tc>
      </w:tr>
      <w:tr w:rsidR="00C32DDD" w:rsidRPr="00A66138" w14:paraId="54C77720" w14:textId="77777777">
        <w:tc>
          <w:tcPr>
            <w:tcW w:w="2640" w:type="dxa"/>
          </w:tcPr>
          <w:p w14:paraId="49B4E8B6"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System, school, student identifiers</w:t>
            </w:r>
          </w:p>
        </w:tc>
        <w:tc>
          <w:tcPr>
            <w:tcW w:w="2640" w:type="dxa"/>
          </w:tcPr>
          <w:p w14:paraId="3C506808"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IDCNTRY</w:t>
            </w:r>
            <w:r w:rsidRPr="00A66138">
              <w:rPr>
                <w:rFonts w:ascii="Times New Roman" w:hAnsi="Times New Roman" w:cs="Times New Roman"/>
              </w:rPr>
              <w:t xml:space="preserve">, </w:t>
            </w:r>
            <w:r w:rsidRPr="00A66138">
              <w:rPr>
                <w:rStyle w:val="VerbatimChar"/>
                <w:rFonts w:ascii="Times New Roman" w:hAnsi="Times New Roman" w:cs="Times New Roman"/>
                <w:sz w:val="24"/>
              </w:rPr>
              <w:t>IDSCHOOL</w:t>
            </w:r>
            <w:r w:rsidRPr="00A66138">
              <w:rPr>
                <w:rFonts w:ascii="Times New Roman" w:hAnsi="Times New Roman" w:cs="Times New Roman"/>
              </w:rPr>
              <w:t xml:space="preserve">, </w:t>
            </w:r>
            <w:r w:rsidRPr="00A66138">
              <w:rPr>
                <w:rStyle w:val="VerbatimChar"/>
                <w:rFonts w:ascii="Times New Roman" w:hAnsi="Times New Roman" w:cs="Times New Roman"/>
                <w:sz w:val="24"/>
              </w:rPr>
              <w:t>IDSTUD</w:t>
            </w:r>
          </w:p>
        </w:tc>
        <w:tc>
          <w:tcPr>
            <w:tcW w:w="2640" w:type="dxa"/>
          </w:tcPr>
          <w:p w14:paraId="73B3D38B"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Same</w:t>
            </w:r>
          </w:p>
        </w:tc>
      </w:tr>
      <w:tr w:rsidR="00C32DDD" w:rsidRPr="00A66138" w14:paraId="1D821655" w14:textId="77777777">
        <w:tc>
          <w:tcPr>
            <w:tcW w:w="2640" w:type="dxa"/>
          </w:tcPr>
          <w:p w14:paraId="0331FB98"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Final student weight</w:t>
            </w:r>
          </w:p>
        </w:tc>
        <w:tc>
          <w:tcPr>
            <w:tcW w:w="2640" w:type="dxa"/>
          </w:tcPr>
          <w:p w14:paraId="2F8D9816"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TOTWGT</w:t>
            </w:r>
          </w:p>
        </w:tc>
        <w:tc>
          <w:tcPr>
            <w:tcW w:w="2640" w:type="dxa"/>
          </w:tcPr>
          <w:p w14:paraId="661061BA"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Same</w:t>
            </w:r>
          </w:p>
        </w:tc>
      </w:tr>
      <w:tr w:rsidR="00C32DDD" w:rsidRPr="00A66138" w14:paraId="62D91C9C" w14:textId="77777777">
        <w:tc>
          <w:tcPr>
            <w:tcW w:w="2640" w:type="dxa"/>
          </w:tcPr>
          <w:p w14:paraId="229F74BA"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JRR zone and member</w:t>
            </w:r>
          </w:p>
        </w:tc>
        <w:tc>
          <w:tcPr>
            <w:tcW w:w="2640" w:type="dxa"/>
          </w:tcPr>
          <w:p w14:paraId="5A4DBFBD"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JKZONE</w:t>
            </w:r>
            <w:r w:rsidRPr="00A66138">
              <w:rPr>
                <w:rFonts w:ascii="Times New Roman" w:hAnsi="Times New Roman" w:cs="Times New Roman"/>
              </w:rPr>
              <w:t xml:space="preserve">, </w:t>
            </w:r>
            <w:r w:rsidRPr="00A66138">
              <w:rPr>
                <w:rStyle w:val="VerbatimChar"/>
                <w:rFonts w:ascii="Times New Roman" w:hAnsi="Times New Roman" w:cs="Times New Roman"/>
                <w:sz w:val="24"/>
              </w:rPr>
              <w:t>JKREP</w:t>
            </w:r>
          </w:p>
        </w:tc>
        <w:tc>
          <w:tcPr>
            <w:tcW w:w="2640" w:type="dxa"/>
          </w:tcPr>
          <w:p w14:paraId="73C18A07"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Same</w:t>
            </w:r>
          </w:p>
        </w:tc>
      </w:tr>
      <w:tr w:rsidR="00C32DDD" w:rsidRPr="00A66138" w14:paraId="14130A8A" w14:textId="77777777">
        <w:tc>
          <w:tcPr>
            <w:tcW w:w="2640" w:type="dxa"/>
          </w:tcPr>
          <w:p w14:paraId="3E2B866E"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 xml:space="preserve">Mathematics baseline PV, draw </w:t>
            </w:r>
            <w:r w:rsidRPr="00A66138">
              <w:rPr>
                <w:rFonts w:ascii="Times New Roman" w:hAnsi="Times New Roman" w:cs="Times New Roman"/>
                <w:i/>
                <w:iCs/>
              </w:rPr>
              <w:t>j</w:t>
            </w:r>
          </w:p>
        </w:tc>
        <w:tc>
          <w:tcPr>
            <w:tcW w:w="2640" w:type="dxa"/>
          </w:tcPr>
          <w:p w14:paraId="26D10A2C"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ASMMAT1j</w:t>
            </w:r>
          </w:p>
        </w:tc>
        <w:tc>
          <w:tcPr>
            <w:tcW w:w="2640" w:type="dxa"/>
          </w:tcPr>
          <w:p w14:paraId="3C7FF627"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BSMMAT1j</w:t>
            </w:r>
          </w:p>
        </w:tc>
      </w:tr>
      <w:tr w:rsidR="00C32DDD" w:rsidRPr="00A66138" w14:paraId="7CB7C464" w14:textId="77777777">
        <w:tc>
          <w:tcPr>
            <w:tcW w:w="2640" w:type="dxa"/>
          </w:tcPr>
          <w:p w14:paraId="398817D7"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 xml:space="preserve">Mathematics follow-up PV, draw </w:t>
            </w:r>
            <w:r w:rsidRPr="00A66138">
              <w:rPr>
                <w:rFonts w:ascii="Times New Roman" w:hAnsi="Times New Roman" w:cs="Times New Roman"/>
                <w:i/>
                <w:iCs/>
              </w:rPr>
              <w:t>j</w:t>
            </w:r>
          </w:p>
        </w:tc>
        <w:tc>
          <w:tcPr>
            <w:tcW w:w="2640" w:type="dxa"/>
          </w:tcPr>
          <w:p w14:paraId="3507666D"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ASMMAT2j</w:t>
            </w:r>
          </w:p>
        </w:tc>
        <w:tc>
          <w:tcPr>
            <w:tcW w:w="2640" w:type="dxa"/>
          </w:tcPr>
          <w:p w14:paraId="77F13CD6"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BSMMAT2j</w:t>
            </w:r>
          </w:p>
        </w:tc>
      </w:tr>
      <w:tr w:rsidR="00C32DDD" w:rsidRPr="00A66138" w14:paraId="6E046854" w14:textId="77777777">
        <w:tc>
          <w:tcPr>
            <w:tcW w:w="2640" w:type="dxa"/>
          </w:tcPr>
          <w:p w14:paraId="30F62AB0"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 xml:space="preserve">Science baseline PV, draw </w:t>
            </w:r>
            <w:r w:rsidRPr="00A66138">
              <w:rPr>
                <w:rFonts w:ascii="Times New Roman" w:hAnsi="Times New Roman" w:cs="Times New Roman"/>
                <w:i/>
                <w:iCs/>
              </w:rPr>
              <w:t>j</w:t>
            </w:r>
          </w:p>
        </w:tc>
        <w:tc>
          <w:tcPr>
            <w:tcW w:w="2640" w:type="dxa"/>
          </w:tcPr>
          <w:p w14:paraId="6ED06D3D"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ASSSCI1j</w:t>
            </w:r>
          </w:p>
        </w:tc>
        <w:tc>
          <w:tcPr>
            <w:tcW w:w="2640" w:type="dxa"/>
          </w:tcPr>
          <w:p w14:paraId="4CFBAC0E"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BSSSCI1j</w:t>
            </w:r>
          </w:p>
        </w:tc>
      </w:tr>
      <w:tr w:rsidR="00C32DDD" w:rsidRPr="00A66138" w14:paraId="7F6A30B6" w14:textId="77777777">
        <w:tc>
          <w:tcPr>
            <w:tcW w:w="2640" w:type="dxa"/>
          </w:tcPr>
          <w:p w14:paraId="3A235727"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 xml:space="preserve">Science follow-up PV, draw </w:t>
            </w:r>
            <w:r w:rsidRPr="00A66138">
              <w:rPr>
                <w:rFonts w:ascii="Times New Roman" w:hAnsi="Times New Roman" w:cs="Times New Roman"/>
                <w:i/>
                <w:iCs/>
              </w:rPr>
              <w:t>j</w:t>
            </w:r>
          </w:p>
        </w:tc>
        <w:tc>
          <w:tcPr>
            <w:tcW w:w="2640" w:type="dxa"/>
          </w:tcPr>
          <w:p w14:paraId="78D33793"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ASSSCI2j</w:t>
            </w:r>
          </w:p>
        </w:tc>
        <w:tc>
          <w:tcPr>
            <w:tcW w:w="2640" w:type="dxa"/>
          </w:tcPr>
          <w:p w14:paraId="5A07FC62"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BSSSCI2j</w:t>
            </w:r>
          </w:p>
        </w:tc>
      </w:tr>
      <w:tr w:rsidR="00C32DDD" w:rsidRPr="00A66138" w14:paraId="3FE28144" w14:textId="77777777">
        <w:tc>
          <w:tcPr>
            <w:tcW w:w="2640" w:type="dxa"/>
          </w:tcPr>
          <w:p w14:paraId="27DBB2A6"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 xml:space="preserve">Supplied mathematics change, draw </w:t>
            </w:r>
            <w:r w:rsidRPr="00A66138">
              <w:rPr>
                <w:rFonts w:ascii="Times New Roman" w:hAnsi="Times New Roman" w:cs="Times New Roman"/>
                <w:i/>
                <w:iCs/>
              </w:rPr>
              <w:t>j</w:t>
            </w:r>
          </w:p>
        </w:tc>
        <w:tc>
          <w:tcPr>
            <w:tcW w:w="2640" w:type="dxa"/>
          </w:tcPr>
          <w:p w14:paraId="32615FCD"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ASMCHG0j</w:t>
            </w:r>
          </w:p>
        </w:tc>
        <w:tc>
          <w:tcPr>
            <w:tcW w:w="2640" w:type="dxa"/>
          </w:tcPr>
          <w:p w14:paraId="5CA4F89D"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BSMCHG0j</w:t>
            </w:r>
          </w:p>
        </w:tc>
      </w:tr>
      <w:tr w:rsidR="00C32DDD" w:rsidRPr="00A66138" w14:paraId="593C36D8" w14:textId="77777777">
        <w:tc>
          <w:tcPr>
            <w:tcW w:w="2640" w:type="dxa"/>
          </w:tcPr>
          <w:p w14:paraId="6F85EC8F"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 xml:space="preserve">Supplied science change, draw </w:t>
            </w:r>
            <w:r w:rsidRPr="00A66138">
              <w:rPr>
                <w:rFonts w:ascii="Times New Roman" w:hAnsi="Times New Roman" w:cs="Times New Roman"/>
                <w:i/>
                <w:iCs/>
              </w:rPr>
              <w:t>j</w:t>
            </w:r>
          </w:p>
        </w:tc>
        <w:tc>
          <w:tcPr>
            <w:tcW w:w="2640" w:type="dxa"/>
          </w:tcPr>
          <w:p w14:paraId="7FD12880"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ASSCHG0j</w:t>
            </w:r>
          </w:p>
        </w:tc>
        <w:tc>
          <w:tcPr>
            <w:tcW w:w="2640" w:type="dxa"/>
          </w:tcPr>
          <w:p w14:paraId="160BAEC3"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BSSCHG0j</w:t>
            </w:r>
          </w:p>
        </w:tc>
      </w:tr>
      <w:tr w:rsidR="00C32DDD" w:rsidRPr="00A66138" w14:paraId="4F044CCE" w14:textId="77777777">
        <w:tc>
          <w:tcPr>
            <w:tcW w:w="2640" w:type="dxa"/>
          </w:tcPr>
          <w:p w14:paraId="7610EBA9"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2023 process participation</w:t>
            </w:r>
          </w:p>
        </w:tc>
        <w:tc>
          <w:tcPr>
            <w:tcW w:w="2640" w:type="dxa"/>
          </w:tcPr>
          <w:p w14:paraId="022DA184"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ITPARTPT1_23</w:t>
            </w:r>
            <w:r w:rsidRPr="00A66138">
              <w:rPr>
                <w:rFonts w:ascii="Times New Roman" w:hAnsi="Times New Roman" w:cs="Times New Roman"/>
              </w:rPr>
              <w:t xml:space="preserve">, </w:t>
            </w:r>
            <w:r w:rsidRPr="00A66138">
              <w:rPr>
                <w:rStyle w:val="VerbatimChar"/>
                <w:rFonts w:ascii="Times New Roman" w:hAnsi="Times New Roman" w:cs="Times New Roman"/>
                <w:sz w:val="24"/>
              </w:rPr>
              <w:t>ITPARTPT2_23</w:t>
            </w:r>
          </w:p>
        </w:tc>
        <w:tc>
          <w:tcPr>
            <w:tcW w:w="2640" w:type="dxa"/>
          </w:tcPr>
          <w:p w14:paraId="2B9A06D1"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Same</w:t>
            </w:r>
          </w:p>
        </w:tc>
      </w:tr>
      <w:tr w:rsidR="00C32DDD" w:rsidRPr="00A66138" w14:paraId="5754F6FF" w14:textId="77777777">
        <w:tc>
          <w:tcPr>
            <w:tcW w:w="2640" w:type="dxa"/>
          </w:tcPr>
          <w:p w14:paraId="73035340"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2024 process participation</w:t>
            </w:r>
          </w:p>
        </w:tc>
        <w:tc>
          <w:tcPr>
            <w:tcW w:w="2640" w:type="dxa"/>
          </w:tcPr>
          <w:p w14:paraId="619DA4FA" w14:textId="77777777" w:rsidR="00C32DDD" w:rsidRPr="00A66138" w:rsidRDefault="00000000">
            <w:pPr>
              <w:pStyle w:val="Compact"/>
              <w:spacing w:line="240" w:lineRule="auto"/>
              <w:rPr>
                <w:rFonts w:ascii="Times New Roman" w:hAnsi="Times New Roman" w:cs="Times New Roman"/>
              </w:rPr>
            </w:pPr>
            <w:r w:rsidRPr="00A66138">
              <w:rPr>
                <w:rStyle w:val="VerbatimChar"/>
                <w:rFonts w:ascii="Times New Roman" w:hAnsi="Times New Roman" w:cs="Times New Roman"/>
                <w:sz w:val="24"/>
              </w:rPr>
              <w:t>ITPARTPT1_24</w:t>
            </w:r>
            <w:r w:rsidRPr="00A66138">
              <w:rPr>
                <w:rFonts w:ascii="Times New Roman" w:hAnsi="Times New Roman" w:cs="Times New Roman"/>
              </w:rPr>
              <w:t xml:space="preserve">, </w:t>
            </w:r>
            <w:r w:rsidRPr="00A66138">
              <w:rPr>
                <w:rStyle w:val="VerbatimChar"/>
                <w:rFonts w:ascii="Times New Roman" w:hAnsi="Times New Roman" w:cs="Times New Roman"/>
                <w:sz w:val="24"/>
              </w:rPr>
              <w:t>ITPARTPT2_24</w:t>
            </w:r>
          </w:p>
        </w:tc>
        <w:tc>
          <w:tcPr>
            <w:tcW w:w="2640" w:type="dxa"/>
          </w:tcPr>
          <w:p w14:paraId="77CEE5DB"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Same</w:t>
            </w:r>
          </w:p>
        </w:tc>
      </w:tr>
    </w:tbl>
    <w:p w14:paraId="719478D0"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lastRenderedPageBreak/>
        <w:t xml:space="preserve">Here the terminal digit </w:t>
      </w:r>
      <m:oMath>
        <m:r>
          <w:rPr>
            <w:rFonts w:ascii="Cambria Math" w:hAnsi="Cambria Math" w:cs="Times New Roman"/>
          </w:rPr>
          <m:t>j</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r>
          <w:rPr>
            <w:rFonts w:ascii="Cambria Math" w:hAnsi="Cambria Math" w:cs="Times New Roman"/>
          </w:rPr>
          <m:t>5</m:t>
        </m:r>
      </m:oMath>
      <w:r w:rsidRPr="00A66138">
        <w:rPr>
          <w:rFonts w:ascii="Times New Roman" w:hAnsi="Times New Roman" w:cs="Times New Roman"/>
        </w:rPr>
        <w:t xml:space="preserve"> is the plausible-value index, as shown in User Guide Chapter 2, printed pp. 51–52 and Exhibit 2.5 (</w:t>
      </w:r>
      <w:hyperlink w:anchor="ref-fishbein2026user">
        <w:r w:rsidRPr="00A66138">
          <w:rPr>
            <w:rStyle w:val="Hyperlink"/>
            <w:rFonts w:ascii="Times New Roman" w:hAnsi="Times New Roman" w:cs="Times New Roman"/>
          </w:rPr>
          <w:t>Fishbein et al., 2026</w:t>
        </w:r>
      </w:hyperlink>
      <w:r w:rsidRPr="00A66138">
        <w:rPr>
          <w:rFonts w:ascii="Times New Roman" w:hAnsi="Times New Roman" w:cs="Times New Roman"/>
        </w:rPr>
        <w:t xml:space="preserve">). Continuous changes were calculated directly as follow-up minus baseline within matched draw; supplied change variables were retained for audit. Before any estimate was produced, the loader required finite </w:t>
      </w:r>
      <w:r w:rsidRPr="00A66138">
        <w:rPr>
          <w:rStyle w:val="VerbatimChar"/>
          <w:rFonts w:ascii="Times New Roman" w:hAnsi="Times New Roman" w:cs="Times New Roman"/>
          <w:sz w:val="24"/>
        </w:rPr>
        <w:t>TOTWGT</w:t>
      </w:r>
      <w:r w:rsidRPr="00A66138">
        <w:rPr>
          <w:rFonts w:ascii="Times New Roman" w:hAnsi="Times New Roman" w:cs="Times New Roman"/>
        </w:rPr>
        <w:t xml:space="preserve">, </w:t>
      </w:r>
      <w:r w:rsidRPr="00A66138">
        <w:rPr>
          <w:rStyle w:val="VerbatimChar"/>
          <w:rFonts w:ascii="Times New Roman" w:hAnsi="Times New Roman" w:cs="Times New Roman"/>
          <w:sz w:val="24"/>
        </w:rPr>
        <w:t>JKZONE</w:t>
      </w:r>
      <w:r w:rsidRPr="00A66138">
        <w:rPr>
          <w:rFonts w:ascii="Times New Roman" w:hAnsi="Times New Roman" w:cs="Times New Roman"/>
        </w:rPr>
        <w:t xml:space="preserve">, and </w:t>
      </w:r>
      <w:r w:rsidRPr="00A66138">
        <w:rPr>
          <w:rStyle w:val="VerbatimChar"/>
          <w:rFonts w:ascii="Times New Roman" w:hAnsi="Times New Roman" w:cs="Times New Roman"/>
          <w:sz w:val="24"/>
        </w:rPr>
        <w:t>JKREP</w:t>
      </w:r>
      <w:r w:rsidRPr="00A66138">
        <w:rPr>
          <w:rFonts w:ascii="Times New Roman" w:hAnsi="Times New Roman" w:cs="Times New Roman"/>
        </w:rPr>
        <w:t xml:space="preserve">, strictly positive </w:t>
      </w:r>
      <w:r w:rsidRPr="00A66138">
        <w:rPr>
          <w:rStyle w:val="VerbatimChar"/>
          <w:rFonts w:ascii="Times New Roman" w:hAnsi="Times New Roman" w:cs="Times New Roman"/>
          <w:sz w:val="24"/>
        </w:rPr>
        <w:t>TOTWGT</w:t>
      </w:r>
      <w:r w:rsidRPr="00A66138">
        <w:rPr>
          <w:rFonts w:ascii="Times New Roman" w:hAnsi="Times New Roman" w:cs="Times New Roman"/>
        </w:rPr>
        <w:t xml:space="preserve">, </w:t>
      </w:r>
      <w:r w:rsidRPr="00A66138">
        <w:rPr>
          <w:rStyle w:val="VerbatimChar"/>
          <w:rFonts w:ascii="Times New Roman" w:hAnsi="Times New Roman" w:cs="Times New Roman"/>
          <w:sz w:val="24"/>
        </w:rPr>
        <w:t>JKREP</w:t>
      </w:r>
      <w:r w:rsidRPr="00A66138">
        <w:rPr>
          <w:rFonts w:ascii="Times New Roman" w:hAnsi="Times New Roman" w:cs="Times New Roman"/>
        </w:rPr>
        <w:t xml:space="preserve"> in {0, 1}, and both members represented within every system-specific jackknife zone. The complete mapping is </w:t>
      </w:r>
      <w:r w:rsidRPr="00A66138">
        <w:rPr>
          <w:rStyle w:val="VerbatimChar"/>
          <w:rFonts w:ascii="Times New Roman" w:hAnsi="Times New Roman" w:cs="Times New Roman"/>
          <w:sz w:val="24"/>
        </w:rPr>
        <w:t>outputs/diagnostics/variable_map.csv</w:t>
      </w:r>
      <w:r w:rsidRPr="00A66138">
        <w:rPr>
          <w:rFonts w:ascii="Times New Roman" w:hAnsi="Times New Roman" w:cs="Times New Roman"/>
        </w:rPr>
        <w:t>.</w:t>
      </w:r>
    </w:p>
    <w:p w14:paraId="67EBBE25" w14:textId="77777777" w:rsidR="00C32DDD" w:rsidRPr="00A66138" w:rsidRDefault="00000000">
      <w:pPr>
        <w:pStyle w:val="Heading2"/>
        <w:rPr>
          <w:rFonts w:ascii="Times New Roman" w:hAnsi="Times New Roman" w:cs="Times New Roman"/>
          <w:sz w:val="24"/>
          <w:szCs w:val="24"/>
        </w:rPr>
      </w:pPr>
      <w:bookmarkStart w:id="6" w:name="Xce368b0b0974f210f8837913e57b5d466f6fa96"/>
      <w:bookmarkStart w:id="7" w:name="_Toc237481822"/>
      <w:bookmarkEnd w:id="0"/>
      <w:bookmarkEnd w:id="4"/>
      <w:r w:rsidRPr="00A66138">
        <w:rPr>
          <w:rFonts w:ascii="Times New Roman" w:hAnsi="Times New Roman" w:cs="Times New Roman"/>
          <w:sz w:val="24"/>
          <w:szCs w:val="24"/>
        </w:rPr>
        <w:t>S2. Estimands and complete PV/JRR covariance derivation</w:t>
      </w:r>
      <w:bookmarkEnd w:id="7"/>
    </w:p>
    <w:p w14:paraId="59EA7193" w14:textId="77777777" w:rsidR="00C32DDD" w:rsidRPr="00A66138" w:rsidRDefault="00000000">
      <w:pPr>
        <w:pStyle w:val="Heading3"/>
        <w:rPr>
          <w:rFonts w:ascii="Times New Roman" w:hAnsi="Times New Roman" w:cs="Times New Roman"/>
          <w:sz w:val="24"/>
          <w:szCs w:val="24"/>
        </w:rPr>
      </w:pPr>
      <w:bookmarkStart w:id="8" w:name="Xa79ad20171523bf15bd21deb7021ffb1ddc8d90"/>
      <w:bookmarkStart w:id="9" w:name="_Toc237481823"/>
      <w:r w:rsidRPr="00A66138">
        <w:rPr>
          <w:rFonts w:ascii="Times New Roman" w:hAnsi="Times New Roman" w:cs="Times New Roman"/>
          <w:sz w:val="24"/>
          <w:szCs w:val="24"/>
        </w:rPr>
        <w:t>S2.1 Joint states and transition estimands</w:t>
      </w:r>
      <w:bookmarkEnd w:id="9"/>
    </w:p>
    <w:p w14:paraId="1213EFF8"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For system </w:t>
      </w:r>
      <m:oMath>
        <m:r>
          <w:rPr>
            <w:rFonts w:ascii="Cambria Math" w:hAnsi="Cambria Math" w:cs="Times New Roman"/>
          </w:rPr>
          <m:t>s</m:t>
        </m:r>
      </m:oMath>
      <w:r w:rsidRPr="00A66138">
        <w:rPr>
          <w:rFonts w:ascii="Times New Roman" w:hAnsi="Times New Roman" w:cs="Times New Roman"/>
        </w:rPr>
        <w:t xml:space="preserve">, PV draw </w:t>
      </w:r>
      <m:oMath>
        <m:r>
          <w:rPr>
            <w:rFonts w:ascii="Cambria Math" w:hAnsi="Cambria Math" w:cs="Times New Roman"/>
          </w:rPr>
          <m:t>j</m:t>
        </m:r>
      </m:oMath>
      <w:r w:rsidRPr="00A66138">
        <w:rPr>
          <w:rFonts w:ascii="Times New Roman" w:hAnsi="Times New Roman" w:cs="Times New Roman"/>
        </w:rPr>
        <w:t xml:space="preserve">, wave </w:t>
      </w:r>
      <m:oMath>
        <m:r>
          <w:rPr>
            <w:rFonts w:ascii="Cambria Math" w:hAnsi="Cambria Math" w:cs="Times New Roman"/>
          </w:rPr>
          <m:t>t</m:t>
        </m:r>
      </m:oMath>
      <w:r w:rsidRPr="00A66138">
        <w:rPr>
          <w:rFonts w:ascii="Times New Roman" w:hAnsi="Times New Roman" w:cs="Times New Roman"/>
        </w:rPr>
        <w:t xml:space="preserve">, and common threshold </w:t>
      </w:r>
      <m:oMath>
        <m:r>
          <w:rPr>
            <w:rFonts w:ascii="Cambria Math" w:hAnsi="Cambria Math" w:cs="Times New Roman"/>
          </w:rPr>
          <m:t>c</m:t>
        </m:r>
      </m:oMath>
      <w:r w:rsidRPr="00A66138">
        <w:rPr>
          <w:rFonts w:ascii="Times New Roman" w:hAnsi="Times New Roman" w:cs="Times New Roman"/>
        </w:rPr>
        <w:t xml:space="preserve">, let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itsj</m:t>
            </m:r>
          </m:sub>
        </m:sSub>
      </m:oMath>
      <w:r w:rsidRPr="00A66138">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itsj</m:t>
            </m:r>
          </m:sub>
        </m:sSub>
      </m:oMath>
      <w:r w:rsidRPr="00A66138">
        <w:rPr>
          <w:rFonts w:ascii="Times New Roman" w:hAnsi="Times New Roman" w:cs="Times New Roman"/>
        </w:rPr>
        <w:t xml:space="preserve"> denote mathematics and science PVs. The four-state indicator is</w:t>
      </w:r>
    </w:p>
    <w:p w14:paraId="21E9AF39" w14:textId="77777777" w:rsidR="00C32DDD" w:rsidRPr="00A66138" w:rsidRDefault="00000000">
      <w:pPr>
        <w:pStyle w:val="BodyText"/>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itsj</m:t>
              </m:r>
            </m:sub>
          </m:sSub>
          <m:r>
            <m:rPr>
              <m:sty m:val="p"/>
            </m:rPr>
            <w:rPr>
              <w:rFonts w:ascii="Cambria Math" w:hAnsi="Cambria Math" w:cs="Times New Roman"/>
            </w:rPr>
            <m:t>=</m:t>
          </m:r>
          <m:d>
            <m:dPr>
              <m:begChr m:val="{"/>
              <m:endChr m:val=""/>
              <m:ctrlPr>
                <w:rPr>
                  <w:rFonts w:ascii="Cambria Math" w:hAnsi="Cambria Math" w:cs="Times New Roman"/>
                </w:rPr>
              </m:ctrlPr>
            </m:dPr>
            <m:e>
              <m:m>
                <m:mPr>
                  <m:plcHide m:val="1"/>
                  <m:mcs>
                    <m:mc>
                      <m:mcPr>
                        <m:count m:val="2"/>
                        <m:mcJc m:val="left"/>
                      </m:mcPr>
                    </m:mc>
                  </m:mcs>
                  <m:ctrlPr>
                    <w:rPr>
                      <w:rFonts w:ascii="Cambria Math" w:hAnsi="Cambria Math" w:cs="Times New Roman"/>
                    </w:rPr>
                  </m:ctrlPr>
                </m:mPr>
                <m:mr>
                  <m:e>
                    <m:r>
                      <w:rPr>
                        <w:rFonts w:ascii="Cambria Math" w:hAnsi="Cambria Math" w:cs="Times New Roman"/>
                      </w:rPr>
                      <m:t>BB</m:t>
                    </m:r>
                    <m:r>
                      <m:rPr>
                        <m:sty m:val="p"/>
                      </m:rPr>
                      <w:rPr>
                        <w:rFonts w:ascii="Cambria Math" w:hAnsi="Cambria Math" w:cs="Times New Roman"/>
                      </w:rPr>
                      <m:t>,</m:t>
                    </m:r>
                  </m:e>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itsj</m:t>
                        </m:r>
                      </m:sub>
                    </m:sSub>
                    <m:r>
                      <m:rPr>
                        <m:sty m:val="p"/>
                      </m:rPr>
                      <w:rPr>
                        <w:rFonts w:ascii="Cambria Math" w:hAnsi="Cambria Math" w:cs="Times New Roman"/>
                      </w:rPr>
                      <m:t>&lt;</m:t>
                    </m:r>
                    <m:r>
                      <w:rPr>
                        <w:rFonts w:ascii="Cambria Math" w:hAnsi="Cambria Math" w:cs="Times New Roman"/>
                      </w:rPr>
                      <m:t>c</m:t>
                    </m:r>
                    <m:r>
                      <m:rPr>
                        <m:sty m:val="p"/>
                      </m:rPr>
                      <w:rPr>
                        <w:rFonts w:ascii="Cambria Math" w:hAnsi="Cambria Math" w:cs="Times New Roman"/>
                      </w:rPr>
                      <m:t>,</m:t>
                    </m:r>
                    <m:r>
                      <w:rPr>
                        <w:rFonts w:ascii="Cambria Math" w:hAnsi="Cambria Math" w:cs="Times New Roman"/>
                      </w:rPr>
                      <m:t> </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itsj</m:t>
                        </m:r>
                      </m:sub>
                    </m:sSub>
                    <m:r>
                      <m:rPr>
                        <m:sty m:val="p"/>
                      </m:rPr>
                      <w:rPr>
                        <w:rFonts w:ascii="Cambria Math" w:hAnsi="Cambria Math" w:cs="Times New Roman"/>
                      </w:rPr>
                      <m:t>&lt;</m:t>
                    </m:r>
                    <m:r>
                      <w:rPr>
                        <w:rFonts w:ascii="Cambria Math" w:hAnsi="Cambria Math" w:cs="Times New Roman"/>
                      </w:rPr>
                      <m:t>c</m:t>
                    </m:r>
                    <m:r>
                      <m:rPr>
                        <m:sty m:val="p"/>
                      </m:rPr>
                      <w:rPr>
                        <w:rFonts w:ascii="Cambria Math" w:hAnsi="Cambria Math" w:cs="Times New Roman"/>
                      </w:rPr>
                      <m:t>,</m:t>
                    </m:r>
                  </m:e>
                </m:mr>
                <m:mr>
                  <m:e>
                    <m:r>
                      <w:rPr>
                        <w:rFonts w:ascii="Cambria Math" w:hAnsi="Cambria Math" w:cs="Times New Roman"/>
                      </w:rPr>
                      <m:t>MB</m:t>
                    </m:r>
                    <m:r>
                      <m:rPr>
                        <m:sty m:val="p"/>
                      </m:rPr>
                      <w:rPr>
                        <w:rFonts w:ascii="Cambria Math" w:hAnsi="Cambria Math" w:cs="Times New Roman"/>
                      </w:rPr>
                      <m:t>,</m:t>
                    </m:r>
                  </m:e>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itsj</m:t>
                        </m:r>
                      </m:sub>
                    </m:sSub>
                    <m:r>
                      <m:rPr>
                        <m:sty m:val="p"/>
                      </m:rPr>
                      <w:rPr>
                        <w:rFonts w:ascii="Cambria Math" w:hAnsi="Cambria Math" w:cs="Times New Roman"/>
                      </w:rPr>
                      <m:t>&lt;</m:t>
                    </m:r>
                    <m:r>
                      <w:rPr>
                        <w:rFonts w:ascii="Cambria Math" w:hAnsi="Cambria Math" w:cs="Times New Roman"/>
                      </w:rPr>
                      <m:t>c</m:t>
                    </m:r>
                    <m:r>
                      <m:rPr>
                        <m:sty m:val="p"/>
                      </m:rPr>
                      <w:rPr>
                        <w:rFonts w:ascii="Cambria Math" w:hAnsi="Cambria Math" w:cs="Times New Roman"/>
                      </w:rPr>
                      <m:t>,</m:t>
                    </m:r>
                    <m:r>
                      <w:rPr>
                        <w:rFonts w:ascii="Cambria Math" w:hAnsi="Cambria Math" w:cs="Times New Roman"/>
                      </w:rPr>
                      <m:t> </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itsj</m:t>
                        </m:r>
                      </m:sub>
                    </m:sSub>
                    <m:r>
                      <m:rPr>
                        <m:sty m:val="p"/>
                      </m:rPr>
                      <w:rPr>
                        <w:rFonts w:ascii="Cambria Math" w:hAnsi="Cambria Math" w:cs="Times New Roman"/>
                      </w:rPr>
                      <m:t>≥</m:t>
                    </m:r>
                    <m:r>
                      <w:rPr>
                        <w:rFonts w:ascii="Cambria Math" w:hAnsi="Cambria Math" w:cs="Times New Roman"/>
                      </w:rPr>
                      <m:t>c</m:t>
                    </m:r>
                    <m:r>
                      <m:rPr>
                        <m:sty m:val="p"/>
                      </m:rPr>
                      <w:rPr>
                        <w:rFonts w:ascii="Cambria Math" w:hAnsi="Cambria Math" w:cs="Times New Roman"/>
                      </w:rPr>
                      <m:t>,</m:t>
                    </m:r>
                  </m:e>
                </m:mr>
                <m:mr>
                  <m:e>
                    <m:r>
                      <w:rPr>
                        <w:rFonts w:ascii="Cambria Math" w:hAnsi="Cambria Math" w:cs="Times New Roman"/>
                      </w:rPr>
                      <m:t>SB</m:t>
                    </m:r>
                    <m:r>
                      <m:rPr>
                        <m:sty m:val="p"/>
                      </m:rPr>
                      <w:rPr>
                        <w:rFonts w:ascii="Cambria Math" w:hAnsi="Cambria Math" w:cs="Times New Roman"/>
                      </w:rPr>
                      <m:t>,</m:t>
                    </m:r>
                  </m:e>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itsj</m:t>
                        </m:r>
                      </m:sub>
                    </m:sSub>
                    <m:r>
                      <m:rPr>
                        <m:sty m:val="p"/>
                      </m:rPr>
                      <w:rPr>
                        <w:rFonts w:ascii="Cambria Math" w:hAnsi="Cambria Math" w:cs="Times New Roman"/>
                      </w:rPr>
                      <m:t>≥</m:t>
                    </m:r>
                    <m:r>
                      <w:rPr>
                        <w:rFonts w:ascii="Cambria Math" w:hAnsi="Cambria Math" w:cs="Times New Roman"/>
                      </w:rPr>
                      <m:t>c</m:t>
                    </m:r>
                    <m:r>
                      <m:rPr>
                        <m:sty m:val="p"/>
                      </m:rPr>
                      <w:rPr>
                        <w:rFonts w:ascii="Cambria Math" w:hAnsi="Cambria Math" w:cs="Times New Roman"/>
                      </w:rPr>
                      <m:t>,</m:t>
                    </m:r>
                    <m:r>
                      <w:rPr>
                        <w:rFonts w:ascii="Cambria Math" w:hAnsi="Cambria Math" w:cs="Times New Roman"/>
                      </w:rPr>
                      <m:t> </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itsj</m:t>
                        </m:r>
                      </m:sub>
                    </m:sSub>
                    <m:r>
                      <m:rPr>
                        <m:sty m:val="p"/>
                      </m:rPr>
                      <w:rPr>
                        <w:rFonts w:ascii="Cambria Math" w:hAnsi="Cambria Math" w:cs="Times New Roman"/>
                      </w:rPr>
                      <m:t>&lt;</m:t>
                    </m:r>
                    <m:r>
                      <w:rPr>
                        <w:rFonts w:ascii="Cambria Math" w:hAnsi="Cambria Math" w:cs="Times New Roman"/>
                      </w:rPr>
                      <m:t>c</m:t>
                    </m:r>
                    <m:r>
                      <m:rPr>
                        <m:sty m:val="p"/>
                      </m:rPr>
                      <w:rPr>
                        <w:rFonts w:ascii="Cambria Math" w:hAnsi="Cambria Math" w:cs="Times New Roman"/>
                      </w:rPr>
                      <m:t>,</m:t>
                    </m:r>
                  </m:e>
                </m:mr>
                <m:mr>
                  <m:e>
                    <m:r>
                      <w:rPr>
                        <w:rFonts w:ascii="Cambria Math" w:hAnsi="Cambria Math" w:cs="Times New Roman"/>
                      </w:rPr>
                      <m:t>AA</m:t>
                    </m:r>
                    <m:r>
                      <m:rPr>
                        <m:sty m:val="p"/>
                      </m:rPr>
                      <w:rPr>
                        <w:rFonts w:ascii="Cambria Math" w:hAnsi="Cambria Math" w:cs="Times New Roman"/>
                      </w:rPr>
                      <m:t>,</m:t>
                    </m:r>
                  </m:e>
                  <m:e>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itsj</m:t>
                        </m:r>
                      </m:sub>
                    </m:sSub>
                    <m:r>
                      <m:rPr>
                        <m:sty m:val="p"/>
                      </m:rPr>
                      <w:rPr>
                        <w:rFonts w:ascii="Cambria Math" w:hAnsi="Cambria Math" w:cs="Times New Roman"/>
                      </w:rPr>
                      <m:t>≥</m:t>
                    </m:r>
                    <m:r>
                      <w:rPr>
                        <w:rFonts w:ascii="Cambria Math" w:hAnsi="Cambria Math" w:cs="Times New Roman"/>
                      </w:rPr>
                      <m:t>c</m:t>
                    </m:r>
                    <m:r>
                      <m:rPr>
                        <m:sty m:val="p"/>
                      </m:rPr>
                      <w:rPr>
                        <w:rFonts w:ascii="Cambria Math" w:hAnsi="Cambria Math" w:cs="Times New Roman"/>
                      </w:rPr>
                      <m:t>,</m:t>
                    </m:r>
                    <m:r>
                      <w:rPr>
                        <w:rFonts w:ascii="Cambria Math" w:hAnsi="Cambria Math" w:cs="Times New Roman"/>
                      </w:rPr>
                      <m:t> </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itsj</m:t>
                        </m:r>
                      </m:sub>
                    </m:sSub>
                    <m:r>
                      <m:rPr>
                        <m:sty m:val="p"/>
                      </m:rPr>
                      <w:rPr>
                        <w:rFonts w:ascii="Cambria Math" w:hAnsi="Cambria Math" w:cs="Times New Roman"/>
                      </w:rPr>
                      <m:t>≥</m:t>
                    </m:r>
                    <m:r>
                      <w:rPr>
                        <w:rFonts w:ascii="Cambria Math" w:hAnsi="Cambria Math" w:cs="Times New Roman"/>
                      </w:rPr>
                      <m:t>c</m:t>
                    </m:r>
                    <m:r>
                      <m:rPr>
                        <m:sty m:val="p"/>
                      </m:rPr>
                      <w:rPr>
                        <w:rFonts w:ascii="Cambria Math" w:hAnsi="Cambria Math" w:cs="Times New Roman"/>
                      </w:rPr>
                      <m:t>.</m:t>
                    </m:r>
                  </m:e>
                </m:mr>
              </m:m>
            </m:e>
          </m:d>
        </m:oMath>
      </m:oMathPara>
    </w:p>
    <w:p w14:paraId="1CF3E50B"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Define joint transition validity as</w:t>
      </w:r>
    </w:p>
    <w:p w14:paraId="53A68779" w14:textId="77777777" w:rsidR="00C32DDD" w:rsidRPr="00A66138" w:rsidRDefault="00000000">
      <w:pPr>
        <w:pStyle w:val="BodyText"/>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isj</m:t>
              </m:r>
            </m:sub>
          </m:sSub>
          <m:r>
            <m:rPr>
              <m:sty m:val="p"/>
            </m:rPr>
            <w:rPr>
              <w:rFonts w:ascii="Cambria Math" w:hAnsi="Cambria Math" w:cs="Times New Roman"/>
            </w:rPr>
            <m:t>=</m:t>
          </m:r>
          <m:r>
            <w:rPr>
              <w:rFonts w:ascii="Cambria Math" w:hAnsi="Cambria Math" w:cs="Times New Roman"/>
            </w:rPr>
            <m:t>I</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i0sj</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i0sj</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i1sj</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i1sj</m:t>
              </m:r>
            </m:sub>
          </m:sSub>
          <m:r>
            <w:rPr>
              <w:rFonts w:ascii="Cambria Math" w:hAnsi="Cambria Math" w:cs="Times New Roman"/>
            </w:rPr>
            <m:t> </m:t>
          </m:r>
          <m:r>
            <m:rPr>
              <m:nor/>
            </m:rPr>
            <w:rPr>
              <w:rFonts w:ascii="Times New Roman" w:hAnsi="Times New Roman" w:cs="Times New Roman"/>
            </w:rPr>
            <m:t>are all finite</m:t>
          </m:r>
          <m:r>
            <m:rPr>
              <m:sty m:val="p"/>
            </m:rPr>
            <w:rPr>
              <w:rFonts w:ascii="Cambria Math" w:hAnsi="Cambria Math" w:cs="Times New Roman"/>
            </w:rPr>
            <m:t>}.</m:t>
          </m:r>
        </m:oMath>
      </m:oMathPara>
    </w:p>
    <w:p w14:paraId="36A81ACE"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For origin </w:t>
      </w:r>
      <m:oMath>
        <m:r>
          <w:rPr>
            <w:rFonts w:ascii="Cambria Math" w:hAnsi="Cambria Math" w:cs="Times New Roman"/>
          </w:rPr>
          <m:t>a</m:t>
        </m:r>
      </m:oMath>
      <w:r w:rsidRPr="00A66138">
        <w:rPr>
          <w:rFonts w:ascii="Times New Roman" w:hAnsi="Times New Roman" w:cs="Times New Roman"/>
        </w:rPr>
        <w:t xml:space="preserve"> and destination </w:t>
      </w:r>
      <m:oMath>
        <m:r>
          <w:rPr>
            <w:rFonts w:ascii="Cambria Math" w:hAnsi="Cambria Math" w:cs="Times New Roman"/>
          </w:rPr>
          <m:t>b</m:t>
        </m:r>
      </m:oMath>
      <w:r w:rsidRPr="00A66138">
        <w:rPr>
          <w:rFonts w:ascii="Times New Roman" w:hAnsi="Times New Roman" w:cs="Times New Roman"/>
        </w:rPr>
        <w:t xml:space="preserve">, the draw-specific weighted transition implemented by </w:t>
      </w:r>
      <w:r w:rsidRPr="00A66138">
        <w:rPr>
          <w:rStyle w:val="VerbatimChar"/>
          <w:rFonts w:ascii="Times New Roman" w:hAnsi="Times New Roman" w:cs="Times New Roman"/>
          <w:sz w:val="24"/>
        </w:rPr>
        <w:t>transition_</w:t>
      </w:r>
      <w:proofErr w:type="gramStart"/>
      <w:r w:rsidRPr="00A66138">
        <w:rPr>
          <w:rStyle w:val="VerbatimChar"/>
          <w:rFonts w:ascii="Times New Roman" w:hAnsi="Times New Roman" w:cs="Times New Roman"/>
          <w:sz w:val="24"/>
        </w:rPr>
        <w:t>vector(</w:t>
      </w:r>
      <w:proofErr w:type="gramEnd"/>
      <w:r w:rsidRPr="00A66138">
        <w:rPr>
          <w:rStyle w:val="VerbatimChar"/>
          <w:rFonts w:ascii="Times New Roman" w:hAnsi="Times New Roman" w:cs="Times New Roman"/>
          <w:sz w:val="24"/>
        </w:rPr>
        <w:t>)</w:t>
      </w:r>
      <w:r w:rsidRPr="00A66138">
        <w:rPr>
          <w:rFonts w:ascii="Times New Roman" w:hAnsi="Times New Roman" w:cs="Times New Roman"/>
        </w:rPr>
        <w:t xml:space="preserve"> is</w:t>
      </w:r>
    </w:p>
    <w:p w14:paraId="6A190F40" w14:textId="77777777" w:rsidR="00C32DDD" w:rsidRPr="00A66138" w:rsidRDefault="00000000">
      <w:pPr>
        <w:pStyle w:val="BodyText"/>
        <w:rPr>
          <w:rFonts w:ascii="Times New Roman" w:hAnsi="Times New Roman" w:cs="Times New Roman"/>
        </w:rPr>
      </w:pPr>
      <m:oMathPara>
        <m:oMathParaPr>
          <m:jc m:val="center"/>
        </m:oMathParaPr>
        <m:oMath>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θ</m:t>
                  </m:r>
                </m:e>
              </m:acc>
            </m:e>
            <m:sub>
              <m:r>
                <w:rPr>
                  <w:rFonts w:ascii="Cambria Math" w:hAnsi="Cambria Math" w:cs="Times New Roman"/>
                </w:rPr>
                <m:t>ab</m:t>
              </m:r>
              <m:r>
                <m:rPr>
                  <m:sty m:val="p"/>
                </m:rPr>
                <w:rPr>
                  <w:rFonts w:ascii="Cambria Math" w:hAnsi="Cambria Math" w:cs="Times New Roman"/>
                </w:rPr>
                <m:t>,</m:t>
              </m:r>
              <m:r>
                <w:rPr>
                  <w:rFonts w:ascii="Cambria Math" w:hAnsi="Cambria Math" w:cs="Times New Roman"/>
                </w:rPr>
                <m:t>sj</m:t>
              </m:r>
            </m:sub>
          </m:sSub>
          <m:r>
            <m:rPr>
              <m:sty m:val="p"/>
            </m:rPr>
            <w:rPr>
              <w:rFonts w:ascii="Cambria Math" w:hAnsi="Cambria Math" w:cs="Times New Roman"/>
            </w:rPr>
            <m:t>=</m:t>
          </m:r>
          <m:f>
            <m:fPr>
              <m:ctrlPr>
                <w:rPr>
                  <w:rFonts w:ascii="Cambria Math" w:hAnsi="Cambria Math" w:cs="Times New Roman"/>
                </w:rPr>
              </m:ctrlPr>
            </m:fPr>
            <m:num>
              <m:nary>
                <m:naryPr>
                  <m:chr m:val="∑"/>
                  <m:limLoc m:val="undOvr"/>
                  <m:supHide m:val="1"/>
                  <m:ctrlPr>
                    <w:rPr>
                      <w:rFonts w:ascii="Cambria Math" w:hAnsi="Cambria Math" w:cs="Times New Roman"/>
                    </w:rPr>
                  </m:ctrlPr>
                </m:naryPr>
                <m:sub>
                  <m:r>
                    <w:rPr>
                      <w:rFonts w:ascii="Cambria Math" w:hAnsi="Cambria Math" w:cs="Times New Roman"/>
                    </w:rPr>
                    <m:t>i</m:t>
                  </m:r>
                </m:sub>
                <m:sup>
                  <m:r>
                    <w:rPr>
                      <w:rFonts w:ascii="Cambria Math" w:hAnsi="Cambria Math" w:cs="Times New Roman"/>
                    </w:rPr>
                    <m:t>​</m:t>
                  </m:r>
                </m:sup>
                <m:e>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is</m:t>
                      </m:r>
                    </m:sub>
                  </m:sSub>
                </m:e>
              </m:nary>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isj</m:t>
                  </m:r>
                </m:sub>
              </m:sSub>
              <m:r>
                <w:rPr>
                  <w:rFonts w:ascii="Cambria Math" w:hAnsi="Cambria Math" w:cs="Times New Roman"/>
                </w:rPr>
                <m:t>I</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i0sj</m:t>
                  </m:r>
                </m:sub>
              </m:sSub>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i1sj</m:t>
                  </m:r>
                </m:sub>
              </m:sSub>
              <m:r>
                <m:rPr>
                  <m:sty m:val="p"/>
                </m:rPr>
                <w:rPr>
                  <w:rFonts w:ascii="Cambria Math" w:hAnsi="Cambria Math" w:cs="Times New Roman"/>
                </w:rPr>
                <m:t>=</m:t>
              </m:r>
              <m:r>
                <w:rPr>
                  <w:rFonts w:ascii="Cambria Math" w:hAnsi="Cambria Math" w:cs="Times New Roman"/>
                </w:rPr>
                <m:t>b</m:t>
              </m:r>
              <m:r>
                <m:rPr>
                  <m:sty m:val="p"/>
                </m:rPr>
                <w:rPr>
                  <w:rFonts w:ascii="Cambria Math" w:hAnsi="Cambria Math" w:cs="Times New Roman"/>
                </w:rPr>
                <m:t>)</m:t>
              </m:r>
            </m:num>
            <m:den>
              <m:nary>
                <m:naryPr>
                  <m:chr m:val="∑"/>
                  <m:limLoc m:val="undOvr"/>
                  <m:supHide m:val="1"/>
                  <m:ctrlPr>
                    <w:rPr>
                      <w:rFonts w:ascii="Cambria Math" w:hAnsi="Cambria Math" w:cs="Times New Roman"/>
                    </w:rPr>
                  </m:ctrlPr>
                </m:naryPr>
                <m:sub>
                  <m:r>
                    <w:rPr>
                      <w:rFonts w:ascii="Cambria Math" w:hAnsi="Cambria Math" w:cs="Times New Roman"/>
                    </w:rPr>
                    <m:t>i</m:t>
                  </m:r>
                </m:sub>
                <m:sup>
                  <m:r>
                    <w:rPr>
                      <w:rFonts w:ascii="Cambria Math" w:hAnsi="Cambria Math" w:cs="Times New Roman"/>
                    </w:rPr>
                    <m:t>​</m:t>
                  </m:r>
                </m:sup>
                <m:e>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is</m:t>
                      </m:r>
                    </m:sub>
                  </m:sSub>
                </m:e>
              </m:nary>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isj</m:t>
                  </m:r>
                </m:sub>
              </m:sSub>
              <m:r>
                <w:rPr>
                  <w:rFonts w:ascii="Cambria Math" w:hAnsi="Cambria Math" w:cs="Times New Roman"/>
                </w:rPr>
                <m:t>I</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i0sj</m:t>
                  </m:r>
                </m:sub>
              </m:sSub>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den>
          </m:f>
          <m:r>
            <m:rPr>
              <m:sty m:val="p"/>
            </m:rPr>
            <w:rPr>
              <w:rFonts w:ascii="Cambria Math" w:hAnsi="Cambria Math" w:cs="Times New Roman"/>
            </w:rPr>
            <m:t>.</m:t>
          </m:r>
        </m:oMath>
      </m:oMathPara>
    </w:p>
    <w:p w14:paraId="5E6AEFDA"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lastRenderedPageBreak/>
        <w:t xml:space="preserve">The primary estimand uses </w:t>
      </w:r>
      <m:oMath>
        <m:r>
          <w:rPr>
            <w:rFonts w:ascii="Cambria Math" w:hAnsi="Cambria Math" w:cs="Times New Roman"/>
          </w:rPr>
          <m:t>a</m:t>
        </m:r>
        <m:r>
          <m:rPr>
            <m:sty m:val="p"/>
          </m:rPr>
          <w:rPr>
            <w:rFonts w:ascii="Cambria Math" w:hAnsi="Cambria Math" w:cs="Times New Roman"/>
          </w:rPr>
          <m:t>=</m:t>
        </m:r>
        <m:r>
          <w:rPr>
            <w:rFonts w:ascii="Cambria Math" w:hAnsi="Cambria Math" w:cs="Times New Roman"/>
          </w:rPr>
          <m:t>BB</m:t>
        </m:r>
      </m:oMath>
      <w:r w:rsidRPr="00A66138">
        <w:rPr>
          <w:rFonts w:ascii="Times New Roman" w:hAnsi="Times New Roman" w:cs="Times New Roman"/>
        </w:rPr>
        <w:t xml:space="preserve">, </w:t>
      </w:r>
      <m:oMath>
        <m:r>
          <w:rPr>
            <w:rFonts w:ascii="Cambria Math" w:hAnsi="Cambria Math" w:cs="Times New Roman"/>
          </w:rPr>
          <m:t>b</m:t>
        </m:r>
        <m:r>
          <m:rPr>
            <m:sty m:val="p"/>
          </m:rPr>
          <w:rPr>
            <w:rFonts w:ascii="Cambria Math" w:hAnsi="Cambria Math" w:cs="Times New Roman"/>
          </w:rPr>
          <m:t>=</m:t>
        </m:r>
        <m:r>
          <w:rPr>
            <w:rFonts w:ascii="Cambria Math" w:hAnsi="Cambria Math" w:cs="Times New Roman"/>
          </w:rPr>
          <m:t>AA</m:t>
        </m:r>
      </m:oMath>
      <w:r w:rsidRPr="00A66138">
        <w:rPr>
          <w:rFonts w:ascii="Times New Roman" w:hAnsi="Times New Roman" w:cs="Times New Roman"/>
        </w:rPr>
        <w:t xml:space="preserve">, and </w:t>
      </w:r>
      <m:oMath>
        <m:r>
          <w:rPr>
            <w:rFonts w:ascii="Cambria Math" w:hAnsi="Cambria Math" w:cs="Times New Roman"/>
          </w:rPr>
          <m:t>c</m:t>
        </m:r>
        <m:r>
          <m:rPr>
            <m:sty m:val="p"/>
          </m:rPr>
          <w:rPr>
            <w:rFonts w:ascii="Cambria Math" w:hAnsi="Cambria Math" w:cs="Times New Roman"/>
          </w:rPr>
          <m:t>=</m:t>
        </m:r>
        <m:r>
          <w:rPr>
            <w:rFonts w:ascii="Cambria Math" w:hAnsi="Cambria Math" w:cs="Times New Roman"/>
          </w:rPr>
          <m:t>475</m:t>
        </m:r>
      </m:oMath>
      <w:r w:rsidRPr="00A66138">
        <w:rPr>
          <w:rFonts w:ascii="Times New Roman" w:hAnsi="Times New Roman" w:cs="Times New Roman"/>
        </w:rPr>
        <w:t xml:space="preserve">. Each origin row has its own denominator restricted to records with jointly valid baseline and follow-up states; the implementation fails if that denominator is nonpositive and verifies that every row sums to one within </w:t>
      </w:r>
      <m:oMath>
        <m:sSup>
          <m:sSupPr>
            <m:ctrlPr>
              <w:rPr>
                <w:rFonts w:ascii="Cambria Math" w:hAnsi="Cambria Math" w:cs="Times New Roman"/>
              </w:rPr>
            </m:ctrlPr>
          </m:sSupPr>
          <m:e>
            <m:r>
              <w:rPr>
                <w:rFonts w:ascii="Cambria Math" w:hAnsi="Cambria Math" w:cs="Times New Roman"/>
              </w:rPr>
              <m:t>10</m:t>
            </m:r>
          </m:e>
          <m:sup>
            <m:r>
              <m:rPr>
                <m:sty m:val="p"/>
              </m:rPr>
              <w:rPr>
                <w:rFonts w:ascii="Cambria Math" w:hAnsi="Cambria Math" w:cs="Times New Roman"/>
              </w:rPr>
              <m:t>-</m:t>
            </m:r>
            <m:r>
              <w:rPr>
                <w:rFonts w:ascii="Cambria Math" w:hAnsi="Cambria Math" w:cs="Times New Roman"/>
              </w:rPr>
              <m:t>10</m:t>
            </m:r>
          </m:sup>
        </m:sSup>
      </m:oMath>
      <w:r w:rsidRPr="00A66138">
        <w:rPr>
          <w:rFonts w:ascii="Times New Roman" w:hAnsi="Times New Roman" w:cs="Times New Roman"/>
        </w:rPr>
        <w:t xml:space="preserve">. Additional estimands are baseline and follow-up state shares; </w:t>
      </w:r>
      <m:oMath>
        <m:r>
          <w:rPr>
            <w:rFonts w:ascii="Cambria Math" w:hAnsi="Cambria Math" w:cs="Times New Roman"/>
          </w:rPr>
          <m:t>P</m:t>
        </m:r>
        <m:r>
          <m:rPr>
            <m:sty m:val="p"/>
          </m:rPr>
          <w:rPr>
            <w:rFonts w:ascii="Cambria Math" w:hAnsi="Cambria Math" w:cs="Times New Roman"/>
          </w:rPr>
          <m:t>(</m:t>
        </m:r>
        <m:r>
          <w:rPr>
            <w:rFonts w:ascii="Cambria Math" w:hAnsi="Cambria Math" w:cs="Times New Roman"/>
          </w:rPr>
          <m:t>A</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0</m:t>
            </m:r>
          </m:sub>
        </m:sSub>
        <m:r>
          <m:rPr>
            <m:sty m:val="p"/>
          </m:rPr>
          <w:rPr>
            <w:rFonts w:ascii="Cambria Math" w:hAnsi="Cambria Math" w:cs="Times New Roman"/>
          </w:rPr>
          <m:t>≠</m:t>
        </m:r>
        <m:r>
          <w:rPr>
            <w:rFonts w:ascii="Cambria Math" w:hAnsi="Cambria Math" w:cs="Times New Roman"/>
          </w:rPr>
          <m:t>AA</m:t>
        </m:r>
        <m:r>
          <m:rPr>
            <m:sty m:val="p"/>
          </m:rPr>
          <w:rPr>
            <w:rFonts w:ascii="Cambria Math" w:hAnsi="Cambria Math" w:cs="Times New Roman"/>
          </w:rPr>
          <m:t>)</m:t>
        </m:r>
      </m:oMath>
      <w:r w:rsidRPr="00A66138">
        <w:rPr>
          <w:rFonts w:ascii="Times New Roman" w:hAnsi="Times New Roman" w:cs="Times New Roman"/>
        </w:rPr>
        <w:t xml:space="preserve">; BB persistence and exit; and mean changes among baseline-BB students in mathematics, science, and </w:t>
      </w:r>
      <m:oMath>
        <m:r>
          <m:rPr>
            <m:sty m:val="p"/>
          </m:rPr>
          <w:rPr>
            <w:rFonts w:ascii="Cambria Math" w:hAnsi="Cambria Math" w:cs="Times New Roman"/>
          </w:rPr>
          <m:t>min(</m:t>
        </m:r>
        <m:r>
          <w:rPr>
            <w:rFonts w:ascii="Cambria Math" w:hAnsi="Cambria Math" w:cs="Times New Roman"/>
          </w:rPr>
          <m:t>M</m:t>
        </m:r>
        <m:r>
          <m:rPr>
            <m:sty m:val="p"/>
          </m:rPr>
          <w:rPr>
            <w:rFonts w:ascii="Cambria Math" w:hAnsi="Cambria Math" w:cs="Times New Roman"/>
          </w:rPr>
          <m:t>,</m:t>
        </m:r>
        <m:r>
          <w:rPr>
            <w:rFonts w:ascii="Cambria Math" w:hAnsi="Cambria Math" w:cs="Times New Roman"/>
          </w:rPr>
          <m:t>S</m:t>
        </m:r>
        <m:r>
          <m:rPr>
            <m:sty m:val="p"/>
          </m:rPr>
          <w:rPr>
            <w:rFonts w:ascii="Cambria Math" w:hAnsi="Cambria Math" w:cs="Times New Roman"/>
          </w:rPr>
          <m:t>)</m:t>
        </m:r>
      </m:oMath>
      <w:r w:rsidRPr="00A66138">
        <w:rPr>
          <w:rFonts w:ascii="Times New Roman" w:hAnsi="Times New Roman" w:cs="Times New Roman"/>
        </w:rPr>
        <w:t>. These are population descriptions, not individual diagnoses or causal effects.</w:t>
      </w:r>
    </w:p>
    <w:p w14:paraId="478063B9" w14:textId="77777777" w:rsidR="00C32DDD" w:rsidRPr="00A66138" w:rsidRDefault="00000000">
      <w:pPr>
        <w:pStyle w:val="Heading3"/>
        <w:rPr>
          <w:rFonts w:ascii="Times New Roman" w:hAnsi="Times New Roman" w:cs="Times New Roman"/>
          <w:sz w:val="24"/>
          <w:szCs w:val="24"/>
        </w:rPr>
      </w:pPr>
      <w:bookmarkStart w:id="10" w:name="X6e9e2015f89b182f06ddc2fdc9b4853ff457e36"/>
      <w:bookmarkStart w:id="11" w:name="_Toc237481824"/>
      <w:bookmarkEnd w:id="8"/>
      <w:r w:rsidRPr="00A66138">
        <w:rPr>
          <w:rFonts w:ascii="Times New Roman" w:hAnsi="Times New Roman" w:cs="Times New Roman"/>
          <w:sz w:val="24"/>
          <w:szCs w:val="24"/>
        </w:rPr>
        <w:t>S2.2 Matched four-dimensional plausible-value tuples</w:t>
      </w:r>
      <w:bookmarkEnd w:id="11"/>
    </w:p>
    <w:p w14:paraId="237E8EC5"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The TIMSS 2023 Longitudinal Technical Report states that five achievement PVs were imputed simultaneously from country-specific four-dimensional models covering mathematics 2023, mathematics 2024, science 2023, and science 2024 (Section 6, printed p. 32 and pp. 36–37) (</w:t>
      </w:r>
      <w:hyperlink w:anchor="ref-fishbein2025technical">
        <w:r w:rsidRPr="00A66138">
          <w:rPr>
            <w:rStyle w:val="Hyperlink"/>
            <w:rFonts w:ascii="Times New Roman" w:hAnsi="Times New Roman" w:cs="Times New Roman"/>
          </w:rPr>
          <w:t>Fishbein et al., 2025</w:t>
        </w:r>
      </w:hyperlink>
      <w:r w:rsidRPr="00A66138">
        <w:rPr>
          <w:rFonts w:ascii="Times New Roman" w:hAnsi="Times New Roman" w:cs="Times New Roman"/>
        </w:rPr>
        <w:t xml:space="preserve">). Together with the terminal-index evidence in the User Guide, this establishes Grade 4-to-5 draw </w:t>
      </w:r>
      <m:oMath>
        <m:r>
          <w:rPr>
            <w:rFonts w:ascii="Cambria Math" w:hAnsi="Cambria Math" w:cs="Times New Roman"/>
          </w:rPr>
          <m:t>j</m:t>
        </m:r>
      </m:oMath>
      <w:r w:rsidRPr="00A66138">
        <w:rPr>
          <w:rFonts w:ascii="Times New Roman" w:hAnsi="Times New Roman" w:cs="Times New Roman"/>
        </w:rPr>
        <w:t xml:space="preserve"> as</w:t>
      </w:r>
    </w:p>
    <w:p w14:paraId="4937D7E2" w14:textId="77777777" w:rsidR="00C32DDD" w:rsidRPr="00A66138" w:rsidRDefault="00000000">
      <w:pPr>
        <w:pStyle w:val="BodyText"/>
        <w:rPr>
          <w:rFonts w:ascii="Times New Roman" w:hAnsi="Times New Roman" w:cs="Times New Roman"/>
        </w:rPr>
      </w:pPr>
      <m:oMathPara>
        <m:oMathParaPr>
          <m:jc m:val="center"/>
        </m:oMathParaPr>
        <m:oMath>
          <m:r>
            <m:rPr>
              <m:sty m:val="p"/>
            </m:rPr>
            <w:rPr>
              <w:rFonts w:ascii="Cambria Math" w:hAnsi="Cambria Math" w:cs="Times New Roman"/>
            </w:rPr>
            <m:t>(ASMMAT1</m:t>
          </m:r>
          <m:r>
            <w:rPr>
              <w:rFonts w:ascii="Cambria Math" w:hAnsi="Cambria Math" w:cs="Times New Roman"/>
            </w:rPr>
            <m:t>j</m:t>
          </m:r>
          <m:r>
            <m:rPr>
              <m:sty m:val="p"/>
            </m:rPr>
            <w:rPr>
              <w:rFonts w:ascii="Cambria Math" w:hAnsi="Cambria Math" w:cs="Times New Roman"/>
            </w:rPr>
            <m:t>,ASMMAT2</m:t>
          </m:r>
          <m:r>
            <w:rPr>
              <w:rFonts w:ascii="Cambria Math" w:hAnsi="Cambria Math" w:cs="Times New Roman"/>
            </w:rPr>
            <m:t>j</m:t>
          </m:r>
          <m:r>
            <m:rPr>
              <m:sty m:val="p"/>
            </m:rPr>
            <w:rPr>
              <w:rFonts w:ascii="Cambria Math" w:hAnsi="Cambria Math" w:cs="Times New Roman"/>
            </w:rPr>
            <m:t>,ASSSCI1</m:t>
          </m:r>
          <m:r>
            <w:rPr>
              <w:rFonts w:ascii="Cambria Math" w:hAnsi="Cambria Math" w:cs="Times New Roman"/>
            </w:rPr>
            <m:t>j</m:t>
          </m:r>
          <m:r>
            <m:rPr>
              <m:sty m:val="p"/>
            </m:rPr>
            <w:rPr>
              <w:rFonts w:ascii="Cambria Math" w:hAnsi="Cambria Math" w:cs="Times New Roman"/>
            </w:rPr>
            <m:t>,ASSSCI2</m:t>
          </m:r>
          <m:r>
            <w:rPr>
              <w:rFonts w:ascii="Cambria Math" w:hAnsi="Cambria Math" w:cs="Times New Roman"/>
            </w:rPr>
            <m:t>j</m:t>
          </m:r>
          <m:r>
            <m:rPr>
              <m:sty m:val="p"/>
            </m:rPr>
            <w:rPr>
              <w:rFonts w:ascii="Cambria Math" w:hAnsi="Cambria Math" w:cs="Times New Roman"/>
            </w:rPr>
            <m:t>),</m:t>
          </m:r>
        </m:oMath>
      </m:oMathPara>
    </w:p>
    <w:p w14:paraId="7E61DB67"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and Grade 8-to-9 draw </w:t>
      </w:r>
      <m:oMath>
        <m:r>
          <w:rPr>
            <w:rFonts w:ascii="Cambria Math" w:hAnsi="Cambria Math" w:cs="Times New Roman"/>
          </w:rPr>
          <m:t>j</m:t>
        </m:r>
      </m:oMath>
      <w:r w:rsidRPr="00A66138">
        <w:rPr>
          <w:rFonts w:ascii="Times New Roman" w:hAnsi="Times New Roman" w:cs="Times New Roman"/>
        </w:rPr>
        <w:t xml:space="preserve"> as the analogous B-prefix tuple</w:t>
      </w:r>
    </w:p>
    <w:p w14:paraId="0B2B0A9D" w14:textId="77777777" w:rsidR="00C32DDD" w:rsidRPr="00A66138" w:rsidRDefault="00000000">
      <w:pPr>
        <w:pStyle w:val="BodyText"/>
        <w:rPr>
          <w:rFonts w:ascii="Times New Roman" w:hAnsi="Times New Roman" w:cs="Times New Roman"/>
        </w:rPr>
      </w:pPr>
      <m:oMathPara>
        <m:oMathParaPr>
          <m:jc m:val="center"/>
        </m:oMathParaPr>
        <m:oMath>
          <m:r>
            <m:rPr>
              <m:sty m:val="p"/>
            </m:rPr>
            <w:rPr>
              <w:rFonts w:ascii="Cambria Math" w:hAnsi="Cambria Math" w:cs="Times New Roman"/>
            </w:rPr>
            <m:t>(BSMMAT1</m:t>
          </m:r>
          <m:r>
            <w:rPr>
              <w:rFonts w:ascii="Cambria Math" w:hAnsi="Cambria Math" w:cs="Times New Roman"/>
            </w:rPr>
            <m:t>j</m:t>
          </m:r>
          <m:r>
            <m:rPr>
              <m:sty m:val="p"/>
            </m:rPr>
            <w:rPr>
              <w:rFonts w:ascii="Cambria Math" w:hAnsi="Cambria Math" w:cs="Times New Roman"/>
            </w:rPr>
            <m:t>,BSMMAT2</m:t>
          </m:r>
          <m:r>
            <w:rPr>
              <w:rFonts w:ascii="Cambria Math" w:hAnsi="Cambria Math" w:cs="Times New Roman"/>
            </w:rPr>
            <m:t>j</m:t>
          </m:r>
          <m:r>
            <m:rPr>
              <m:sty m:val="p"/>
            </m:rPr>
            <w:rPr>
              <w:rFonts w:ascii="Cambria Math" w:hAnsi="Cambria Math" w:cs="Times New Roman"/>
            </w:rPr>
            <m:t>,BSSSCI1</m:t>
          </m:r>
          <m:r>
            <w:rPr>
              <w:rFonts w:ascii="Cambria Math" w:hAnsi="Cambria Math" w:cs="Times New Roman"/>
            </w:rPr>
            <m:t>j</m:t>
          </m:r>
          <m:r>
            <m:rPr>
              <m:sty m:val="p"/>
            </m:rPr>
            <w:rPr>
              <w:rFonts w:ascii="Cambria Math" w:hAnsi="Cambria Math" w:cs="Times New Roman"/>
            </w:rPr>
            <m:t>,BSSSCI2</m:t>
          </m:r>
          <m:r>
            <w:rPr>
              <w:rFonts w:ascii="Cambria Math" w:hAnsi="Cambria Math" w:cs="Times New Roman"/>
            </w:rPr>
            <m:t>j</m:t>
          </m:r>
          <m:r>
            <m:rPr>
              <m:sty m:val="p"/>
            </m:rPr>
            <w:rPr>
              <w:rFonts w:ascii="Cambria Math" w:hAnsi="Cambria Math" w:cs="Times New Roman"/>
            </w:rPr>
            <m:t>).</m:t>
          </m:r>
        </m:oMath>
      </m:oMathPara>
    </w:p>
    <w:p w14:paraId="0D42D6D2"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Except for the explicit same-wave diagnostic in Section S9, all inferential analyses used one of these five matched tuples. Unequal-index combinations were not treated as primary imputations, and PVs were not averaged into person-level scores before classification (</w:t>
      </w:r>
      <w:proofErr w:type="spellStart"/>
      <w:r w:rsidRPr="00A66138">
        <w:rPr>
          <w:rFonts w:ascii="Times New Roman" w:hAnsi="Times New Roman" w:cs="Times New Roman"/>
        </w:rPr>
        <w:fldChar w:fldCharType="begin"/>
      </w:r>
      <w:r w:rsidRPr="00A66138">
        <w:rPr>
          <w:rFonts w:ascii="Times New Roman" w:hAnsi="Times New Roman" w:cs="Times New Roman"/>
        </w:rPr>
        <w:instrText>HYPERLINK \l "ref-mislevy1992" \h</w:instrText>
      </w:r>
      <w:r w:rsidR="00A66138" w:rsidRPr="00A66138">
        <w:rPr>
          <w:rFonts w:ascii="Times New Roman" w:hAnsi="Times New Roman" w:cs="Times New Roman"/>
        </w:rPr>
      </w:r>
      <w:r w:rsidRPr="00A66138">
        <w:rPr>
          <w:rFonts w:ascii="Times New Roman" w:hAnsi="Times New Roman" w:cs="Times New Roman"/>
        </w:rPr>
        <w:fldChar w:fldCharType="separate"/>
      </w:r>
      <w:r w:rsidRPr="00A66138">
        <w:rPr>
          <w:rStyle w:val="Hyperlink"/>
          <w:rFonts w:ascii="Times New Roman" w:hAnsi="Times New Roman" w:cs="Times New Roman"/>
        </w:rPr>
        <w:t>Mislevy</w:t>
      </w:r>
      <w:proofErr w:type="spellEnd"/>
      <w:r w:rsidRPr="00A66138">
        <w:rPr>
          <w:rStyle w:val="Hyperlink"/>
          <w:rFonts w:ascii="Times New Roman" w:hAnsi="Times New Roman" w:cs="Times New Roman"/>
        </w:rPr>
        <w:t xml:space="preserve"> et al., 1992</w:t>
      </w:r>
      <w:r w:rsidRPr="00A66138">
        <w:rPr>
          <w:rFonts w:ascii="Times New Roman" w:hAnsi="Times New Roman" w:cs="Times New Roman"/>
        </w:rPr>
        <w:fldChar w:fldCharType="end"/>
      </w:r>
      <w:r w:rsidRPr="00A66138">
        <w:rPr>
          <w:rFonts w:ascii="Times New Roman" w:hAnsi="Times New Roman" w:cs="Times New Roman"/>
        </w:rPr>
        <w:t xml:space="preserve">; </w:t>
      </w:r>
      <w:hyperlink w:anchor="ref-rutkowski2010">
        <w:r w:rsidRPr="00A66138">
          <w:rPr>
            <w:rStyle w:val="Hyperlink"/>
            <w:rFonts w:ascii="Times New Roman" w:hAnsi="Times New Roman" w:cs="Times New Roman"/>
          </w:rPr>
          <w:t>Rutkowski et al., 2010</w:t>
        </w:r>
      </w:hyperlink>
      <w:r w:rsidRPr="00A66138">
        <w:rPr>
          <w:rFonts w:ascii="Times New Roman" w:hAnsi="Times New Roman" w:cs="Times New Roman"/>
        </w:rPr>
        <w:t xml:space="preserve">; </w:t>
      </w:r>
      <w:hyperlink w:anchor="ref-wu2005">
        <w:r w:rsidRPr="00A66138">
          <w:rPr>
            <w:rStyle w:val="Hyperlink"/>
            <w:rFonts w:ascii="Times New Roman" w:hAnsi="Times New Roman" w:cs="Times New Roman"/>
          </w:rPr>
          <w:t>Wu, 2005</w:t>
        </w:r>
      </w:hyperlink>
      <w:r w:rsidRPr="00A66138">
        <w:rPr>
          <w:rFonts w:ascii="Times New Roman" w:hAnsi="Times New Roman" w:cs="Times New Roman"/>
        </w:rPr>
        <w:t>).</w:t>
      </w:r>
    </w:p>
    <w:p w14:paraId="5837E917" w14:textId="77777777" w:rsidR="00C32DDD" w:rsidRPr="00A66138" w:rsidRDefault="00000000">
      <w:pPr>
        <w:pStyle w:val="Heading3"/>
        <w:rPr>
          <w:rFonts w:ascii="Times New Roman" w:hAnsi="Times New Roman" w:cs="Times New Roman"/>
          <w:sz w:val="24"/>
          <w:szCs w:val="24"/>
        </w:rPr>
      </w:pPr>
      <w:bookmarkStart w:id="12" w:name="X4cd39cc3384766211b35ae36f3f177e307e51d7"/>
      <w:bookmarkStart w:id="13" w:name="_Toc237481825"/>
      <w:bookmarkEnd w:id="10"/>
      <w:r w:rsidRPr="00A66138">
        <w:rPr>
          <w:rFonts w:ascii="Times New Roman" w:hAnsi="Times New Roman" w:cs="Times New Roman"/>
          <w:sz w:val="24"/>
          <w:szCs w:val="24"/>
        </w:rPr>
        <w:lastRenderedPageBreak/>
        <w:t>S2.3 JRR sampling covariance within a matched draw</w:t>
      </w:r>
      <w:bookmarkEnd w:id="13"/>
    </w:p>
    <w:p w14:paraId="73F5F709"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Input validation required finite design variables, positive final weights, </w:t>
      </w:r>
      <w:r w:rsidRPr="00A66138">
        <w:rPr>
          <w:rStyle w:val="VerbatimChar"/>
          <w:rFonts w:ascii="Times New Roman" w:hAnsi="Times New Roman" w:cs="Times New Roman"/>
          <w:sz w:val="24"/>
        </w:rPr>
        <w:t>JKREP</w:t>
      </w:r>
      <w:r w:rsidRPr="00A66138">
        <w:rPr>
          <w:rFonts w:ascii="Times New Roman" w:hAnsi="Times New Roman" w:cs="Times New Roman"/>
        </w:rPr>
        <w:t xml:space="preserve"> in {0, 1}, and both replicate members in every system-zone. For each finite </w:t>
      </w:r>
      <w:r w:rsidRPr="00A66138">
        <w:rPr>
          <w:rStyle w:val="VerbatimChar"/>
          <w:rFonts w:ascii="Times New Roman" w:hAnsi="Times New Roman" w:cs="Times New Roman"/>
          <w:sz w:val="24"/>
        </w:rPr>
        <w:t>JKZONE</w:t>
      </w:r>
      <w:r w:rsidRPr="00A66138">
        <w:rPr>
          <w:rFonts w:ascii="Times New Roman" w:hAnsi="Times New Roman" w:cs="Times New Roman"/>
        </w:rPr>
        <w:t xml:space="preserve">, the code constructs two replicates. In the selected zone, the retained </w:t>
      </w:r>
      <w:r w:rsidRPr="00A66138">
        <w:rPr>
          <w:rStyle w:val="VerbatimChar"/>
          <w:rFonts w:ascii="Times New Roman" w:hAnsi="Times New Roman" w:cs="Times New Roman"/>
          <w:sz w:val="24"/>
        </w:rPr>
        <w:t>JKREP</w:t>
      </w:r>
      <w:r w:rsidRPr="00A66138">
        <w:rPr>
          <w:rFonts w:ascii="Times New Roman" w:hAnsi="Times New Roman" w:cs="Times New Roman"/>
        </w:rPr>
        <w:t xml:space="preserve"> member receives factor 2 and the other member factor 0; observations outside that zone retain factor 1. If </w:t>
      </w:r>
      <m:oMath>
        <m:sSub>
          <m:sSubPr>
            <m:ctrlPr>
              <w:rPr>
                <w:rFonts w:ascii="Cambria Math" w:hAnsi="Cambria Math" w:cs="Times New Roman"/>
              </w:rPr>
            </m:ctrlPr>
          </m:sSubPr>
          <m:e>
            <m:acc>
              <m:accPr>
                <m:ctrlPr>
                  <w:rPr>
                    <w:rFonts w:ascii="Cambria Math" w:hAnsi="Cambria Math" w:cs="Times New Roman"/>
                  </w:rPr>
                </m:ctrlPr>
              </m:accPr>
              <m:e>
                <m:r>
                  <m:rPr>
                    <m:sty m:val="bi"/>
                  </m:rPr>
                  <w:rPr>
                    <w:rFonts w:ascii="Cambria Math" w:hAnsi="Cambria Math" w:cs="Times New Roman"/>
                  </w:rPr>
                  <m:t>θ</m:t>
                </m:r>
              </m:e>
            </m:acc>
          </m:e>
          <m:sub>
            <m:r>
              <w:rPr>
                <w:rFonts w:ascii="Cambria Math" w:hAnsi="Cambria Math" w:cs="Times New Roman"/>
              </w:rPr>
              <m:t>j</m:t>
            </m:r>
          </m:sub>
        </m:sSub>
      </m:oMath>
      <w:r w:rsidRPr="00A66138">
        <w:rPr>
          <w:rFonts w:ascii="Times New Roman" w:hAnsi="Times New Roman" w:cs="Times New Roman"/>
        </w:rPr>
        <w:t xml:space="preserve"> is a named full-weight vector and </w:t>
      </w:r>
      <m:oMath>
        <m:sSub>
          <m:sSubPr>
            <m:ctrlPr>
              <w:rPr>
                <w:rFonts w:ascii="Cambria Math" w:hAnsi="Cambria Math" w:cs="Times New Roman"/>
              </w:rPr>
            </m:ctrlPr>
          </m:sSubPr>
          <m:e>
            <m:acc>
              <m:accPr>
                <m:ctrlPr>
                  <w:rPr>
                    <w:rFonts w:ascii="Cambria Math" w:hAnsi="Cambria Math" w:cs="Times New Roman"/>
                  </w:rPr>
                </m:ctrlPr>
              </m:accPr>
              <m:e>
                <m:r>
                  <m:rPr>
                    <m:sty m:val="bi"/>
                  </m:rPr>
                  <w:rPr>
                    <w:rFonts w:ascii="Cambria Math" w:hAnsi="Cambria Math" w:cs="Times New Roman"/>
                  </w:rPr>
                  <m:t>θ</m:t>
                </m:r>
              </m:e>
            </m:acc>
          </m:e>
          <m:sub>
            <m:r>
              <w:rPr>
                <w:rFonts w:ascii="Cambria Math" w:hAnsi="Cambria Math" w:cs="Times New Roman"/>
              </w:rPr>
              <m:t>jr</m:t>
            </m:r>
          </m:sub>
        </m:sSub>
      </m:oMath>
      <w:r w:rsidRPr="00A66138">
        <w:rPr>
          <w:rFonts w:ascii="Times New Roman" w:hAnsi="Times New Roman" w:cs="Times New Roman"/>
        </w:rPr>
        <w:t xml:space="preserve"> its value in replicate </w:t>
      </w:r>
      <m:oMath>
        <m:r>
          <w:rPr>
            <w:rFonts w:ascii="Cambria Math" w:hAnsi="Cambria Math" w:cs="Times New Roman"/>
          </w:rPr>
          <m:t>r</m:t>
        </m:r>
      </m:oMath>
      <w:r w:rsidRPr="00A66138">
        <w:rPr>
          <w:rFonts w:ascii="Times New Roman" w:hAnsi="Times New Roman" w:cs="Times New Roman"/>
        </w:rPr>
        <w:t>, the implemented covariance is</w:t>
      </w:r>
    </w:p>
    <w:p w14:paraId="3E1312C0" w14:textId="77777777" w:rsidR="00C32DDD" w:rsidRPr="00A66138" w:rsidRDefault="00000000">
      <w:pPr>
        <w:pStyle w:val="BodyText"/>
        <w:rPr>
          <w:rFonts w:ascii="Times New Roman" w:hAnsi="Times New Roman" w:cs="Times New Roman"/>
        </w:rPr>
      </w:pPr>
      <m:oMathPara>
        <m:oMathParaPr>
          <m:jc m:val="center"/>
        </m:oMathParaPr>
        <m:oMath>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U</m:t>
                  </m:r>
                </m:e>
              </m:acc>
            </m:e>
            <m:sub>
              <m:r>
                <w:rPr>
                  <w:rFonts w:ascii="Cambria Math" w:hAnsi="Cambria Math" w:cs="Times New Roman"/>
                </w:rPr>
                <m:t>j</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nary>
            <m:naryPr>
              <m:chr m:val="∑"/>
              <m:limLoc m:val="undOvr"/>
              <m:supHide m:val="1"/>
              <m:ctrlPr>
                <w:rPr>
                  <w:rFonts w:ascii="Cambria Math" w:hAnsi="Cambria Math" w:cs="Times New Roman"/>
                </w:rPr>
              </m:ctrlPr>
            </m:naryPr>
            <m:sub>
              <m:r>
                <w:rPr>
                  <w:rFonts w:ascii="Cambria Math" w:hAnsi="Cambria Math" w:cs="Times New Roman"/>
                </w:rPr>
                <m:t>r</m:t>
              </m:r>
            </m:sub>
            <m:sup>
              <m:r>
                <w:rPr>
                  <w:rFonts w:ascii="Cambria Math" w:hAnsi="Cambria Math" w:cs="Times New Roman"/>
                </w:rPr>
                <m:t>​</m:t>
              </m:r>
            </m:sup>
            <m:e>
              <m:r>
                <m:rPr>
                  <m:sty m:val="p"/>
                </m:rPr>
                <w:rPr>
                  <w:rFonts w:ascii="Cambria Math" w:hAnsi="Cambria Math" w:cs="Times New Roman"/>
                </w:rPr>
                <m:t>(</m:t>
              </m:r>
            </m:e>
          </m:nary>
          <m:sSub>
            <m:sSubPr>
              <m:ctrlPr>
                <w:rPr>
                  <w:rFonts w:ascii="Cambria Math" w:hAnsi="Cambria Math" w:cs="Times New Roman"/>
                </w:rPr>
              </m:ctrlPr>
            </m:sSubPr>
            <m:e>
              <m:acc>
                <m:accPr>
                  <m:ctrlPr>
                    <w:rPr>
                      <w:rFonts w:ascii="Cambria Math" w:hAnsi="Cambria Math" w:cs="Times New Roman"/>
                    </w:rPr>
                  </m:ctrlPr>
                </m:accPr>
                <m:e>
                  <m:r>
                    <m:rPr>
                      <m:sty m:val="bi"/>
                    </m:rPr>
                    <w:rPr>
                      <w:rFonts w:ascii="Cambria Math" w:hAnsi="Cambria Math" w:cs="Times New Roman"/>
                    </w:rPr>
                    <m:t>θ</m:t>
                  </m:r>
                </m:e>
              </m:acc>
            </m:e>
            <m:sub>
              <m:r>
                <w:rPr>
                  <w:rFonts w:ascii="Cambria Math" w:hAnsi="Cambria Math" w:cs="Times New Roman"/>
                </w:rPr>
                <m:t>jr</m:t>
              </m:r>
            </m:sub>
          </m:sSub>
          <m:r>
            <m:rPr>
              <m:sty m:val="p"/>
            </m:rP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m:rPr>
                      <m:sty m:val="bi"/>
                    </m:rPr>
                    <w:rPr>
                      <w:rFonts w:ascii="Cambria Math" w:hAnsi="Cambria Math" w:cs="Times New Roman"/>
                    </w:rPr>
                    <m:t>θ</m:t>
                  </m:r>
                </m:e>
              </m:acc>
            </m:e>
            <m:sub>
              <m:r>
                <w:rPr>
                  <w:rFonts w:ascii="Cambria Math" w:hAnsi="Cambria Math" w:cs="Times New Roman"/>
                </w:rPr>
                <m:t>j</m:t>
              </m:r>
            </m:sub>
          </m:sSub>
          <m:r>
            <m:rPr>
              <m:sty m:val="p"/>
            </m:rP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m:rPr>
                      <m:sty m:val="bi"/>
                    </m:rPr>
                    <w:rPr>
                      <w:rFonts w:ascii="Cambria Math" w:hAnsi="Cambria Math" w:cs="Times New Roman"/>
                    </w:rPr>
                    <m:t>θ</m:t>
                  </m:r>
                </m:e>
              </m:acc>
            </m:e>
            <m:sub>
              <m:r>
                <w:rPr>
                  <w:rFonts w:ascii="Cambria Math" w:hAnsi="Cambria Math" w:cs="Times New Roman"/>
                </w:rPr>
                <m:t>jr</m:t>
              </m:r>
            </m:sub>
          </m:sSub>
          <m:r>
            <m:rPr>
              <m:sty m:val="p"/>
            </m:rP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m:rPr>
                      <m:sty m:val="bi"/>
                    </m:rPr>
                    <w:rPr>
                      <w:rFonts w:ascii="Cambria Math" w:hAnsi="Cambria Math" w:cs="Times New Roman"/>
                    </w:rPr>
                    <m:t>θ</m:t>
                  </m:r>
                </m:e>
              </m:acc>
            </m:e>
            <m:sub>
              <m:r>
                <w:rPr>
                  <w:rFonts w:ascii="Cambria Math" w:hAnsi="Cambria Math" w:cs="Times New Roman"/>
                </w:rPr>
                <m:t>j</m:t>
              </m:r>
            </m:sub>
          </m:sSub>
          <m:sSup>
            <m:sSupPr>
              <m:ctrlPr>
                <w:rPr>
                  <w:rFonts w:ascii="Cambria Math" w:hAnsi="Cambria Math" w:cs="Times New Roman"/>
                </w:rPr>
              </m:ctrlPr>
            </m:sSupPr>
            <m:e>
              <m:r>
                <m:rPr>
                  <m:sty m:val="p"/>
                </m:rPr>
                <w:rPr>
                  <w:rFonts w:ascii="Cambria Math" w:hAnsi="Cambria Math" w:cs="Times New Roman"/>
                </w:rPr>
                <m:t>)</m:t>
              </m:r>
            </m:e>
            <m:sup>
              <m:r>
                <m:rPr>
                  <m:sty m:val="p"/>
                </m:rPr>
                <w:rPr>
                  <w:rFonts w:ascii="Cambria Math" w:hAnsi="Cambria Math" w:cs="Times New Roman"/>
                </w:rPr>
                <m:t>⊤</m:t>
              </m:r>
            </m:sup>
          </m:sSup>
          <m:r>
            <m:rPr>
              <m:sty m:val="p"/>
            </m:rPr>
            <w:rPr>
              <w:rFonts w:ascii="Cambria Math" w:hAnsi="Cambria Math" w:cs="Times New Roman"/>
            </w:rPr>
            <m:t>.</m:t>
          </m:r>
        </m:oMath>
      </m:oMathPara>
    </w:p>
    <w:p w14:paraId="7CC31A9A"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The divisor is 2, not the number of replicates. Deviations are from the full-sample estimate. Vector estimation retains off-diagonal covariance (</w:t>
      </w:r>
      <w:hyperlink w:anchor="ref-fishbein2024se">
        <w:r w:rsidRPr="00A66138">
          <w:rPr>
            <w:rStyle w:val="Hyperlink"/>
            <w:rFonts w:ascii="Times New Roman" w:hAnsi="Times New Roman" w:cs="Times New Roman"/>
          </w:rPr>
          <w:t>Fishbein et al., 2024</w:t>
        </w:r>
      </w:hyperlink>
      <w:r w:rsidRPr="00A66138">
        <w:rPr>
          <w:rFonts w:ascii="Times New Roman" w:hAnsi="Times New Roman" w:cs="Times New Roman"/>
        </w:rPr>
        <w:t>).</w:t>
      </w:r>
    </w:p>
    <w:p w14:paraId="63E07164"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With </w:t>
      </w:r>
      <m:oMath>
        <m:r>
          <w:rPr>
            <w:rFonts w:ascii="Cambria Math" w:hAnsi="Cambria Math" w:cs="Times New Roman"/>
          </w:rPr>
          <m:t>M</m:t>
        </m:r>
        <m:r>
          <m:rPr>
            <m:sty m:val="p"/>
          </m:rPr>
          <w:rPr>
            <w:rFonts w:ascii="Cambria Math" w:hAnsi="Cambria Math" w:cs="Times New Roman"/>
          </w:rPr>
          <m:t>=</m:t>
        </m:r>
        <m:r>
          <w:rPr>
            <w:rFonts w:ascii="Cambria Math" w:hAnsi="Cambria Math" w:cs="Times New Roman"/>
          </w:rPr>
          <m:t>5</m:t>
        </m:r>
      </m:oMath>
      <w:r w:rsidRPr="00A66138">
        <w:rPr>
          <w:rFonts w:ascii="Times New Roman" w:hAnsi="Times New Roman" w:cs="Times New Roman"/>
        </w:rPr>
        <w:t>, pooled point, average sampling covariance, and sample between-PV covariance are</w:t>
      </w:r>
    </w:p>
    <w:p w14:paraId="346AF54D" w14:textId="77777777" w:rsidR="00C32DDD" w:rsidRPr="00A66138" w:rsidRDefault="00000000">
      <w:pPr>
        <w:pStyle w:val="BodyText"/>
        <w:rPr>
          <w:rFonts w:ascii="Times New Roman" w:hAnsi="Times New Roman" w:cs="Times New Roman"/>
        </w:rPr>
      </w:pPr>
      <m:oMathPara>
        <m:oMathParaPr>
          <m:jc m:val="center"/>
        </m:oMathParaPr>
        <m:oMath>
          <m:bar>
            <m:barPr>
              <m:pos m:val="top"/>
              <m:ctrlPr>
                <w:rPr>
                  <w:rFonts w:ascii="Cambria Math" w:hAnsi="Cambria Math" w:cs="Times New Roman"/>
                </w:rPr>
              </m:ctrlPr>
            </m:barPr>
            <m:e>
              <m:r>
                <m:rPr>
                  <m:sty m:val="bi"/>
                </m:rPr>
                <w:rPr>
                  <w:rFonts w:ascii="Cambria Math" w:hAnsi="Cambria Math" w:cs="Times New Roman"/>
                </w:rPr>
                <m:t>θ</m:t>
              </m:r>
            </m:e>
          </m:ba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M</m:t>
              </m:r>
            </m:den>
          </m:f>
          <m:nary>
            <m:naryPr>
              <m:chr m:val="∑"/>
              <m:limLoc m:val="undOvr"/>
              <m:ctrlPr>
                <w:rPr>
                  <w:rFonts w:ascii="Cambria Math" w:hAnsi="Cambria Math" w:cs="Times New Roman"/>
                </w:rPr>
              </m:ctrlPr>
            </m:naryPr>
            <m:sub>
              <m:r>
                <w:rPr>
                  <w:rFonts w:ascii="Cambria Math" w:hAnsi="Cambria Math" w:cs="Times New Roman"/>
                </w:rPr>
                <m:t>j</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M</m:t>
              </m:r>
            </m:sup>
            <m:e>
              <m:sSub>
                <m:sSubPr>
                  <m:ctrlPr>
                    <w:rPr>
                      <w:rFonts w:ascii="Cambria Math" w:hAnsi="Cambria Math" w:cs="Times New Roman"/>
                    </w:rPr>
                  </m:ctrlPr>
                </m:sSubPr>
                <m:e>
                  <m:acc>
                    <m:accPr>
                      <m:ctrlPr>
                        <w:rPr>
                          <w:rFonts w:ascii="Cambria Math" w:hAnsi="Cambria Math" w:cs="Times New Roman"/>
                        </w:rPr>
                      </m:ctrlPr>
                    </m:accPr>
                    <m:e>
                      <m:r>
                        <m:rPr>
                          <m:sty m:val="bi"/>
                        </m:rPr>
                        <w:rPr>
                          <w:rFonts w:ascii="Cambria Math" w:hAnsi="Cambria Math" w:cs="Times New Roman"/>
                        </w:rPr>
                        <m:t>θ</m:t>
                      </m:r>
                    </m:e>
                  </m:acc>
                </m:e>
                <m:sub>
                  <m:r>
                    <w:rPr>
                      <w:rFonts w:ascii="Cambria Math" w:hAnsi="Cambria Math" w:cs="Times New Roman"/>
                    </w:rPr>
                    <m:t>j</m:t>
                  </m:r>
                </m:sub>
              </m:sSub>
            </m:e>
          </m:nary>
          <m:r>
            <m:rPr>
              <m:sty m:val="p"/>
            </m:rPr>
            <w:rPr>
              <w:rFonts w:ascii="Cambria Math" w:hAnsi="Cambria Math" w:cs="Times New Roman"/>
            </w:rPr>
            <m:t>,</m:t>
          </m:r>
          <m:r>
            <w:rPr>
              <w:rFonts w:ascii="Cambria Math" w:hAnsi="Cambria Math" w:cs="Times New Roman"/>
            </w:rPr>
            <m:t>  </m:t>
          </m:r>
          <m:bar>
            <m:barPr>
              <m:pos m:val="top"/>
              <m:ctrlPr>
                <w:rPr>
                  <w:rFonts w:ascii="Cambria Math" w:hAnsi="Cambria Math" w:cs="Times New Roman"/>
                </w:rPr>
              </m:ctrlPr>
            </m:barPr>
            <m:e>
              <m:r>
                <w:rPr>
                  <w:rFonts w:ascii="Cambria Math" w:hAnsi="Cambria Math" w:cs="Times New Roman"/>
                </w:rPr>
                <m:t>U</m:t>
              </m:r>
            </m:e>
          </m:ba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M</m:t>
              </m:r>
            </m:den>
          </m:f>
          <m:nary>
            <m:naryPr>
              <m:chr m:val="∑"/>
              <m:limLoc m:val="undOvr"/>
              <m:ctrlPr>
                <w:rPr>
                  <w:rFonts w:ascii="Cambria Math" w:hAnsi="Cambria Math" w:cs="Times New Roman"/>
                </w:rPr>
              </m:ctrlPr>
            </m:naryPr>
            <m:sub>
              <m:r>
                <w:rPr>
                  <w:rFonts w:ascii="Cambria Math" w:hAnsi="Cambria Math" w:cs="Times New Roman"/>
                </w:rPr>
                <m:t>j</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M</m:t>
              </m:r>
            </m:sup>
            <m:e>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rPr>
                    <m:t>j</m:t>
                  </m:r>
                </m:sub>
              </m:sSub>
            </m:e>
          </m:nary>
          <m:r>
            <m:rPr>
              <m:sty m:val="p"/>
            </m:rPr>
            <w:rPr>
              <w:rFonts w:ascii="Cambria Math" w:hAnsi="Cambria Math" w:cs="Times New Roman"/>
            </w:rPr>
            <m:t>,</m:t>
          </m:r>
        </m:oMath>
      </m:oMathPara>
    </w:p>
    <w:p w14:paraId="06515B00" w14:textId="77777777" w:rsidR="00C32DDD" w:rsidRPr="00A66138" w:rsidRDefault="00000000">
      <w:pPr>
        <w:pStyle w:val="FirstParagraph"/>
        <w:rPr>
          <w:rFonts w:ascii="Times New Roman" w:hAnsi="Times New Roman" w:cs="Times New Roman"/>
        </w:rPr>
      </w:pPr>
      <m:oMathPara>
        <m:oMathParaPr>
          <m:jc m:val="center"/>
        </m:oMathParaPr>
        <m:oMath>
          <m:r>
            <w:rPr>
              <w:rFonts w:ascii="Cambria Math" w:hAnsi="Cambria Math" w:cs="Times New Roman"/>
            </w:rPr>
            <m:t>B</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M</m:t>
              </m:r>
              <m:r>
                <m:rPr>
                  <m:sty m:val="p"/>
                </m:rPr>
                <w:rPr>
                  <w:rFonts w:ascii="Cambria Math" w:hAnsi="Cambria Math" w:cs="Times New Roman"/>
                </w:rPr>
                <m:t>-</m:t>
              </m:r>
              <m:r>
                <w:rPr>
                  <w:rFonts w:ascii="Cambria Math" w:hAnsi="Cambria Math" w:cs="Times New Roman"/>
                </w:rPr>
                <m:t>1</m:t>
              </m:r>
            </m:den>
          </m:f>
          <m:nary>
            <m:naryPr>
              <m:chr m:val="∑"/>
              <m:limLoc m:val="undOvr"/>
              <m:ctrlPr>
                <w:rPr>
                  <w:rFonts w:ascii="Cambria Math" w:hAnsi="Cambria Math" w:cs="Times New Roman"/>
                </w:rPr>
              </m:ctrlPr>
            </m:naryPr>
            <m:sub>
              <m:r>
                <w:rPr>
                  <w:rFonts w:ascii="Cambria Math" w:hAnsi="Cambria Math" w:cs="Times New Roman"/>
                </w:rPr>
                <m:t>j</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M</m:t>
              </m:r>
            </m:sup>
            <m:e>
              <m:r>
                <m:rPr>
                  <m:sty m:val="p"/>
                </m:rPr>
                <w:rPr>
                  <w:rFonts w:ascii="Cambria Math" w:hAnsi="Cambria Math" w:cs="Times New Roman"/>
                </w:rPr>
                <m:t>(</m:t>
              </m:r>
            </m:e>
          </m:nary>
          <m:sSub>
            <m:sSubPr>
              <m:ctrlPr>
                <w:rPr>
                  <w:rFonts w:ascii="Cambria Math" w:hAnsi="Cambria Math" w:cs="Times New Roman"/>
                </w:rPr>
              </m:ctrlPr>
            </m:sSubPr>
            <m:e>
              <m:acc>
                <m:accPr>
                  <m:ctrlPr>
                    <w:rPr>
                      <w:rFonts w:ascii="Cambria Math" w:hAnsi="Cambria Math" w:cs="Times New Roman"/>
                    </w:rPr>
                  </m:ctrlPr>
                </m:accPr>
                <m:e>
                  <m:r>
                    <m:rPr>
                      <m:sty m:val="bi"/>
                    </m:rPr>
                    <w:rPr>
                      <w:rFonts w:ascii="Cambria Math" w:hAnsi="Cambria Math" w:cs="Times New Roman"/>
                    </w:rPr>
                    <m:t>θ</m:t>
                  </m:r>
                </m:e>
              </m:acc>
            </m:e>
            <m:sub>
              <m:r>
                <w:rPr>
                  <w:rFonts w:ascii="Cambria Math" w:hAnsi="Cambria Math" w:cs="Times New Roman"/>
                </w:rPr>
                <m:t>j</m:t>
              </m:r>
            </m:sub>
          </m:sSub>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θ</m:t>
              </m:r>
            </m:e>
          </m:bar>
          <m:r>
            <m:rPr>
              <m:sty m:val="p"/>
            </m:rP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m:rPr>
                      <m:sty m:val="bi"/>
                    </m:rPr>
                    <w:rPr>
                      <w:rFonts w:ascii="Cambria Math" w:hAnsi="Cambria Math" w:cs="Times New Roman"/>
                    </w:rPr>
                    <m:t>θ</m:t>
                  </m:r>
                </m:e>
              </m:acc>
            </m:e>
            <m:sub>
              <m:r>
                <w:rPr>
                  <w:rFonts w:ascii="Cambria Math" w:hAnsi="Cambria Math" w:cs="Times New Roman"/>
                </w:rPr>
                <m:t>j</m:t>
              </m:r>
            </m:sub>
          </m:sSub>
          <m:r>
            <m:rPr>
              <m:sty m:val="p"/>
            </m:rPr>
            <w:rPr>
              <w:rFonts w:ascii="Cambria Math" w:hAnsi="Cambria Math" w:cs="Times New Roman"/>
            </w:rPr>
            <m:t>-</m:t>
          </m:r>
          <m:bar>
            <m:barPr>
              <m:pos m:val="top"/>
              <m:ctrlPr>
                <w:rPr>
                  <w:rFonts w:ascii="Cambria Math" w:hAnsi="Cambria Math" w:cs="Times New Roman"/>
                </w:rPr>
              </m:ctrlPr>
            </m:barPr>
            <m:e>
              <m:r>
                <m:rPr>
                  <m:sty m:val="bi"/>
                </m:rPr>
                <w:rPr>
                  <w:rFonts w:ascii="Cambria Math" w:hAnsi="Cambria Math" w:cs="Times New Roman"/>
                </w:rPr>
                <m:t>θ</m:t>
              </m:r>
            </m:e>
          </m:bar>
          <m:sSup>
            <m:sSupPr>
              <m:ctrlPr>
                <w:rPr>
                  <w:rFonts w:ascii="Cambria Math" w:hAnsi="Cambria Math" w:cs="Times New Roman"/>
                </w:rPr>
              </m:ctrlPr>
            </m:sSupPr>
            <m:e>
              <m:r>
                <m:rPr>
                  <m:sty m:val="p"/>
                </m:rPr>
                <w:rPr>
                  <w:rFonts w:ascii="Cambria Math" w:hAnsi="Cambria Math" w:cs="Times New Roman"/>
                </w:rPr>
                <m:t>)</m:t>
              </m:r>
            </m:e>
            <m:sup>
              <m:r>
                <m:rPr>
                  <m:sty m:val="p"/>
                </m:rPr>
                <w:rPr>
                  <w:rFonts w:ascii="Cambria Math" w:hAnsi="Cambria Math" w:cs="Times New Roman"/>
                </w:rPr>
                <m:t>⊤</m:t>
              </m:r>
            </m:sup>
          </m:sSup>
          <m:r>
            <m:rPr>
              <m:sty m:val="p"/>
            </m:rPr>
            <w:rPr>
              <w:rFonts w:ascii="Cambria Math" w:hAnsi="Cambria Math" w:cs="Times New Roman"/>
            </w:rPr>
            <m:t>.</m:t>
          </m:r>
        </m:oMath>
      </m:oMathPara>
    </w:p>
    <w:p w14:paraId="7A1CC22C"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Total covariance is</w:t>
      </w:r>
    </w:p>
    <w:p w14:paraId="3C521483" w14:textId="77777777" w:rsidR="00C32DDD" w:rsidRPr="00A66138" w:rsidRDefault="00000000">
      <w:pPr>
        <w:pStyle w:val="BodyText"/>
        <w:rPr>
          <w:rFonts w:ascii="Times New Roman" w:hAnsi="Times New Roman" w:cs="Times New Roman"/>
        </w:rPr>
      </w:pPr>
      <m:oMathPara>
        <m:oMathParaPr>
          <m:jc m:val="center"/>
        </m:oMathParaPr>
        <m:oMath>
          <m:r>
            <w:rPr>
              <w:rFonts w:ascii="Cambria Math" w:hAnsi="Cambria Math" w:cs="Times New Roman"/>
            </w:rPr>
            <m:t>T</m:t>
          </m:r>
          <m:r>
            <m:rPr>
              <m:sty m:val="p"/>
            </m:rPr>
            <w:rPr>
              <w:rFonts w:ascii="Cambria Math" w:hAnsi="Cambria Math" w:cs="Times New Roman"/>
            </w:rPr>
            <m:t>=</m:t>
          </m:r>
          <m:bar>
            <m:barPr>
              <m:pos m:val="top"/>
              <m:ctrlPr>
                <w:rPr>
                  <w:rFonts w:ascii="Cambria Math" w:hAnsi="Cambria Math" w:cs="Times New Roman"/>
                </w:rPr>
              </m:ctrlPr>
            </m:barPr>
            <m:e>
              <m:r>
                <w:rPr>
                  <w:rFonts w:ascii="Cambria Math" w:hAnsi="Cambria Math" w:cs="Times New Roman"/>
                </w:rPr>
                <m:t>U</m:t>
              </m:r>
            </m:e>
          </m:bar>
          <m:r>
            <m:rPr>
              <m:sty m:val="p"/>
            </m:rPr>
            <w:rPr>
              <w:rFonts w:ascii="Cambria Math" w:hAnsi="Cambria Math" w:cs="Times New Roman"/>
            </w:rPr>
            <m:t>+</m:t>
          </m:r>
          <m:d>
            <m:dPr>
              <m:ctrlPr>
                <w:rPr>
                  <w:rFonts w:ascii="Cambria Math" w:hAnsi="Cambria Math" w:cs="Times New Roman"/>
                </w:rPr>
              </m:ctrlPr>
            </m:dPr>
            <m:e>
              <m:r>
                <w:rPr>
                  <w:rFonts w:ascii="Cambria Math" w:hAnsi="Cambria Math" w:cs="Times New Roman"/>
                </w:rPr>
                <m:t>1</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M</m:t>
                  </m:r>
                </m:den>
              </m:f>
            </m:e>
          </m:d>
          <m:r>
            <w:rPr>
              <w:rFonts w:ascii="Cambria Math" w:hAnsi="Cambria Math" w:cs="Times New Roman"/>
            </w:rPr>
            <m:t>B</m:t>
          </m:r>
          <m:r>
            <m:rPr>
              <m:sty m:val="p"/>
            </m:rPr>
            <w:rPr>
              <w:rFonts w:ascii="Cambria Math" w:hAnsi="Cambria Math" w:cs="Times New Roman"/>
            </w:rPr>
            <m:t>.</m:t>
          </m:r>
        </m:oMath>
      </m:oMathPara>
    </w:p>
    <w:p w14:paraId="33E9A91A"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Standard errors are </w:t>
      </w:r>
      <m:oMath>
        <m:rad>
          <m:radPr>
            <m:degHide m:val="1"/>
            <m:ctrlPr>
              <w:rPr>
                <w:rFonts w:ascii="Cambria Math" w:hAnsi="Cambria Math" w:cs="Times New Roman"/>
              </w:rPr>
            </m:ctrlPr>
          </m:radPr>
          <m:deg/>
          <m:e>
            <m:r>
              <m:rPr>
                <m:sty m:val="p"/>
              </m:rPr>
              <w:rPr>
                <w:rFonts w:ascii="Cambria Math" w:hAnsi="Cambria Math" w:cs="Times New Roman"/>
              </w:rPr>
              <m:t>diag(</m:t>
            </m:r>
            <m:r>
              <w:rPr>
                <w:rFonts w:ascii="Cambria Math" w:hAnsi="Cambria Math" w:cs="Times New Roman"/>
              </w:rPr>
              <m:t>T</m:t>
            </m:r>
            <m:r>
              <m:rPr>
                <m:sty m:val="p"/>
              </m:rPr>
              <w:rPr>
                <w:rFonts w:ascii="Cambria Math" w:hAnsi="Cambria Math" w:cs="Times New Roman"/>
              </w:rPr>
              <m:t>)</m:t>
            </m:r>
          </m:e>
        </m:rad>
      </m:oMath>
      <w:r w:rsidRPr="00A66138">
        <w:rPr>
          <w:rFonts w:ascii="Times New Roman" w:hAnsi="Times New Roman" w:cs="Times New Roman"/>
        </w:rPr>
        <w:t xml:space="preserve">, and displayed 95% intervals are </w:t>
      </w:r>
      <m:oMath>
        <m:acc>
          <m:accPr>
            <m:ctrlPr>
              <w:rPr>
                <w:rFonts w:ascii="Cambria Math" w:hAnsi="Cambria Math" w:cs="Times New Roman"/>
              </w:rPr>
            </m:ctrlPr>
          </m:accPr>
          <m:e>
            <m:r>
              <w:rPr>
                <w:rFonts w:ascii="Cambria Math" w:hAnsi="Cambria Math" w:cs="Times New Roman"/>
              </w:rPr>
              <m:t>θ</m:t>
            </m:r>
          </m:e>
        </m:acc>
        <m:r>
          <m:rPr>
            <m:sty m:val="p"/>
          </m:rPr>
          <w:rPr>
            <w:rFonts w:ascii="Cambria Math" w:hAnsi="Cambria Math" w:cs="Times New Roman"/>
          </w:rPr>
          <m:t>±</m:t>
        </m:r>
        <m:r>
          <w:rPr>
            <w:rFonts w:ascii="Cambria Math" w:hAnsi="Cambria Math" w:cs="Times New Roman"/>
          </w:rPr>
          <m:t>1.96SE</m:t>
        </m:r>
      </m:oMath>
      <w:r w:rsidRPr="00A66138">
        <w:rPr>
          <w:rFonts w:ascii="Times New Roman" w:hAnsi="Times New Roman" w:cs="Times New Roman"/>
        </w:rPr>
        <w:t xml:space="preserve"> (</w:t>
      </w:r>
      <w:hyperlink w:anchor="ref-rubin1987">
        <w:r w:rsidRPr="00A66138">
          <w:rPr>
            <w:rStyle w:val="Hyperlink"/>
            <w:rFonts w:ascii="Times New Roman" w:hAnsi="Times New Roman" w:cs="Times New Roman"/>
          </w:rPr>
          <w:t>Rubin, 1987</w:t>
        </w:r>
      </w:hyperlink>
      <w:r w:rsidRPr="00A66138">
        <w:rPr>
          <w:rFonts w:ascii="Times New Roman" w:hAnsi="Times New Roman" w:cs="Times New Roman"/>
        </w:rPr>
        <w:t>).</w:t>
      </w:r>
    </w:p>
    <w:p w14:paraId="2609172C" w14:textId="77777777" w:rsidR="00C32DDD" w:rsidRPr="00A66138" w:rsidRDefault="00000000">
      <w:pPr>
        <w:pStyle w:val="Heading3"/>
        <w:rPr>
          <w:rFonts w:ascii="Times New Roman" w:hAnsi="Times New Roman" w:cs="Times New Roman"/>
          <w:sz w:val="24"/>
          <w:szCs w:val="24"/>
        </w:rPr>
      </w:pPr>
      <w:bookmarkStart w:id="14" w:name="X6b765d162325e367c3f40a82417938aa0bb3d9e"/>
      <w:bookmarkStart w:id="15" w:name="_Toc237481826"/>
      <w:bookmarkEnd w:id="12"/>
      <w:r w:rsidRPr="00A66138">
        <w:rPr>
          <w:rFonts w:ascii="Times New Roman" w:hAnsi="Times New Roman" w:cs="Times New Roman"/>
          <w:sz w:val="24"/>
          <w:szCs w:val="24"/>
        </w:rPr>
        <w:lastRenderedPageBreak/>
        <w:t>S2.4 Primary common-severity standardization</w:t>
      </w:r>
      <w:bookmarkEnd w:id="15"/>
    </w:p>
    <w:p w14:paraId="45CACCD3"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Within each draw and system, the baseline-BB risk set defines scaled deficits</w:t>
      </w:r>
    </w:p>
    <w:p w14:paraId="10208C54" w14:textId="77777777" w:rsidR="00C32DDD" w:rsidRPr="00A66138" w:rsidRDefault="00000000">
      <w:pPr>
        <w:pStyle w:val="BodyText"/>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M</m:t>
              </m:r>
            </m:sub>
          </m:sSub>
          <m:r>
            <m:rPr>
              <m:sty m:val="p"/>
            </m:rPr>
            <w:rPr>
              <w:rFonts w:ascii="Cambria Math" w:hAnsi="Cambria Math" w:cs="Times New Roman"/>
            </w:rPr>
            <m:t>=(</m:t>
          </m:r>
          <m:r>
            <w:rPr>
              <w:rFonts w:ascii="Cambria Math" w:hAnsi="Cambria Math" w:cs="Times New Roman"/>
            </w:rPr>
            <m:t>475</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0</m:t>
              </m:r>
            </m:sub>
          </m:sSub>
          <m:r>
            <m:rPr>
              <m:sty m:val="p"/>
            </m:rPr>
            <w:rPr>
              <w:rFonts w:ascii="Cambria Math" w:hAnsi="Cambria Math" w:cs="Times New Roman"/>
            </w:rPr>
            <m:t>)/</m:t>
          </m:r>
          <m:r>
            <w:rPr>
              <w:rFonts w:ascii="Cambria Math" w:hAnsi="Cambria Math" w:cs="Times New Roman"/>
            </w:rPr>
            <m:t>100</m:t>
          </m:r>
          <m:r>
            <m:rPr>
              <m:sty m:val="p"/>
            </m:rPr>
            <w:rPr>
              <w:rFonts w:ascii="Cambria Math" w:hAnsi="Cambria Math" w:cs="Times New Roman"/>
            </w:rPr>
            <m:t>,</m:t>
          </m:r>
          <m:r>
            <w:rPr>
              <w:rFonts w:ascii="Cambria Math" w:hAnsi="Cambria Math" w:cs="Times New Roman"/>
            </w:rPr>
            <m:t>  </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S</m:t>
              </m:r>
            </m:sub>
          </m:sSub>
          <m:r>
            <m:rPr>
              <m:sty m:val="p"/>
            </m:rPr>
            <w:rPr>
              <w:rFonts w:ascii="Cambria Math" w:hAnsi="Cambria Math" w:cs="Times New Roman"/>
            </w:rPr>
            <m:t>=(</m:t>
          </m:r>
          <m:r>
            <w:rPr>
              <w:rFonts w:ascii="Cambria Math" w:hAnsi="Cambria Math" w:cs="Times New Roman"/>
            </w:rPr>
            <m:t>475</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0</m:t>
              </m:r>
            </m:sub>
          </m:sSub>
          <m:r>
            <m:rPr>
              <m:sty m:val="p"/>
            </m:rPr>
            <w:rPr>
              <w:rFonts w:ascii="Cambria Math" w:hAnsi="Cambria Math" w:cs="Times New Roman"/>
            </w:rPr>
            <m:t>)/</m:t>
          </m:r>
          <m:r>
            <w:rPr>
              <w:rFonts w:ascii="Cambria Math" w:hAnsi="Cambria Math" w:cs="Times New Roman"/>
            </w:rPr>
            <m:t>100</m:t>
          </m:r>
          <m:r>
            <m:rPr>
              <m:sty m:val="p"/>
            </m:rPr>
            <w:rPr>
              <w:rFonts w:ascii="Cambria Math" w:hAnsi="Cambria Math" w:cs="Times New Roman"/>
            </w:rPr>
            <m:t>.</m:t>
          </m:r>
        </m:oMath>
      </m:oMathPara>
    </w:p>
    <w:p w14:paraId="4BB4258B"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The primary joint-attainment surface is</w:t>
      </w:r>
    </w:p>
    <w:p w14:paraId="591113B8" w14:textId="77777777" w:rsidR="00C32DDD" w:rsidRPr="00A66138" w:rsidRDefault="00000000">
      <w:pPr>
        <w:pStyle w:val="BodyText"/>
        <w:rPr>
          <w:rFonts w:ascii="Times New Roman" w:hAnsi="Times New Roman" w:cs="Times New Roman"/>
        </w:rPr>
      </w:pPr>
      <m:oMathPara>
        <m:oMathParaPr>
          <m:jc m:val="center"/>
        </m:oMathParaPr>
        <m:oMath>
          <m:r>
            <m:rPr>
              <m:sty m:val="p"/>
            </m:rPr>
            <w:rPr>
              <w:rFonts w:ascii="Cambria Math" w:hAnsi="Cambria Math" w:cs="Times New Roman"/>
            </w:rPr>
            <m:t>logit{</m:t>
          </m:r>
          <m:r>
            <w:rPr>
              <w:rFonts w:ascii="Cambria Math" w:hAnsi="Cambria Math" w:cs="Times New Roman"/>
            </w:rPr>
            <m:t>P</m:t>
          </m:r>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M</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S</m:t>
              </m:r>
            </m:sub>
          </m:sSub>
          <m:r>
            <m:rPr>
              <m:sty m:val="p"/>
            </m:rPr>
            <w:rPr>
              <w:rFonts w:ascii="Cambria Math" w:hAnsi="Cambria Math" w:cs="Times New Roman"/>
            </w:rPr>
            <m:t>,</m:t>
          </m:r>
          <m:r>
            <w:rPr>
              <w:rFonts w:ascii="Cambria Math" w:hAnsi="Cambria Math" w:cs="Times New Roman"/>
            </w:rPr>
            <m:t>s</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0s</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1s</m:t>
              </m:r>
            </m:sub>
          </m:s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M</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2s</m:t>
              </m:r>
            </m:sub>
          </m:s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S</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3s</m:t>
              </m:r>
            </m:sub>
          </m:sSub>
          <m:sSubSup>
            <m:sSubSupPr>
              <m:ctrlPr>
                <w:rPr>
                  <w:rFonts w:ascii="Cambria Math" w:hAnsi="Cambria Math" w:cs="Times New Roman"/>
                </w:rPr>
              </m:ctrlPr>
            </m:sSubSupPr>
            <m:e>
              <m:r>
                <w:rPr>
                  <w:rFonts w:ascii="Cambria Math" w:hAnsi="Cambria Math" w:cs="Times New Roman"/>
                </w:rPr>
                <m:t>d</m:t>
              </m:r>
            </m:e>
            <m:sub>
              <m:r>
                <w:rPr>
                  <w:rFonts w:ascii="Cambria Math" w:hAnsi="Cambria Math" w:cs="Times New Roman"/>
                </w:rPr>
                <m:t>M</m:t>
              </m:r>
            </m:sub>
            <m:sup>
              <m:r>
                <w:rPr>
                  <w:rFonts w:ascii="Cambria Math" w:hAnsi="Cambria Math" w:cs="Times New Roman"/>
                </w:rPr>
                <m:t>2</m:t>
              </m:r>
            </m:sup>
          </m:sSubSup>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4s</m:t>
              </m:r>
            </m:sub>
          </m:sSub>
          <m:sSubSup>
            <m:sSubSupPr>
              <m:ctrlPr>
                <w:rPr>
                  <w:rFonts w:ascii="Cambria Math" w:hAnsi="Cambria Math" w:cs="Times New Roman"/>
                </w:rPr>
              </m:ctrlPr>
            </m:sSubSupPr>
            <m:e>
              <m:r>
                <w:rPr>
                  <w:rFonts w:ascii="Cambria Math" w:hAnsi="Cambria Math" w:cs="Times New Roman"/>
                </w:rPr>
                <m:t>d</m:t>
              </m:r>
            </m:e>
            <m:sub>
              <m:r>
                <w:rPr>
                  <w:rFonts w:ascii="Cambria Math" w:hAnsi="Cambria Math" w:cs="Times New Roman"/>
                </w:rPr>
                <m:t>S</m:t>
              </m:r>
            </m:sub>
            <m:sup>
              <m:r>
                <w:rPr>
                  <w:rFonts w:ascii="Cambria Math" w:hAnsi="Cambria Math" w:cs="Times New Roman"/>
                </w:rPr>
                <m:t>2</m:t>
              </m:r>
            </m:sup>
          </m:sSubSup>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5s</m:t>
              </m:r>
            </m:sub>
          </m:s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M</m:t>
              </m:r>
            </m:sub>
          </m:s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S</m:t>
              </m:r>
            </m:sub>
          </m:sSub>
          <m:r>
            <m:rPr>
              <m:sty m:val="p"/>
            </m:rPr>
            <w:rPr>
              <w:rFonts w:ascii="Cambria Math" w:hAnsi="Cambria Math" w:cs="Times New Roman"/>
            </w:rPr>
            <m:t>,</m:t>
          </m:r>
        </m:oMath>
      </m:oMathPara>
    </w:p>
    <w:p w14:paraId="7F2E6BF5"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where </w:t>
      </w:r>
      <m:oMath>
        <m:r>
          <w:rPr>
            <w:rFonts w:ascii="Cambria Math" w:hAnsi="Cambria Math" w:cs="Times New Roman"/>
          </w:rPr>
          <m:t>Y</m:t>
        </m:r>
        <m:r>
          <m:rPr>
            <m:sty m:val="p"/>
          </m:rPr>
          <w:rPr>
            <w:rFonts w:ascii="Cambria Math" w:hAnsi="Cambria Math" w:cs="Times New Roman"/>
          </w:rPr>
          <m:t>=</m:t>
        </m:r>
        <m:r>
          <w:rPr>
            <w:rFonts w:ascii="Cambria Math" w:hAnsi="Cambria Math" w:cs="Times New Roman"/>
          </w:rPr>
          <m:t>I</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1</m:t>
            </m:r>
          </m:sub>
        </m:sSub>
        <m:r>
          <m:rPr>
            <m:sty m:val="p"/>
          </m:rPr>
          <w:rPr>
            <w:rFonts w:ascii="Cambria Math" w:hAnsi="Cambria Math" w:cs="Times New Roman"/>
          </w:rPr>
          <m:t>=</m:t>
        </m:r>
        <m:r>
          <w:rPr>
            <w:rFonts w:ascii="Cambria Math" w:hAnsi="Cambria Math" w:cs="Times New Roman"/>
          </w:rPr>
          <m:t>AA</m:t>
        </m:r>
        <m:r>
          <m:rPr>
            <m:sty m:val="p"/>
          </m:rPr>
          <w:rPr>
            <w:rFonts w:ascii="Cambria Math" w:hAnsi="Cambria Math" w:cs="Times New Roman"/>
          </w:rPr>
          <m:t>)</m:t>
        </m:r>
      </m:oMath>
      <w:r w:rsidRPr="00A66138">
        <w:rPr>
          <w:rFonts w:ascii="Times New Roman" w:hAnsi="Times New Roman" w:cs="Times New Roman"/>
        </w:rPr>
        <w:t xml:space="preserve">. Positive survey weights are divided by their within-fit mean, a constant scaling that leaves weighted score equations unchanged. For numerical stability, prediction evaluates </w:t>
      </w:r>
      <m:oMath>
        <m:sSup>
          <m:sSupPr>
            <m:ctrlPr>
              <w:rPr>
                <w:rFonts w:ascii="Cambria Math" w:hAnsi="Cambria Math" w:cs="Times New Roman"/>
              </w:rPr>
            </m:ctrlPr>
          </m:sSupPr>
          <m:e>
            <m:r>
              <m:rPr>
                <m:sty m:val="p"/>
              </m:rPr>
              <w:rPr>
                <w:rFonts w:ascii="Cambria Math" w:hAnsi="Cambria Math" w:cs="Times New Roman"/>
              </w:rPr>
              <m:t>logit</m:t>
            </m:r>
          </m:e>
          <m:sup>
            <m:r>
              <m:rPr>
                <m:sty m:val="p"/>
              </m:rPr>
              <w:rPr>
                <w:rFonts w:ascii="Cambria Math" w:hAnsi="Cambria Math" w:cs="Times New Roman"/>
              </w:rPr>
              <m:t>-</m:t>
            </m:r>
            <m:r>
              <w:rPr>
                <w:rFonts w:ascii="Cambria Math" w:hAnsi="Cambria Math" w:cs="Times New Roman"/>
              </w:rPr>
              <m:t>1</m:t>
            </m:r>
          </m:sup>
        </m:sSup>
        <m:r>
          <m:rPr>
            <m:sty m:val="p"/>
          </m:rPr>
          <w:rPr>
            <w:rFonts w:ascii="Cambria Math" w:hAnsi="Cambria Math" w:cs="Times New Roman"/>
          </w:rPr>
          <m:t>(</m:t>
        </m:r>
        <m:r>
          <w:rPr>
            <w:rFonts w:ascii="Cambria Math" w:hAnsi="Cambria Math" w:cs="Times New Roman"/>
          </w:rPr>
          <m:t>η</m:t>
        </m:r>
        <m:r>
          <m:rPr>
            <m:sty m:val="p"/>
          </m:rPr>
          <w:rPr>
            <w:rFonts w:ascii="Cambria Math" w:hAnsi="Cambria Math" w:cs="Times New Roman"/>
          </w:rPr>
          <m:t>)</m:t>
        </m:r>
      </m:oMath>
      <w:r w:rsidRPr="00A66138">
        <w:rPr>
          <w:rFonts w:ascii="Times New Roman" w:hAnsi="Times New Roman" w:cs="Times New Roman"/>
        </w:rPr>
        <w:t xml:space="preserve"> after clamping </w:t>
      </w:r>
      <m:oMath>
        <m:r>
          <w:rPr>
            <w:rFonts w:ascii="Cambria Math" w:hAnsi="Cambria Math" w:cs="Times New Roman"/>
          </w:rPr>
          <m:t>η</m:t>
        </m:r>
        <m:r>
          <m:rPr>
            <m:sty m:val="p"/>
          </m:rPr>
          <w:rPr>
            <w:rFonts w:ascii="Cambria Math" w:hAnsi="Cambria Math" w:cs="Times New Roman"/>
          </w:rPr>
          <m:t>=</m:t>
        </m:r>
        <m:r>
          <w:rPr>
            <w:rFonts w:ascii="Cambria Math" w:hAnsi="Cambria Math" w:cs="Times New Roman"/>
          </w:rPr>
          <m:t>X</m:t>
        </m:r>
        <m:acc>
          <m:accPr>
            <m:ctrlPr>
              <w:rPr>
                <w:rFonts w:ascii="Cambria Math" w:hAnsi="Cambria Math" w:cs="Times New Roman"/>
              </w:rPr>
            </m:ctrlPr>
          </m:accPr>
          <m:e>
            <m:r>
              <w:rPr>
                <w:rFonts w:ascii="Cambria Math" w:hAnsi="Cambria Math" w:cs="Times New Roman"/>
              </w:rPr>
              <m:t>β</m:t>
            </m:r>
          </m:e>
        </m:acc>
      </m:oMath>
      <w:r w:rsidRPr="00A66138">
        <w:rPr>
          <w:rFonts w:ascii="Times New Roman" w:hAnsi="Times New Roman" w:cs="Times New Roman"/>
        </w:rPr>
        <w:t xml:space="preserve"> to </w:t>
      </w:r>
      <m:oMath>
        <m:r>
          <m:rPr>
            <m:sty m:val="p"/>
          </m:rPr>
          <w:rPr>
            <w:rFonts w:ascii="Cambria Math" w:hAnsi="Cambria Math" w:cs="Times New Roman"/>
          </w:rPr>
          <m:t>[-</m:t>
        </m:r>
        <m:r>
          <w:rPr>
            <w:rFonts w:ascii="Cambria Math" w:hAnsi="Cambria Math" w:cs="Times New Roman"/>
          </w:rPr>
          <m:t>30</m:t>
        </m:r>
        <m:r>
          <m:rPr>
            <m:sty m:val="p"/>
          </m:rPr>
          <w:rPr>
            <w:rFonts w:ascii="Cambria Math" w:hAnsi="Cambria Math" w:cs="Times New Roman"/>
          </w:rPr>
          <m:t>,</m:t>
        </m:r>
        <m:r>
          <w:rPr>
            <w:rFonts w:ascii="Cambria Math" w:hAnsi="Cambria Math" w:cs="Times New Roman"/>
          </w:rPr>
          <m:t>30</m:t>
        </m:r>
        <m:r>
          <m:rPr>
            <m:sty m:val="p"/>
          </m:rPr>
          <w:rPr>
            <w:rFonts w:ascii="Cambria Math" w:hAnsi="Cambria Math" w:cs="Times New Roman"/>
          </w:rPr>
          <m:t>]</m:t>
        </m:r>
      </m:oMath>
      <w:r w:rsidRPr="00A66138">
        <w:rPr>
          <w:rFonts w:ascii="Times New Roman" w:hAnsi="Times New Roman" w:cs="Times New Roman"/>
        </w:rPr>
        <w:t>. Diagnostics retain the unclamped minimum and maximum and the pooled, own-system, and common-target counts and weighted shares for which clamping occurs.</w:t>
      </w:r>
    </w:p>
    <w:p w14:paraId="32F08858"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For each system, weighted 1st and 99th percentiles are calculated separately for baseline mathematics and science in the BB set. Primary common support is the intersection of the nine marginal intervals. If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isj</m:t>
            </m:r>
          </m:sub>
        </m:sSub>
        <m:r>
          <m:rPr>
            <m:sty m:val="p"/>
          </m:rPr>
          <w:rPr>
            <w:rFonts w:ascii="Cambria Math" w:hAnsi="Cambria Math" w:cs="Times New Roman"/>
          </w:rPr>
          <m:t>=</m:t>
        </m:r>
        <m:r>
          <w:rPr>
            <w:rFonts w:ascii="Cambria Math" w:hAnsi="Cambria Math" w:cs="Times New Roman"/>
          </w:rPr>
          <m:t>1</m:t>
        </m:r>
      </m:oMath>
      <w:r w:rsidRPr="00A66138">
        <w:rPr>
          <w:rFonts w:ascii="Times New Roman" w:hAnsi="Times New Roman" w:cs="Times New Roman"/>
        </w:rPr>
        <w:t xml:space="preserve"> indicates that record </w:t>
      </w:r>
      <m:oMath>
        <m:r>
          <w:rPr>
            <w:rFonts w:ascii="Cambria Math" w:hAnsi="Cambria Math" w:cs="Times New Roman"/>
          </w:rPr>
          <m:t>i</m:t>
        </m:r>
      </m:oMath>
      <w:r w:rsidRPr="00A66138">
        <w:rPr>
          <w:rFonts w:ascii="Times New Roman" w:hAnsi="Times New Roman" w:cs="Times New Roman"/>
        </w:rPr>
        <w:t xml:space="preserve"> lies in the rectangle, its equal-system reference weight is</w:t>
      </w:r>
    </w:p>
    <w:p w14:paraId="50AB78DA" w14:textId="77777777" w:rsidR="00C32DDD" w:rsidRPr="00A66138" w:rsidRDefault="00000000">
      <w:pPr>
        <w:pStyle w:val="BodyText"/>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isj</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9</m:t>
              </m:r>
            </m:den>
          </m:f>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is</m:t>
                  </m:r>
                </m:sub>
              </m:sSub>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isj</m:t>
                  </m:r>
                </m:sub>
              </m:sSub>
            </m:num>
            <m:den>
              <m:nary>
                <m:naryPr>
                  <m:chr m:val="∑"/>
                  <m:limLoc m:val="undOvr"/>
                  <m:supHide m:val="1"/>
                  <m:ctrlPr>
                    <w:rPr>
                      <w:rFonts w:ascii="Cambria Math" w:hAnsi="Cambria Math" w:cs="Times New Roman"/>
                    </w:rPr>
                  </m:ctrlPr>
                </m:naryPr>
                <m:sub>
                  <m:r>
                    <w:rPr>
                      <w:rFonts w:ascii="Cambria Math" w:hAnsi="Cambria Math" w:cs="Times New Roman"/>
                    </w:rPr>
                    <m:t>h</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h</m:t>
                      </m:r>
                    </m:sub>
                  </m:sSub>
                  <m:r>
                    <m:rPr>
                      <m:sty m:val="p"/>
                    </m:rPr>
                    <w:rPr>
                      <w:rFonts w:ascii="Cambria Math" w:hAnsi="Cambria Math" w:cs="Times New Roman"/>
                    </w:rPr>
                    <m:t>=</m:t>
                  </m:r>
                  <m:r>
                    <w:rPr>
                      <w:rFonts w:ascii="Cambria Math" w:hAnsi="Cambria Math" w:cs="Times New Roman"/>
                    </w:rPr>
                    <m:t>s</m:t>
                  </m:r>
                </m:sub>
                <m:sup>
                  <m:r>
                    <w:rPr>
                      <w:rFonts w:ascii="Cambria Math" w:hAnsi="Cambria Math" w:cs="Times New Roman"/>
                    </w:rPr>
                    <m:t>​</m:t>
                  </m:r>
                </m:sup>
                <m:e>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hs</m:t>
                      </m:r>
                    </m:sub>
                  </m:sSub>
                </m:e>
              </m:nary>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hsj</m:t>
                  </m:r>
                </m:sub>
              </m:sSub>
            </m:den>
          </m:f>
          <m:r>
            <m:rPr>
              <m:sty m:val="p"/>
            </m:rPr>
            <w:rPr>
              <w:rFonts w:ascii="Cambria Math" w:hAnsi="Cambria Math" w:cs="Times New Roman"/>
            </w:rPr>
            <m:t>.</m:t>
          </m:r>
        </m:oMath>
      </m:oMathPara>
    </w:p>
    <w:p w14:paraId="5D4817B7"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Each system contributes mass 1/9, regardless of represented population size. The standardized estimate for target system </w:t>
      </w:r>
      <m:oMath>
        <m:r>
          <w:rPr>
            <w:rFonts w:ascii="Cambria Math" w:hAnsi="Cambria Math" w:cs="Times New Roman"/>
          </w:rPr>
          <m:t>s</m:t>
        </m:r>
      </m:oMath>
      <w:r w:rsidRPr="00A66138">
        <w:rPr>
          <w:rFonts w:ascii="Times New Roman" w:hAnsi="Times New Roman" w:cs="Times New Roman"/>
        </w:rPr>
        <w:t xml:space="preserve"> is</w:t>
      </w:r>
    </w:p>
    <w:p w14:paraId="31C29D20" w14:textId="77777777" w:rsidR="00C32DDD" w:rsidRPr="00A66138" w:rsidRDefault="00000000">
      <w:pPr>
        <w:pStyle w:val="BodyText"/>
        <w:rPr>
          <w:rFonts w:ascii="Times New Roman" w:hAnsi="Times New Roman" w:cs="Times New Roman"/>
        </w:rPr>
      </w:pPr>
      <m:oMathPara>
        <m:oMathParaPr>
          <m:jc m:val="center"/>
        </m:oMathParaPr>
        <m:oMath>
          <m:sSubSup>
            <m:sSubSupPr>
              <m:ctrlPr>
                <w:rPr>
                  <w:rFonts w:ascii="Cambria Math" w:hAnsi="Cambria Math" w:cs="Times New Roman"/>
                </w:rPr>
              </m:ctrlPr>
            </m:sSubSupPr>
            <m:e>
              <m:acc>
                <m:accPr>
                  <m:ctrlPr>
                    <w:rPr>
                      <w:rFonts w:ascii="Cambria Math" w:hAnsi="Cambria Math" w:cs="Times New Roman"/>
                    </w:rPr>
                  </m:ctrlPr>
                </m:accPr>
                <m:e>
                  <m:r>
                    <w:rPr>
                      <w:rFonts w:ascii="Cambria Math" w:hAnsi="Cambria Math" w:cs="Times New Roman"/>
                    </w:rPr>
                    <m:t>θ</m:t>
                  </m:r>
                </m:e>
              </m:acc>
            </m:e>
            <m:sub>
              <m:r>
                <w:rPr>
                  <w:rFonts w:ascii="Cambria Math" w:hAnsi="Cambria Math" w:cs="Times New Roman"/>
                </w:rPr>
                <m:t>sj</m:t>
              </m:r>
            </m:sub>
            <m:sup>
              <m:r>
                <m:rPr>
                  <m:sty m:val="p"/>
                </m:rPr>
                <w:rPr>
                  <w:rFonts w:ascii="Cambria Math" w:hAnsi="Cambria Math" w:cs="Times New Roman"/>
                </w:rPr>
                <m:t>standardized common</m:t>
              </m:r>
            </m:sup>
          </m:sSubSup>
          <m:r>
            <m:rPr>
              <m:sty m:val="p"/>
            </m:rPr>
            <w:rPr>
              <w:rFonts w:ascii="Cambria Math" w:hAnsi="Cambria Math" w:cs="Times New Roman"/>
            </w:rPr>
            <m:t>=</m:t>
          </m:r>
          <m:nary>
            <m:naryPr>
              <m:chr m:val="∑"/>
              <m:limLoc m:val="undOvr"/>
              <m:supHide m:val="1"/>
              <m:ctrlPr>
                <w:rPr>
                  <w:rFonts w:ascii="Cambria Math" w:hAnsi="Cambria Math" w:cs="Times New Roman"/>
                </w:rPr>
              </m:ctrlPr>
            </m:naryPr>
            <m:sub>
              <m:r>
                <w:rPr>
                  <w:rFonts w:ascii="Cambria Math" w:hAnsi="Cambria Math" w:cs="Times New Roman"/>
                </w:rPr>
                <m:t>i</m:t>
              </m:r>
            </m:sub>
            <m:sup>
              <m:r>
                <w:rPr>
                  <w:rFonts w:ascii="Cambria Math" w:hAnsi="Cambria Math" w:cs="Times New Roman"/>
                </w:rPr>
                <m:t>​</m:t>
              </m:r>
            </m:sup>
            <m:e>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ij</m:t>
                  </m:r>
                </m:sub>
              </m:sSub>
            </m:e>
          </m:nary>
          <m:sSup>
            <m:sSupPr>
              <m:ctrlPr>
                <w:rPr>
                  <w:rFonts w:ascii="Cambria Math" w:hAnsi="Cambria Math" w:cs="Times New Roman"/>
                </w:rPr>
              </m:ctrlPr>
            </m:sSupPr>
            <m:e>
              <m:r>
                <m:rPr>
                  <m:sty m:val="p"/>
                </m:rPr>
                <w:rPr>
                  <w:rFonts w:ascii="Cambria Math" w:hAnsi="Cambria Math" w:cs="Times New Roman"/>
                </w:rPr>
                <m:t>logit</m:t>
              </m:r>
            </m:e>
            <m:sup>
              <m:r>
                <m:rPr>
                  <m:sty m:val="p"/>
                </m:rPr>
                <w:rPr>
                  <w:rFonts w:ascii="Cambria Math" w:hAnsi="Cambria Math" w:cs="Times New Roman"/>
                </w:rPr>
                <m:t>-</m:t>
              </m:r>
              <m:r>
                <w:rPr>
                  <w:rFonts w:ascii="Cambria Math" w:hAnsi="Cambria Math" w:cs="Times New Roman"/>
                </w:rPr>
                <m:t>1</m:t>
              </m:r>
            </m:sup>
          </m:sSup>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ij</m:t>
              </m:r>
            </m:sub>
          </m:sSub>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β</m:t>
                  </m:r>
                </m:e>
              </m:acc>
            </m:e>
            <m:sub>
              <m:r>
                <w:rPr>
                  <w:rFonts w:ascii="Cambria Math" w:hAnsi="Cambria Math" w:cs="Times New Roman"/>
                </w:rPr>
                <m:t>sj</m:t>
              </m:r>
            </m:sub>
          </m:sSub>
          <m:r>
            <m:rPr>
              <m:sty m:val="p"/>
            </m:rPr>
            <w:rPr>
              <w:rFonts w:ascii="Cambria Math" w:hAnsi="Cambria Math" w:cs="Times New Roman"/>
            </w:rPr>
            <m:t>).</m:t>
          </m:r>
        </m:oMath>
      </m:oMathPara>
    </w:p>
    <w:p w14:paraId="12129FB5"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lastRenderedPageBreak/>
        <w:t>Models use each target system’s complete BB risk set; integration uses the common target. The result is a modeled descriptive quantity under a synthetic one-system/one-vote severity distribution, not a world-student population or causal estimand. Its interpretation therefore requires an explicit target and adequate positivity/support (</w:t>
      </w:r>
      <w:hyperlink w:anchor="ref-keiding2014">
        <w:r w:rsidRPr="00A66138">
          <w:rPr>
            <w:rStyle w:val="Hyperlink"/>
            <w:rFonts w:ascii="Times New Roman" w:hAnsi="Times New Roman" w:cs="Times New Roman"/>
          </w:rPr>
          <w:t>Keiding &amp; Clayton, 2014</w:t>
        </w:r>
      </w:hyperlink>
      <w:r w:rsidRPr="00A66138">
        <w:rPr>
          <w:rFonts w:ascii="Times New Roman" w:hAnsi="Times New Roman" w:cs="Times New Roman"/>
        </w:rPr>
        <w:t xml:space="preserve">; </w:t>
      </w:r>
      <w:hyperlink w:anchor="ref-lane1982">
        <w:r w:rsidRPr="00A66138">
          <w:rPr>
            <w:rStyle w:val="Hyperlink"/>
            <w:rFonts w:ascii="Times New Roman" w:hAnsi="Times New Roman" w:cs="Times New Roman"/>
          </w:rPr>
          <w:t>Lane &amp; Nelder, 1982</w:t>
        </w:r>
      </w:hyperlink>
      <w:r w:rsidRPr="00A66138">
        <w:rPr>
          <w:rFonts w:ascii="Times New Roman" w:hAnsi="Times New Roman" w:cs="Times New Roman"/>
        </w:rPr>
        <w:t xml:space="preserve">; </w:t>
      </w:r>
      <w:hyperlink w:anchor="ref-westreich2010">
        <w:r w:rsidRPr="00A66138">
          <w:rPr>
            <w:rStyle w:val="Hyperlink"/>
            <w:rFonts w:ascii="Times New Roman" w:hAnsi="Times New Roman" w:cs="Times New Roman"/>
          </w:rPr>
          <w:t>Westreich &amp; Cole, 2010</w:t>
        </w:r>
      </w:hyperlink>
      <w:r w:rsidRPr="00A66138">
        <w:rPr>
          <w:rFonts w:ascii="Times New Roman" w:hAnsi="Times New Roman" w:cs="Times New Roman"/>
        </w:rPr>
        <w:t>).</w:t>
      </w:r>
    </w:p>
    <w:p w14:paraId="6F859660" w14:textId="77777777" w:rsidR="00C32DDD" w:rsidRPr="00A66138" w:rsidRDefault="00000000">
      <w:pPr>
        <w:pStyle w:val="Heading3"/>
        <w:rPr>
          <w:rFonts w:ascii="Times New Roman" w:hAnsi="Times New Roman" w:cs="Times New Roman"/>
          <w:sz w:val="24"/>
          <w:szCs w:val="24"/>
        </w:rPr>
      </w:pPr>
      <w:bookmarkStart w:id="16" w:name="X49ee7f9b2d4d99ee5e466d0c188139afa04c555"/>
      <w:bookmarkStart w:id="17" w:name="_Toc237481827"/>
      <w:bookmarkEnd w:id="14"/>
      <w:r w:rsidRPr="00A66138">
        <w:rPr>
          <w:rFonts w:ascii="Times New Roman" w:hAnsi="Times New Roman" w:cs="Times New Roman"/>
          <w:sz w:val="24"/>
          <w:szCs w:val="24"/>
        </w:rPr>
        <w:t>S2.5 Full 168-parameter stacked standardization covariance</w:t>
      </w:r>
      <w:bookmarkEnd w:id="17"/>
    </w:p>
    <w:p w14:paraId="72E6E6D8"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The implemented stack is not limited to the 18 primary raw/standardized quantities. Within each matched draw it contains:</w:t>
      </w:r>
    </w:p>
    <w:p w14:paraId="1F32E3FB" w14:textId="77777777" w:rsidR="00C32DDD" w:rsidRPr="00A66138" w:rsidRDefault="00000000">
      <w:pPr>
        <w:pStyle w:val="Compact"/>
        <w:numPr>
          <w:ilvl w:val="0"/>
          <w:numId w:val="2"/>
        </w:numPr>
        <w:rPr>
          <w:rFonts w:ascii="Times New Roman" w:hAnsi="Times New Roman" w:cs="Times New Roman"/>
        </w:rPr>
      </w:pPr>
      <w:r w:rsidRPr="00A66138">
        <w:rPr>
          <w:rFonts w:ascii="Times New Roman" w:hAnsi="Times New Roman" w:cs="Times New Roman"/>
        </w:rPr>
        <w:t xml:space="preserve">nine </w:t>
      </w:r>
      <w:r w:rsidRPr="00A66138">
        <w:rPr>
          <w:rStyle w:val="VerbatimChar"/>
          <w:rFonts w:ascii="Times New Roman" w:hAnsi="Times New Roman" w:cs="Times New Roman"/>
          <w:sz w:val="24"/>
        </w:rPr>
        <w:t>raw_full</w:t>
      </w:r>
      <w:r w:rsidRPr="00A66138">
        <w:rPr>
          <w:rFonts w:ascii="Times New Roman" w:hAnsi="Times New Roman" w:cs="Times New Roman"/>
        </w:rPr>
        <w:t xml:space="preserve"> quantities shared across specifications;</w:t>
      </w:r>
    </w:p>
    <w:p w14:paraId="7E60E33B" w14:textId="77777777" w:rsidR="00C32DDD" w:rsidRPr="00A66138" w:rsidRDefault="00000000">
      <w:pPr>
        <w:pStyle w:val="Compact"/>
        <w:numPr>
          <w:ilvl w:val="0"/>
          <w:numId w:val="2"/>
        </w:numPr>
        <w:rPr>
          <w:rFonts w:ascii="Times New Roman" w:hAnsi="Times New Roman" w:cs="Times New Roman"/>
        </w:rPr>
      </w:pPr>
      <w:r w:rsidRPr="00A66138">
        <w:rPr>
          <w:rFonts w:ascii="Times New Roman" w:hAnsi="Times New Roman" w:cs="Times New Roman"/>
        </w:rPr>
        <w:t>for each of the five specifications covering all nine systems, three quantities per system—</w:t>
      </w:r>
      <w:r w:rsidRPr="00A66138">
        <w:rPr>
          <w:rStyle w:val="VerbatimChar"/>
          <w:rFonts w:ascii="Times New Roman" w:hAnsi="Times New Roman" w:cs="Times New Roman"/>
          <w:sz w:val="24"/>
        </w:rPr>
        <w:t>raw_support</w:t>
      </w:r>
      <w:r w:rsidRPr="00A66138">
        <w:rPr>
          <w:rFonts w:ascii="Times New Roman" w:hAnsi="Times New Roman" w:cs="Times New Roman"/>
        </w:rPr>
        <w:t xml:space="preserve">, </w:t>
      </w:r>
      <w:r w:rsidRPr="00A66138">
        <w:rPr>
          <w:rStyle w:val="VerbatimChar"/>
          <w:rFonts w:ascii="Times New Roman" w:hAnsi="Times New Roman" w:cs="Times New Roman"/>
          <w:sz w:val="24"/>
        </w:rPr>
        <w:t>model_own_support</w:t>
      </w:r>
      <w:r w:rsidRPr="00A66138">
        <w:rPr>
          <w:rFonts w:ascii="Times New Roman" w:hAnsi="Times New Roman" w:cs="Times New Roman"/>
        </w:rPr>
        <w:t xml:space="preserve">, and </w:t>
      </w:r>
      <w:r w:rsidRPr="00A66138">
        <w:rPr>
          <w:rStyle w:val="VerbatimChar"/>
          <w:rFonts w:ascii="Times New Roman" w:hAnsi="Times New Roman" w:cs="Times New Roman"/>
          <w:sz w:val="24"/>
        </w:rPr>
        <w:t>standardized_common</w:t>
      </w:r>
      <w:r w:rsidRPr="00A66138">
        <w:rPr>
          <w:rFonts w:ascii="Times New Roman" w:hAnsi="Times New Roman" w:cs="Times New Roman"/>
        </w:rPr>
        <w:t xml:space="preserve"> (5 × 9 × 3 = 135); and</w:t>
      </w:r>
    </w:p>
    <w:p w14:paraId="65FA4079" w14:textId="77777777" w:rsidR="00C32DDD" w:rsidRPr="00A66138" w:rsidRDefault="00000000">
      <w:pPr>
        <w:pStyle w:val="Compact"/>
        <w:numPr>
          <w:ilvl w:val="0"/>
          <w:numId w:val="2"/>
        </w:numPr>
        <w:rPr>
          <w:rFonts w:ascii="Times New Roman" w:hAnsi="Times New Roman" w:cs="Times New Roman"/>
        </w:rPr>
      </w:pPr>
      <w:r w:rsidRPr="00A66138">
        <w:rPr>
          <w:rFonts w:ascii="Times New Roman" w:hAnsi="Times New Roman" w:cs="Times New Roman"/>
        </w:rPr>
        <w:t xml:space="preserve">the same three quantities for eight systems under </w:t>
      </w:r>
      <w:r w:rsidRPr="00A66138">
        <w:rPr>
          <w:rStyle w:val="VerbatimChar"/>
          <w:rFonts w:ascii="Times New Roman" w:hAnsi="Times New Roman" w:cs="Times New Roman"/>
          <w:sz w:val="24"/>
        </w:rPr>
        <w:t>leave_korea_out</w:t>
      </w:r>
      <w:r w:rsidRPr="00A66138">
        <w:rPr>
          <w:rFonts w:ascii="Times New Roman" w:hAnsi="Times New Roman" w:cs="Times New Roman"/>
        </w:rPr>
        <w:t xml:space="preserve"> (8 × 3 = 24).</w:t>
      </w:r>
    </w:p>
    <w:p w14:paraId="4C884D54"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The total is 9 + 135 + 24 = </w:t>
      </w:r>
      <w:r w:rsidRPr="00A66138">
        <w:rPr>
          <w:rFonts w:ascii="Times New Roman" w:hAnsi="Times New Roman" w:cs="Times New Roman"/>
          <w:b/>
          <w:bCs/>
        </w:rPr>
        <w:t>168 parameters</w:t>
      </w:r>
      <w:r w:rsidRPr="00A66138">
        <w:rPr>
          <w:rFonts w:ascii="Times New Roman" w:hAnsi="Times New Roman" w:cs="Times New Roman"/>
        </w:rPr>
        <w:t>. The nine raw and nine primary standardized quantities form an exact 18-parameter subvector and covariance submatrix.</w:t>
      </w:r>
    </w:p>
    <w:p w14:paraId="240B7485"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A perturbation in one system can alter common support or target weights used for multiple systems and specifications. For every system/zone/member perturbation, the implementation therefore:</w:t>
      </w:r>
    </w:p>
    <w:p w14:paraId="6681E675" w14:textId="77777777" w:rsidR="00C32DDD" w:rsidRPr="00A66138" w:rsidRDefault="00000000">
      <w:pPr>
        <w:pStyle w:val="Compact"/>
        <w:numPr>
          <w:ilvl w:val="0"/>
          <w:numId w:val="3"/>
        </w:numPr>
        <w:rPr>
          <w:rFonts w:ascii="Times New Roman" w:hAnsi="Times New Roman" w:cs="Times New Roman"/>
        </w:rPr>
      </w:pPr>
      <w:r w:rsidRPr="00A66138">
        <w:rPr>
          <w:rFonts w:ascii="Times New Roman" w:hAnsi="Times New Roman" w:cs="Times New Roman"/>
        </w:rPr>
        <w:t>changes weights only for the selected system and zone;</w:t>
      </w:r>
    </w:p>
    <w:p w14:paraId="20731609" w14:textId="77777777" w:rsidR="00C32DDD" w:rsidRPr="00A66138" w:rsidRDefault="00000000">
      <w:pPr>
        <w:pStyle w:val="Compact"/>
        <w:numPr>
          <w:ilvl w:val="0"/>
          <w:numId w:val="3"/>
        </w:numPr>
        <w:rPr>
          <w:rFonts w:ascii="Times New Roman" w:hAnsi="Times New Roman" w:cs="Times New Roman"/>
        </w:rPr>
      </w:pPr>
      <w:r w:rsidRPr="00A66138">
        <w:rPr>
          <w:rFonts w:ascii="Times New Roman" w:hAnsi="Times New Roman" w:cs="Times New Roman"/>
        </w:rPr>
        <w:t>rebuilds affected 1st–99th percentile bounds and the common rectangle;</w:t>
      </w:r>
    </w:p>
    <w:p w14:paraId="7A211096" w14:textId="77777777" w:rsidR="00C32DDD" w:rsidRPr="00A66138" w:rsidRDefault="00000000">
      <w:pPr>
        <w:pStyle w:val="Compact"/>
        <w:numPr>
          <w:ilvl w:val="0"/>
          <w:numId w:val="3"/>
        </w:numPr>
        <w:rPr>
          <w:rFonts w:ascii="Times New Roman" w:hAnsi="Times New Roman" w:cs="Times New Roman"/>
        </w:rPr>
      </w:pPr>
      <w:r w:rsidRPr="00A66138">
        <w:rPr>
          <w:rFonts w:ascii="Times New Roman" w:hAnsi="Times New Roman" w:cs="Times New Roman"/>
        </w:rPr>
        <w:t>rebuilds strict 4 × 4 cell boundaries, eligibility, and renormalized target when applicable;</w:t>
      </w:r>
    </w:p>
    <w:p w14:paraId="618648F8" w14:textId="77777777" w:rsidR="00C32DDD" w:rsidRPr="00A66138" w:rsidRDefault="00000000">
      <w:pPr>
        <w:pStyle w:val="Compact"/>
        <w:numPr>
          <w:ilvl w:val="0"/>
          <w:numId w:val="3"/>
        </w:numPr>
        <w:rPr>
          <w:rFonts w:ascii="Times New Roman" w:hAnsi="Times New Roman" w:cs="Times New Roman"/>
        </w:rPr>
      </w:pPr>
      <w:r w:rsidRPr="00A66138">
        <w:rPr>
          <w:rFonts w:ascii="Times New Roman" w:hAnsi="Times New Roman" w:cs="Times New Roman"/>
        </w:rPr>
        <w:t>rebuilds equal-system or pooled represented-BB target weights;</w:t>
      </w:r>
    </w:p>
    <w:p w14:paraId="77AA434F" w14:textId="77777777" w:rsidR="00C32DDD" w:rsidRPr="00A66138" w:rsidRDefault="00000000">
      <w:pPr>
        <w:pStyle w:val="Compact"/>
        <w:numPr>
          <w:ilvl w:val="0"/>
          <w:numId w:val="3"/>
        </w:numPr>
        <w:rPr>
          <w:rFonts w:ascii="Times New Roman" w:hAnsi="Times New Roman" w:cs="Times New Roman"/>
        </w:rPr>
      </w:pPr>
      <w:r w:rsidRPr="00A66138">
        <w:rPr>
          <w:rFonts w:ascii="Times New Roman" w:hAnsi="Times New Roman" w:cs="Times New Roman"/>
        </w:rPr>
        <w:lastRenderedPageBreak/>
        <w:t>refits the perturbed system’s applicable response surfaces;</w:t>
      </w:r>
    </w:p>
    <w:p w14:paraId="59E51925" w14:textId="77777777" w:rsidR="00C32DDD" w:rsidRPr="00A66138" w:rsidRDefault="00000000">
      <w:pPr>
        <w:pStyle w:val="Compact"/>
        <w:numPr>
          <w:ilvl w:val="0"/>
          <w:numId w:val="3"/>
        </w:numPr>
        <w:rPr>
          <w:rFonts w:ascii="Times New Roman" w:hAnsi="Times New Roman" w:cs="Times New Roman"/>
        </w:rPr>
      </w:pPr>
      <w:r w:rsidRPr="00A66138">
        <w:rPr>
          <w:rFonts w:ascii="Times New Roman" w:hAnsi="Times New Roman" w:cs="Times New Roman"/>
        </w:rPr>
        <w:t>recomputes every standardized quantity affected by the shared target; and</w:t>
      </w:r>
    </w:p>
    <w:p w14:paraId="45028C6A" w14:textId="77777777" w:rsidR="00C32DDD" w:rsidRPr="00A66138" w:rsidRDefault="00000000">
      <w:pPr>
        <w:pStyle w:val="Compact"/>
        <w:numPr>
          <w:ilvl w:val="0"/>
          <w:numId w:val="3"/>
        </w:numPr>
        <w:rPr>
          <w:rFonts w:ascii="Times New Roman" w:hAnsi="Times New Roman" w:cs="Times New Roman"/>
        </w:rPr>
      </w:pPr>
      <w:r w:rsidRPr="00A66138">
        <w:rPr>
          <w:rFonts w:ascii="Times New Roman" w:hAnsi="Times New Roman" w:cs="Times New Roman"/>
        </w:rPr>
        <w:t>adds one-half the outer product of the full 168-element replicate deviation.</w:t>
      </w:r>
    </w:p>
    <w:p w14:paraId="0DD18E89"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Unperturbed system surfaces remain fixed when their weights do not change, but their standardized quantities are recomputed if the shared target changes. Zones with no BB records have exactly zero risk-set deviation. A replicate is never silently dropped: empty support, an invalid target, rank deficiency, nonconvergence, nonfinite values, or covariance failure stops canonical artifact replacement.</w:t>
      </w:r>
    </w:p>
    <w:p w14:paraId="3B55D0F2"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The five 168 × 168 draw-level covariance matrices are pooled as in S2.3. For any contrast vector </w:t>
      </w:r>
      <m:oMath>
        <m:r>
          <w:rPr>
            <w:rFonts w:ascii="Cambria Math" w:hAnsi="Cambria Math" w:cs="Times New Roman"/>
          </w:rPr>
          <m:t>a</m:t>
        </m:r>
      </m:oMath>
      <w:r w:rsidRPr="00A66138">
        <w:rPr>
          <w:rFonts w:ascii="Times New Roman" w:hAnsi="Times New Roman" w:cs="Times New Roman"/>
        </w:rPr>
        <w:t xml:space="preserve">, </w:t>
      </w:r>
      <m:oMath>
        <m:r>
          <m:rPr>
            <m:sty m:val="p"/>
          </m:rPr>
          <w:rPr>
            <w:rFonts w:ascii="Cambria Math" w:hAnsi="Cambria Math" w:cs="Times New Roman"/>
          </w:rPr>
          <m:t>Var(</m:t>
        </m:r>
        <m:sSup>
          <m:sSupPr>
            <m:ctrlPr>
              <w:rPr>
                <w:rFonts w:ascii="Cambria Math" w:hAnsi="Cambria Math" w:cs="Times New Roman"/>
              </w:rPr>
            </m:ctrlPr>
          </m:sSupPr>
          <m:e>
            <m:r>
              <w:rPr>
                <w:rFonts w:ascii="Cambria Math" w:hAnsi="Cambria Math" w:cs="Times New Roman"/>
              </w:rPr>
              <m:t>a</m:t>
            </m:r>
          </m:e>
          <m:sup>
            <m:r>
              <m:rPr>
                <m:sty m:val="p"/>
              </m:rPr>
              <w:rPr>
                <w:rFonts w:ascii="Cambria Math" w:hAnsi="Cambria Math" w:cs="Times New Roman"/>
              </w:rPr>
              <m:t>⊤</m:t>
            </m:r>
          </m:sup>
        </m:sSup>
        <m:acc>
          <m:accPr>
            <m:ctrlPr>
              <w:rPr>
                <w:rFonts w:ascii="Cambria Math" w:hAnsi="Cambria Math" w:cs="Times New Roman"/>
              </w:rPr>
            </m:ctrlPr>
          </m:accPr>
          <m:e>
            <m:r>
              <m:rPr>
                <m:sty m:val="bi"/>
              </m:rPr>
              <w:rPr>
                <w:rFonts w:ascii="Cambria Math" w:hAnsi="Cambria Math" w:cs="Times New Roman"/>
              </w:rPr>
              <m:t>θ</m:t>
            </m:r>
          </m:e>
        </m:acc>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a</m:t>
            </m:r>
          </m:e>
          <m:sup>
            <m:r>
              <m:rPr>
                <m:sty m:val="p"/>
              </m:rPr>
              <w:rPr>
                <w:rFonts w:ascii="Cambria Math" w:hAnsi="Cambria Math" w:cs="Times New Roman"/>
              </w:rPr>
              <m:t>⊤</m:t>
            </m:r>
          </m:sup>
        </m:sSup>
        <m:r>
          <w:rPr>
            <w:rFonts w:ascii="Cambria Math" w:hAnsi="Cambria Math" w:cs="Times New Roman"/>
          </w:rPr>
          <m:t>Ta</m:t>
        </m:r>
      </m:oMath>
      <w:r w:rsidRPr="00A66138">
        <w:rPr>
          <w:rFonts w:ascii="Times New Roman" w:hAnsi="Times New Roman" w:cs="Times New Roman"/>
        </w:rPr>
        <w:t>. This supplies covariance-aware primary standardized-minus-raw contrasts and all 44 alternative-minus-primary contrasts. Cross-system pairwise standardized contrasts were retained as an unnumbered exploratory reproducibility diagnostic but excluded from the publication tables because multiplicity adjustment does not remove the risk of rank-oriented interpretation.</w:t>
      </w:r>
    </w:p>
    <w:p w14:paraId="663DB013" w14:textId="77777777" w:rsidR="00C32DDD" w:rsidRPr="00A66138" w:rsidRDefault="00000000">
      <w:pPr>
        <w:pStyle w:val="Heading2"/>
        <w:rPr>
          <w:rFonts w:ascii="Times New Roman" w:hAnsi="Times New Roman" w:cs="Times New Roman"/>
          <w:sz w:val="24"/>
          <w:szCs w:val="24"/>
        </w:rPr>
      </w:pPr>
      <w:bookmarkStart w:id="18" w:name="X19fb0bdc01b6434e9a09e12577cf385d3cca7c2"/>
      <w:bookmarkStart w:id="19" w:name="_Toc237481828"/>
      <w:bookmarkEnd w:id="6"/>
      <w:bookmarkEnd w:id="16"/>
      <w:r w:rsidRPr="00A66138">
        <w:rPr>
          <w:rFonts w:ascii="Times New Roman" w:hAnsi="Times New Roman" w:cs="Times New Roman"/>
          <w:sz w:val="24"/>
          <w:szCs w:val="24"/>
        </w:rPr>
        <w:t>S3. Reproduction of official TIMSS-L statistics</w:t>
      </w:r>
      <w:bookmarkEnd w:id="19"/>
    </w:p>
    <w:p w14:paraId="6798B2C6"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The extraction/weighting audit used 24 official source rows spanning Grade 4-to-5 and Grade 8-to-9 means, growth, and available benchmark percentages. Those rows contain 108 scalar point estimates and 102 numeric standard errors; six additional benchmark standard errors are printed as </w:t>
      </w:r>
      <w:r w:rsidRPr="00A66138">
        <w:rPr>
          <w:rStyle w:val="VerbatimChar"/>
          <w:rFonts w:ascii="Times New Roman" w:hAnsi="Times New Roman" w:cs="Times New Roman"/>
          <w:sz w:val="24"/>
        </w:rPr>
        <w:t>~</w:t>
      </w:r>
      <w:r w:rsidRPr="00A66138">
        <w:rPr>
          <w:rFonts w:ascii="Times New Roman" w:hAnsi="Times New Roman" w:cs="Times New Roman"/>
        </w:rPr>
        <w:t xml:space="preserve"> by TIMSS and were recorded as suppressed rather than numeric. All point and numeric-SE checks passed against published rounded values.</w:t>
      </w:r>
    </w:p>
    <w:tbl>
      <w:tblPr>
        <w:tblStyle w:val="Table"/>
        <w:tblW w:w="5000" w:type="pct"/>
        <w:tblLayout w:type="fixed"/>
        <w:tblLook w:val="0020" w:firstRow="1" w:lastRow="0" w:firstColumn="0" w:lastColumn="0" w:noHBand="0" w:noVBand="0"/>
      </w:tblPr>
      <w:tblGrid>
        <w:gridCol w:w="5421"/>
        <w:gridCol w:w="2890"/>
        <w:gridCol w:w="1265"/>
      </w:tblGrid>
      <w:tr w:rsidR="00C32DDD" w:rsidRPr="00A66138" w14:paraId="2E9FA6C8" w14:textId="77777777" w:rsidTr="00C32DDD">
        <w:trPr>
          <w:cnfStyle w:val="100000000000" w:firstRow="1" w:lastRow="0" w:firstColumn="0" w:lastColumn="0" w:oddVBand="0" w:evenVBand="0" w:oddHBand="0" w:evenHBand="0" w:firstRowFirstColumn="0" w:firstRowLastColumn="0" w:lastRowFirstColumn="0" w:lastRowLastColumn="0"/>
          <w:tblHeader/>
        </w:trPr>
        <w:tc>
          <w:tcPr>
            <w:tcW w:w="4483" w:type="dxa"/>
          </w:tcPr>
          <w:p w14:paraId="680F4904"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Validation</w:t>
            </w:r>
          </w:p>
        </w:tc>
        <w:tc>
          <w:tcPr>
            <w:tcW w:w="2390" w:type="dxa"/>
          </w:tcPr>
          <w:p w14:paraId="2D711EA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Value</w:t>
            </w:r>
          </w:p>
        </w:tc>
        <w:tc>
          <w:tcPr>
            <w:tcW w:w="1046" w:type="dxa"/>
          </w:tcPr>
          <w:p w14:paraId="67B1E4B3"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Status</w:t>
            </w:r>
          </w:p>
        </w:tc>
      </w:tr>
      <w:tr w:rsidR="00C32DDD" w:rsidRPr="00A66138" w14:paraId="520F86A7" w14:textId="77777777">
        <w:tc>
          <w:tcPr>
            <w:tcW w:w="4483" w:type="dxa"/>
          </w:tcPr>
          <w:p w14:paraId="3DCE14E2"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 xml:space="preserve">Official point estimates reproduced within rounding </w:t>
            </w:r>
            <w:r w:rsidRPr="00A66138">
              <w:rPr>
                <w:rFonts w:ascii="Times New Roman" w:hAnsi="Times New Roman" w:cs="Times New Roman"/>
              </w:rPr>
              <w:lastRenderedPageBreak/>
              <w:t>tolerance</w:t>
            </w:r>
          </w:p>
        </w:tc>
        <w:tc>
          <w:tcPr>
            <w:tcW w:w="2390" w:type="dxa"/>
          </w:tcPr>
          <w:p w14:paraId="2603EDDB"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lastRenderedPageBreak/>
              <w:t>108 of 108</w:t>
            </w:r>
          </w:p>
        </w:tc>
        <w:tc>
          <w:tcPr>
            <w:tcW w:w="1046" w:type="dxa"/>
          </w:tcPr>
          <w:p w14:paraId="7FC8B688"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2F2EA606" w14:textId="77777777">
        <w:tc>
          <w:tcPr>
            <w:tcW w:w="4483" w:type="dxa"/>
          </w:tcPr>
          <w:p w14:paraId="38AD8943"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Official numeric SEs reproduced and suppressed benchmark SEs handled</w:t>
            </w:r>
          </w:p>
        </w:tc>
        <w:tc>
          <w:tcPr>
            <w:tcW w:w="2390" w:type="dxa"/>
          </w:tcPr>
          <w:p w14:paraId="7477ABF3"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102 of 102; 6 suppressed handled</w:t>
            </w:r>
          </w:p>
        </w:tc>
        <w:tc>
          <w:tcPr>
            <w:tcW w:w="1046" w:type="dxa"/>
          </w:tcPr>
          <w:p w14:paraId="2E0C7699"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227E8AD3" w14:textId="77777777">
        <w:tc>
          <w:tcPr>
            <w:tcW w:w="4483" w:type="dxa"/>
          </w:tcPr>
          <w:p w14:paraId="2BA3F0E0"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Maximum absolute official mean/growth point discrepancy</w:t>
            </w:r>
          </w:p>
        </w:tc>
        <w:tc>
          <w:tcPr>
            <w:tcW w:w="2390" w:type="dxa"/>
          </w:tcPr>
          <w:p w14:paraId="4B5C79CC"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0.4945 TIMSS points</w:t>
            </w:r>
          </w:p>
        </w:tc>
        <w:tc>
          <w:tcPr>
            <w:tcW w:w="1046" w:type="dxa"/>
          </w:tcPr>
          <w:p w14:paraId="35B95855"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4F69FB99" w14:textId="77777777">
        <w:tc>
          <w:tcPr>
            <w:tcW w:w="4483" w:type="dxa"/>
          </w:tcPr>
          <w:p w14:paraId="6BA0813D"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Maximum absolute official benchmark point discrepancy</w:t>
            </w:r>
          </w:p>
        </w:tc>
        <w:tc>
          <w:tcPr>
            <w:tcW w:w="2390" w:type="dxa"/>
          </w:tcPr>
          <w:p w14:paraId="078AF10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0.4924 percentage points</w:t>
            </w:r>
          </w:p>
        </w:tc>
        <w:tc>
          <w:tcPr>
            <w:tcW w:w="1046" w:type="dxa"/>
          </w:tcPr>
          <w:p w14:paraId="784D7AB9"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238D5B90" w14:textId="77777777">
        <w:tc>
          <w:tcPr>
            <w:tcW w:w="4483" w:type="dxa"/>
          </w:tcPr>
          <w:p w14:paraId="2FE6081B"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Maximum absolute official mean/growth SE discrepancy</w:t>
            </w:r>
          </w:p>
        </w:tc>
        <w:tc>
          <w:tcPr>
            <w:tcW w:w="2390" w:type="dxa"/>
          </w:tcPr>
          <w:p w14:paraId="26D1C063"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0.0479 TIMSS points</w:t>
            </w:r>
          </w:p>
        </w:tc>
        <w:tc>
          <w:tcPr>
            <w:tcW w:w="1046" w:type="dxa"/>
          </w:tcPr>
          <w:p w14:paraId="57CE61DE"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734C2D94" w14:textId="77777777">
        <w:tc>
          <w:tcPr>
            <w:tcW w:w="4483" w:type="dxa"/>
          </w:tcPr>
          <w:p w14:paraId="00FE7BF5"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Maximum absolute official benchmark SE discrepancy</w:t>
            </w:r>
          </w:p>
        </w:tc>
        <w:tc>
          <w:tcPr>
            <w:tcW w:w="2390" w:type="dxa"/>
          </w:tcPr>
          <w:p w14:paraId="3DE614E9"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0.0484 percentage points</w:t>
            </w:r>
          </w:p>
        </w:tc>
        <w:tc>
          <w:tcPr>
            <w:tcW w:w="1046" w:type="dxa"/>
          </w:tcPr>
          <w:p w14:paraId="3EBCFD3F"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0F15634C" w14:textId="77777777">
        <w:tc>
          <w:tcPr>
            <w:tcW w:w="4483" w:type="dxa"/>
          </w:tcPr>
          <w:p w14:paraId="4C7D82D9"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Missing longitudinal plausible-value cells</w:t>
            </w:r>
          </w:p>
        </w:tc>
        <w:tc>
          <w:tcPr>
            <w:tcW w:w="2390" w:type="dxa"/>
          </w:tcPr>
          <w:p w14:paraId="061190E2"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0</w:t>
            </w:r>
          </w:p>
        </w:tc>
        <w:tc>
          <w:tcPr>
            <w:tcW w:w="1046" w:type="dxa"/>
          </w:tcPr>
          <w:p w14:paraId="6AEFDD9B"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73D0F12E" w14:textId="77777777">
        <w:tc>
          <w:tcPr>
            <w:tcW w:w="4483" w:type="dxa"/>
          </w:tcPr>
          <w:p w14:paraId="428F01F2"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Sensitivity validation checks passed</w:t>
            </w:r>
          </w:p>
        </w:tc>
        <w:tc>
          <w:tcPr>
            <w:tcW w:w="2390" w:type="dxa"/>
          </w:tcPr>
          <w:p w14:paraId="034A889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13 of 13</w:t>
            </w:r>
          </w:p>
        </w:tc>
        <w:tc>
          <w:tcPr>
            <w:tcW w:w="1046" w:type="dxa"/>
          </w:tcPr>
          <w:p w14:paraId="5D67D7DC"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7A9DDFEA" w14:textId="77777777">
        <w:tc>
          <w:tcPr>
            <w:tcW w:w="4483" w:type="dxa"/>
          </w:tcPr>
          <w:p w14:paraId="31C175E3"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Standardization producer validation checks passed</w:t>
            </w:r>
          </w:p>
        </w:tc>
        <w:tc>
          <w:tcPr>
            <w:tcW w:w="2390" w:type="dxa"/>
          </w:tcPr>
          <w:p w14:paraId="65D448D3"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11 of 11</w:t>
            </w:r>
          </w:p>
        </w:tc>
        <w:tc>
          <w:tcPr>
            <w:tcW w:w="1046" w:type="dxa"/>
          </w:tcPr>
          <w:p w14:paraId="1BFAABCF"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1A348887" w14:textId="77777777">
        <w:tc>
          <w:tcPr>
            <w:tcW w:w="4483" w:type="dxa"/>
          </w:tcPr>
          <w:p w14:paraId="15A40B4C"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Completed fail-fast standardization replicate stages</w:t>
            </w:r>
          </w:p>
        </w:tc>
        <w:tc>
          <w:tcPr>
            <w:tcW w:w="2390" w:type="dxa"/>
          </w:tcPr>
          <w:p w14:paraId="51521CA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7660 of 7660; attempted=7660</w:t>
            </w:r>
          </w:p>
        </w:tc>
        <w:tc>
          <w:tcPr>
            <w:tcW w:w="1046" w:type="dxa"/>
          </w:tcPr>
          <w:p w14:paraId="56231048"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1F5BFDDC" w14:textId="77777777">
        <w:tc>
          <w:tcPr>
            <w:tcW w:w="4483" w:type="dxa"/>
          </w:tcPr>
          <w:p w14:paraId="6C666BDF"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Combined covariance minimum eigenvalue / tolerance</w:t>
            </w:r>
          </w:p>
        </w:tc>
        <w:tc>
          <w:tcPr>
            <w:tcW w:w="2390" w:type="dxa"/>
          </w:tcPr>
          <w:p w14:paraId="30453922"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-4.275395e-18 vs -1e-8</w:t>
            </w:r>
          </w:p>
        </w:tc>
        <w:tc>
          <w:tcPr>
            <w:tcW w:w="1046" w:type="dxa"/>
          </w:tcPr>
          <w:p w14:paraId="6AAD8F36"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3B62174F" w14:textId="77777777">
        <w:tc>
          <w:tcPr>
            <w:tcW w:w="4483" w:type="dxa"/>
          </w:tcPr>
          <w:p w14:paraId="2726A256"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Maximum combined covariance-diagonal SE discrepancy</w:t>
            </w:r>
          </w:p>
        </w:tc>
        <w:tc>
          <w:tcPr>
            <w:tcW w:w="2390" w:type="dxa"/>
          </w:tcPr>
          <w:p w14:paraId="102E86AD"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0e+00</w:t>
            </w:r>
          </w:p>
        </w:tc>
        <w:tc>
          <w:tcPr>
            <w:tcW w:w="1046" w:type="dxa"/>
          </w:tcPr>
          <w:p w14:paraId="63F14E9F"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0A497779" w14:textId="77777777">
        <w:tc>
          <w:tcPr>
            <w:tcW w:w="4483" w:type="dxa"/>
          </w:tcPr>
          <w:p w14:paraId="3D24FA9B"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Primary estimate and SE identity with transition pipeline</w:t>
            </w:r>
          </w:p>
        </w:tc>
        <w:tc>
          <w:tcPr>
            <w:tcW w:w="2390" w:type="dxa"/>
          </w:tcPr>
          <w:p w14:paraId="4EAEDC0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estimate=0e+00; SE=0e+00</w:t>
            </w:r>
          </w:p>
        </w:tc>
        <w:tc>
          <w:tcPr>
            <w:tcW w:w="1046" w:type="dxa"/>
          </w:tcPr>
          <w:p w14:paraId="253C02F0"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r w:rsidR="00C32DDD" w:rsidRPr="00A66138" w14:paraId="67B30D1A" w14:textId="77777777">
        <w:tc>
          <w:tcPr>
            <w:tcW w:w="4483" w:type="dxa"/>
          </w:tcPr>
          <w:p w14:paraId="3F791EF8"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Publication-output gates</w:t>
            </w:r>
          </w:p>
        </w:tc>
        <w:tc>
          <w:tcPr>
            <w:tcW w:w="2390" w:type="dxa"/>
          </w:tcPr>
          <w:p w14:paraId="24A5EAE9"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17 of 17</w:t>
            </w:r>
          </w:p>
        </w:tc>
        <w:tc>
          <w:tcPr>
            <w:tcW w:w="1046" w:type="dxa"/>
          </w:tcPr>
          <w:p w14:paraId="0C31A5D1"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PASS</w:t>
            </w:r>
          </w:p>
        </w:tc>
      </w:tr>
    </w:tbl>
    <w:p w14:paraId="5B0A97E7"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The source-row comparisons are in </w:t>
      </w:r>
      <w:r w:rsidRPr="00A66138">
        <w:rPr>
          <w:rStyle w:val="VerbatimChar"/>
          <w:rFonts w:ascii="Times New Roman" w:hAnsi="Times New Roman" w:cs="Times New Roman"/>
          <w:sz w:val="24"/>
        </w:rPr>
        <w:t>outputs/diagnostics/official_result_validation.csv</w:t>
      </w:r>
      <w:r w:rsidRPr="00A66138">
        <w:rPr>
          <w:rFonts w:ascii="Times New Roman" w:hAnsi="Times New Roman" w:cs="Times New Roman"/>
        </w:rPr>
        <w:t xml:space="preserve"> and </w:t>
      </w:r>
      <w:r w:rsidRPr="00A66138">
        <w:rPr>
          <w:rStyle w:val="VerbatimChar"/>
          <w:rFonts w:ascii="Times New Roman" w:hAnsi="Times New Roman" w:cs="Times New Roman"/>
          <w:sz w:val="24"/>
        </w:rPr>
        <w:t>outputs/diagnostics/official_result_validation_long.csv</w:t>
      </w:r>
      <w:r w:rsidRPr="00A66138">
        <w:rPr>
          <w:rFonts w:ascii="Times New Roman" w:hAnsi="Times New Roman" w:cs="Times New Roman"/>
        </w:rPr>
        <w:t xml:space="preserve">. The compact audit is </w:t>
      </w:r>
      <w:r w:rsidRPr="00A66138">
        <w:rPr>
          <w:rStyle w:val="VerbatimChar"/>
          <w:rFonts w:ascii="Times New Roman" w:hAnsi="Times New Roman" w:cs="Times New Roman"/>
          <w:sz w:val="24"/>
        </w:rPr>
        <w:t>outputs/diagnostics/audit_summary.txt</w:t>
      </w:r>
      <w:r w:rsidRPr="00A66138">
        <w:rPr>
          <w:rFonts w:ascii="Times New Roman" w:hAnsi="Times New Roman" w:cs="Times New Roman"/>
        </w:rPr>
        <w:t xml:space="preserve">; the publication validation-summary file is </w:t>
      </w:r>
      <w:r w:rsidRPr="00A66138">
        <w:rPr>
          <w:rStyle w:val="VerbatimChar"/>
          <w:rFonts w:ascii="Times New Roman" w:hAnsi="Times New Roman" w:cs="Times New Roman"/>
          <w:sz w:val="24"/>
        </w:rPr>
        <w:t>outputs/tables/table_s16_validation_summary.csv</w:t>
      </w:r>
      <w:r w:rsidRPr="00A66138">
        <w:rPr>
          <w:rFonts w:ascii="Times New Roman" w:hAnsi="Times New Roman" w:cs="Times New Roman"/>
        </w:rPr>
        <w:t xml:space="preserve"> and is catalogued in Section S10. Reproducing official marginals validates extraction and weights but not the new joint quantities.</w:t>
      </w:r>
    </w:p>
    <w:p w14:paraId="4072639E" w14:textId="77777777" w:rsidR="00C32DDD" w:rsidRPr="00A66138" w:rsidRDefault="00000000">
      <w:pPr>
        <w:pStyle w:val="Heading2"/>
        <w:rPr>
          <w:rFonts w:ascii="Times New Roman" w:hAnsi="Times New Roman" w:cs="Times New Roman"/>
          <w:sz w:val="24"/>
          <w:szCs w:val="24"/>
        </w:rPr>
      </w:pPr>
      <w:bookmarkStart w:id="20" w:name="s4.-full-four-state-transition-matrices"/>
      <w:bookmarkStart w:id="21" w:name="_Toc237481829"/>
      <w:bookmarkEnd w:id="18"/>
      <w:r w:rsidRPr="00A66138">
        <w:rPr>
          <w:rFonts w:ascii="Times New Roman" w:hAnsi="Times New Roman" w:cs="Times New Roman"/>
          <w:sz w:val="24"/>
          <w:szCs w:val="24"/>
        </w:rPr>
        <w:t>S4. Full four-state transition matrices</w:t>
      </w:r>
      <w:bookmarkEnd w:id="21"/>
    </w:p>
    <w:p w14:paraId="7F64710C"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Table S1, </w:t>
      </w:r>
      <w:r w:rsidRPr="00A66138">
        <w:rPr>
          <w:rStyle w:val="VerbatimChar"/>
          <w:rFonts w:ascii="Times New Roman" w:hAnsi="Times New Roman" w:cs="Times New Roman"/>
          <w:sz w:val="24"/>
        </w:rPr>
        <w:t>outputs/tables/table_s1_full_transition_matrices.csv</w:t>
      </w:r>
      <w:r w:rsidRPr="00A66138">
        <w:rPr>
          <w:rFonts w:ascii="Times New Roman" w:hAnsi="Times New Roman" w:cs="Times New Roman"/>
        </w:rPr>
        <w:t xml:space="preserve">, contains 12 system-by-grade-band matrices × 16 origin–destination cells (192 rows). Table S2, </w:t>
      </w:r>
      <w:r w:rsidRPr="00A66138">
        <w:rPr>
          <w:rStyle w:val="VerbatimChar"/>
          <w:rFonts w:ascii="Times New Roman" w:hAnsi="Times New Roman" w:cs="Times New Roman"/>
          <w:sz w:val="24"/>
        </w:rPr>
        <w:t>table_s2_state_distributions.csv</w:t>
      </w:r>
      <w:r w:rsidRPr="00A66138">
        <w:rPr>
          <w:rFonts w:ascii="Times New Roman" w:hAnsi="Times New Roman" w:cs="Times New Roman"/>
        </w:rPr>
        <w:t xml:space="preserve">, reports 96 baseline/follow-up state shares. Table S3, </w:t>
      </w:r>
      <w:r w:rsidRPr="00A66138">
        <w:rPr>
          <w:rStyle w:val="VerbatimChar"/>
          <w:rFonts w:ascii="Times New Roman" w:hAnsi="Times New Roman" w:cs="Times New Roman"/>
          <w:sz w:val="24"/>
        </w:rPr>
        <w:lastRenderedPageBreak/>
        <w:t>table_s3_continuous_changes.csv</w:t>
      </w:r>
      <w:r w:rsidRPr="00A66138">
        <w:rPr>
          <w:rFonts w:ascii="Times New Roman" w:hAnsi="Times New Roman" w:cs="Times New Roman"/>
        </w:rPr>
        <w:t>, reports 36 mathematics, science, and weakest-domain changes among baseline-BB students.</w:t>
      </w:r>
    </w:p>
    <w:p w14:paraId="4B51D298" w14:textId="77777777" w:rsidR="00C32DDD" w:rsidRPr="00A66138" w:rsidRDefault="00000000">
      <w:pPr>
        <w:pStyle w:val="BodyText"/>
        <w:keepNext/>
        <w:keepLines/>
        <w:rPr>
          <w:rFonts w:ascii="Times New Roman" w:hAnsi="Times New Roman" w:cs="Times New Roman"/>
        </w:rPr>
      </w:pPr>
      <w:r w:rsidRPr="00A66138">
        <w:rPr>
          <w:rFonts w:ascii="Times New Roman" w:hAnsi="Times New Roman" w:cs="Times New Roman"/>
          <w:b/>
          <w:bCs/>
        </w:rPr>
        <w:t>Figure S1.</w:t>
      </w:r>
      <w:r w:rsidRPr="00A66138">
        <w:rPr>
          <w:rFonts w:ascii="Times New Roman" w:hAnsi="Times New Roman" w:cs="Times New Roman"/>
        </w:rPr>
        <w:t xml:space="preserve"> Complete Grade 4-to-5 transition matrices at 475 among below-both (BB), mathematics-below-only (MB), science-below-only (SB), and at/above-both (AA) states. Cells are matched-PV/JRR percentages; each baseline-state row sums to 100% apart from rounding, columns are follow-up states, and darker shading denotes a larger percentage.</w:t>
      </w:r>
    </w:p>
    <w:p w14:paraId="1D08E704"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noProof/>
        </w:rPr>
        <w:drawing>
          <wp:inline distT="0" distB="0" distL="0" distR="0" wp14:anchorId="1CEBC507" wp14:editId="1BF26088">
            <wp:extent cx="5334000" cy="4267199"/>
            <wp:effectExtent l="0" t="0" r="0" b="0"/>
            <wp:docPr id="20" name="Picture" descr="Nine four-by-four heatmaps show Grade 4-to-5 transitions from baseline rows to follow-up columns for BB, MB, SB, and AA. Every cell prints its percentage and darker blue denotes a larger value; BB persistence is highest in Jordan and Kosovo, while AA persistence is highest in Korea, Slovenia, and Sweden." title="Figure S1"/>
            <wp:cNvGraphicFramePr/>
            <a:graphic xmlns:a="http://schemas.openxmlformats.org/drawingml/2006/main">
              <a:graphicData uri="http://schemas.openxmlformats.org/drawingml/2006/picture">
                <pic:pic xmlns:pic="http://schemas.openxmlformats.org/drawingml/2006/picture">
                  <pic:nvPicPr>
                    <pic:cNvPr id="21" name="Figure S1" descr="Nine four-by-four heatmaps show Grade 4-to-5 transitions from baseline rows to follow-up columns for BB, MB, SB, and AA. Every cell prints its percentage and darker blue denotes a larger value; BB persistence is highest in Jordan and Kosovo, while AA persistence is highest in Korea, Slovenia, and Sweden."/>
                    <pic:cNvPicPr>
                      <a:picLocks noChangeAspect="1" noChangeArrowheads="1"/>
                    </pic:cNvPicPr>
                  </pic:nvPicPr>
                  <pic:blipFill>
                    <a:blip r:embed="rId7"/>
                    <a:stretch>
                      <a:fillRect/>
                    </a:stretch>
                  </pic:blipFill>
                  <pic:spPr bwMode="auto">
                    <a:xfrm>
                      <a:off x="0" y="0"/>
                      <a:ext cx="5334000" cy="4267199"/>
                    </a:xfrm>
                    <a:prstGeom prst="rect">
                      <a:avLst/>
                    </a:prstGeom>
                    <a:noFill/>
                    <a:ln w="9525">
                      <a:noFill/>
                      <a:headEnd/>
                      <a:tailEnd/>
                    </a:ln>
                  </pic:spPr>
                </pic:pic>
              </a:graphicData>
            </a:graphic>
          </wp:inline>
        </w:drawing>
      </w:r>
    </w:p>
    <w:p w14:paraId="7993371A"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Each matrix row is conditional on its baseline state and sums to 100% apart from floating-point rounding. Point estimates remain in [0%, 100%]. Because intervals use an untransformed normal approximation, a limit for a sparse nonprimary cell can extend slightly outside that range; limits </w:t>
      </w:r>
      <w:r w:rsidRPr="00A66138">
        <w:rPr>
          <w:rFonts w:ascii="Times New Roman" w:hAnsi="Times New Roman" w:cs="Times New Roman"/>
        </w:rPr>
        <w:lastRenderedPageBreak/>
        <w:t>were not silently truncated. The focal BB-to-AA transition is only one cell: complete matrices distinguish BB persistence, one-domain movement, joint attainment, and movement out of AA.</w:t>
      </w:r>
    </w:p>
    <w:p w14:paraId="1FB5D88F"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Across Grade 4-to-5 systems, mean weakest-domain change among baseline-BB students was 18.7–50.0 TIMSS points, while BB-to-AA probabilities were 5.5%–34.1%. Continuous and categorical quantities answer different questions.</w:t>
      </w:r>
    </w:p>
    <w:p w14:paraId="1E41A005" w14:textId="77777777" w:rsidR="00C32DDD" w:rsidRPr="00A66138" w:rsidRDefault="00000000">
      <w:pPr>
        <w:pStyle w:val="Heading2"/>
        <w:rPr>
          <w:rFonts w:ascii="Times New Roman" w:hAnsi="Times New Roman" w:cs="Times New Roman"/>
          <w:sz w:val="24"/>
          <w:szCs w:val="24"/>
        </w:rPr>
      </w:pPr>
      <w:bookmarkStart w:id="22" w:name="Xb29ed099a0cb4815660f16305c624e6460c5e68"/>
      <w:bookmarkStart w:id="23" w:name="_Toc237481830"/>
      <w:bookmarkEnd w:id="20"/>
      <w:r w:rsidRPr="00A66138">
        <w:rPr>
          <w:rFonts w:ascii="Times New Roman" w:hAnsi="Times New Roman" w:cs="Times New Roman"/>
          <w:sz w:val="24"/>
          <w:szCs w:val="24"/>
        </w:rPr>
        <w:t>S5. Six standardization specifications, decomposition, and overlap</w:t>
      </w:r>
      <w:bookmarkEnd w:id="23"/>
    </w:p>
    <w:p w14:paraId="56A4B0E3"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The primary specification uses all nine systems, equal system mass, the intersection of weighted 1st–99th percentile rectangles, and quadratic-interaction surfaces. Five one-factor sensitivity alternatives were internally frozen before their own estimates were examined, after the primary estimate had been obtained; this internal freeze was not an external preregistration:</w:t>
      </w:r>
    </w:p>
    <w:p w14:paraId="0722E2D7" w14:textId="77777777" w:rsidR="00C32DDD" w:rsidRPr="00A66138" w:rsidRDefault="00000000">
      <w:pPr>
        <w:pStyle w:val="Compact"/>
        <w:numPr>
          <w:ilvl w:val="0"/>
          <w:numId w:val="4"/>
        </w:numPr>
        <w:rPr>
          <w:rFonts w:ascii="Times New Roman" w:hAnsi="Times New Roman" w:cs="Times New Roman"/>
        </w:rPr>
      </w:pPr>
      <w:r w:rsidRPr="00A66138">
        <w:rPr>
          <w:rFonts w:ascii="Times New Roman" w:hAnsi="Times New Roman" w:cs="Times New Roman"/>
        </w:rPr>
        <w:t>pooled represented-BB target using original retained student weights;</w:t>
      </w:r>
    </w:p>
    <w:p w14:paraId="6064F492" w14:textId="77777777" w:rsidR="00C32DDD" w:rsidRPr="00A66138" w:rsidRDefault="00000000">
      <w:pPr>
        <w:pStyle w:val="Compact"/>
        <w:numPr>
          <w:ilvl w:val="0"/>
          <w:numId w:val="4"/>
        </w:numPr>
        <w:rPr>
          <w:rFonts w:ascii="Times New Roman" w:hAnsi="Times New Roman" w:cs="Times New Roman"/>
        </w:rPr>
      </w:pPr>
      <w:r w:rsidRPr="00A66138">
        <w:rPr>
          <w:rFonts w:ascii="Times New Roman" w:hAnsi="Times New Roman" w:cs="Times New Roman"/>
        </w:rPr>
        <w:t>eight-system target leaving the Republic of Korea out, with no Korea estimate;</w:t>
      </w:r>
    </w:p>
    <w:p w14:paraId="1C077429" w14:textId="77777777" w:rsidR="00C32DDD" w:rsidRPr="00A66138" w:rsidRDefault="00000000">
      <w:pPr>
        <w:pStyle w:val="Compact"/>
        <w:numPr>
          <w:ilvl w:val="0"/>
          <w:numId w:val="4"/>
        </w:numPr>
        <w:rPr>
          <w:rFonts w:ascii="Times New Roman" w:hAnsi="Times New Roman" w:cs="Times New Roman"/>
        </w:rPr>
      </w:pPr>
      <w:r w:rsidRPr="00A66138">
        <w:rPr>
          <w:rFonts w:ascii="Times New Roman" w:hAnsi="Times New Roman" w:cs="Times New Roman"/>
        </w:rPr>
        <w:t xml:space="preserve">4 × 4 strict common cells requiring unweighted </w:t>
      </w:r>
      <m:oMath>
        <m:r>
          <w:rPr>
            <w:rFonts w:ascii="Cambria Math" w:hAnsi="Cambria Math" w:cs="Times New Roman"/>
          </w:rPr>
          <m:t>n</m:t>
        </m:r>
        <m:r>
          <m:rPr>
            <m:sty m:val="p"/>
          </m:rPr>
          <w:rPr>
            <w:rFonts w:ascii="Cambria Math" w:hAnsi="Cambria Math" w:cs="Times New Roman"/>
          </w:rPr>
          <m:t>≥</m:t>
        </m:r>
        <m:r>
          <w:rPr>
            <w:rFonts w:ascii="Cambria Math" w:hAnsi="Cambria Math" w:cs="Times New Roman"/>
          </w:rPr>
          <m:t>5</m:t>
        </m:r>
      </m:oMath>
      <w:r w:rsidRPr="00A66138">
        <w:rPr>
          <w:rFonts w:ascii="Times New Roman" w:hAnsi="Times New Roman" w:cs="Times New Roman"/>
        </w:rPr>
        <w:t xml:space="preserve"> and Kish ESS </w:t>
      </w:r>
      <m:oMath>
        <m:r>
          <m:rPr>
            <m:sty m:val="p"/>
          </m:rPr>
          <w:rPr>
            <w:rFonts w:ascii="Cambria Math" w:hAnsi="Cambria Math" w:cs="Times New Roman"/>
          </w:rPr>
          <m:t>≥</m:t>
        </m:r>
        <m:r>
          <w:rPr>
            <w:rFonts w:ascii="Cambria Math" w:hAnsi="Cambria Math" w:cs="Times New Roman"/>
          </w:rPr>
          <m:t>3</m:t>
        </m:r>
      </m:oMath>
      <w:r w:rsidRPr="00A66138">
        <w:rPr>
          <w:rFonts w:ascii="Times New Roman" w:hAnsi="Times New Roman" w:cs="Times New Roman"/>
        </w:rPr>
        <w:t xml:space="preserve"> in every system;</w:t>
      </w:r>
    </w:p>
    <w:p w14:paraId="65000AAE" w14:textId="77777777" w:rsidR="00C32DDD" w:rsidRPr="00A66138" w:rsidRDefault="00000000">
      <w:pPr>
        <w:pStyle w:val="Compact"/>
        <w:numPr>
          <w:ilvl w:val="0"/>
          <w:numId w:val="4"/>
        </w:numPr>
        <w:rPr>
          <w:rFonts w:ascii="Times New Roman" w:hAnsi="Times New Roman" w:cs="Times New Roman"/>
        </w:rPr>
      </w:pPr>
      <w:r w:rsidRPr="00A66138">
        <w:rPr>
          <w:rFonts w:ascii="Times New Roman" w:hAnsi="Times New Roman" w:cs="Times New Roman"/>
        </w:rPr>
        <w:t>additive linear surfaces; and</w:t>
      </w:r>
    </w:p>
    <w:p w14:paraId="4DA6A17B" w14:textId="77777777" w:rsidR="00C32DDD" w:rsidRPr="00A66138" w:rsidRDefault="00000000">
      <w:pPr>
        <w:pStyle w:val="Compact"/>
        <w:numPr>
          <w:ilvl w:val="0"/>
          <w:numId w:val="4"/>
        </w:numPr>
        <w:rPr>
          <w:rFonts w:ascii="Times New Roman" w:hAnsi="Times New Roman" w:cs="Times New Roman"/>
        </w:rPr>
      </w:pPr>
      <w:r w:rsidRPr="00A66138">
        <w:rPr>
          <w:rFonts w:ascii="Times New Roman" w:hAnsi="Times New Roman" w:cs="Times New Roman"/>
        </w:rPr>
        <w:t>linear-interaction surfaces without squared terms.</w:t>
      </w:r>
    </w:p>
    <w:p w14:paraId="0C8DD795"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Table S4, </w:t>
      </w:r>
      <w:r w:rsidRPr="00A66138">
        <w:rPr>
          <w:rStyle w:val="VerbatimChar"/>
          <w:rFonts w:ascii="Times New Roman" w:hAnsi="Times New Roman" w:cs="Times New Roman"/>
          <w:sz w:val="24"/>
        </w:rPr>
        <w:t>table_s4_standardization_specification_decomposition.csv</w:t>
      </w:r>
      <w:r w:rsidRPr="00A66138">
        <w:rPr>
          <w:rFonts w:ascii="Times New Roman" w:hAnsi="Times New Roman" w:cs="Times New Roman"/>
        </w:rPr>
        <w:t xml:space="preserve">, reports all 53 applicable specification-system rows. For each it retains </w:t>
      </w:r>
      <w:r w:rsidRPr="00A66138">
        <w:rPr>
          <w:rStyle w:val="VerbatimChar"/>
          <w:rFonts w:ascii="Times New Roman" w:hAnsi="Times New Roman" w:cs="Times New Roman"/>
          <w:sz w:val="24"/>
        </w:rPr>
        <w:t>raw_full</w:t>
      </w:r>
      <w:r w:rsidRPr="00A66138">
        <w:rPr>
          <w:rFonts w:ascii="Times New Roman" w:hAnsi="Times New Roman" w:cs="Times New Roman"/>
        </w:rPr>
        <w:t xml:space="preserve">, </w:t>
      </w:r>
      <w:r w:rsidRPr="00A66138">
        <w:rPr>
          <w:rStyle w:val="VerbatimChar"/>
          <w:rFonts w:ascii="Times New Roman" w:hAnsi="Times New Roman" w:cs="Times New Roman"/>
          <w:sz w:val="24"/>
        </w:rPr>
        <w:t>raw_support</w:t>
      </w:r>
      <w:r w:rsidRPr="00A66138">
        <w:rPr>
          <w:rFonts w:ascii="Times New Roman" w:hAnsi="Times New Roman" w:cs="Times New Roman"/>
        </w:rPr>
        <w:t xml:space="preserve">, </w:t>
      </w:r>
      <w:r w:rsidRPr="00A66138">
        <w:rPr>
          <w:rStyle w:val="VerbatimChar"/>
          <w:rFonts w:ascii="Times New Roman" w:hAnsi="Times New Roman" w:cs="Times New Roman"/>
          <w:sz w:val="24"/>
        </w:rPr>
        <w:t>model_own_support</w:t>
      </w:r>
      <w:r w:rsidRPr="00A66138">
        <w:rPr>
          <w:rFonts w:ascii="Times New Roman" w:hAnsi="Times New Roman" w:cs="Times New Roman"/>
        </w:rPr>
        <w:t xml:space="preserve">, and </w:t>
      </w:r>
      <w:r w:rsidRPr="00A66138">
        <w:rPr>
          <w:rStyle w:val="VerbatimChar"/>
          <w:rFonts w:ascii="Times New Roman" w:hAnsi="Times New Roman" w:cs="Times New Roman"/>
          <w:sz w:val="24"/>
        </w:rPr>
        <w:t>standardized_common</w:t>
      </w:r>
      <w:r w:rsidRPr="00A66138">
        <w:rPr>
          <w:rFonts w:ascii="Times New Roman" w:hAnsi="Times New Roman" w:cs="Times New Roman"/>
        </w:rPr>
        <w:t>, with the exact identity</w:t>
      </w:r>
    </w:p>
    <w:p w14:paraId="3894382F" w14:textId="77777777" w:rsidR="00C32DDD" w:rsidRPr="00A66138" w:rsidRDefault="00000000">
      <w:pPr>
        <w:pStyle w:val="BodyText"/>
        <w:rPr>
          <w:rFonts w:ascii="Times New Roman" w:hAnsi="Times New Roman" w:cs="Times New Roman"/>
        </w:rPr>
      </w:pPr>
      <m:oMathPara>
        <m:oMathParaPr>
          <m:jc m:val="center"/>
        </m:oMathParaPr>
        <m:oMath>
          <m:eqArr>
            <m:eqArrPr>
              <m:ctrlPr>
                <w:rPr>
                  <w:rFonts w:ascii="Cambria Math" w:hAnsi="Cambria Math" w:cs="Times New Roman"/>
                </w:rPr>
              </m:ctrlPr>
            </m:eqArrPr>
            <m:e>
              <m:r>
                <w:rPr>
                  <w:rFonts w:ascii="Cambria Math" w:hAnsi="Cambria Math" w:cs="Times New Roman"/>
                </w:rPr>
                <m:t>&amp;</m:t>
              </m:r>
              <m:r>
                <m:rPr>
                  <m:sty m:val="p"/>
                </m:rPr>
                <w:rPr>
                  <w:rFonts w:ascii="Cambria Math" w:hAnsi="Cambria Math" w:cs="Times New Roman"/>
                </w:rPr>
                <m:t>standardized_common-raw_full</m:t>
              </m:r>
            </m:e>
            <m:e>
              <m:r>
                <m:rPr>
                  <m:sty m:val="p"/>
                </m:rPr>
                <w:rPr>
                  <w:rFonts w:ascii="Cambria Math" w:hAnsi="Cambria Math" w:cs="Times New Roman"/>
                </w:rPr>
                <m:t>=</m:t>
              </m:r>
              <m:r>
                <w:rPr>
                  <w:rFonts w:ascii="Cambria Math" w:hAnsi="Cambria Math" w:cs="Times New Roman"/>
                </w:rPr>
                <m:t>​&amp;</m:t>
              </m:r>
              <m:r>
                <m:rPr>
                  <m:sty m:val="p"/>
                </m:rPr>
                <w:rPr>
                  <w:rFonts w:ascii="Cambria Math" w:hAnsi="Cambria Math" w:cs="Times New Roman"/>
                </w:rPr>
                <m:t>(raw_support-raw_full)</m:t>
              </m:r>
            </m:e>
            <m:e>
              <m:r>
                <w:rPr>
                  <w:rFonts w:ascii="Cambria Math" w:hAnsi="Cambria Math" w:cs="Times New Roman"/>
                </w:rPr>
                <m:t>&amp;</m:t>
              </m:r>
              <m:r>
                <m:rPr>
                  <m:sty m:val="p"/>
                </m:rPr>
                <w:rPr>
                  <w:rFonts w:ascii="Cambria Math" w:hAnsi="Cambria Math" w:cs="Times New Roman"/>
                </w:rPr>
                <m:t>+(model_own_support-raw_support)</m:t>
              </m:r>
            </m:e>
            <m:e>
              <m:r>
                <w:rPr>
                  <w:rFonts w:ascii="Cambria Math" w:hAnsi="Cambria Math" w:cs="Times New Roman"/>
                </w:rPr>
                <m:t>&amp;</m:t>
              </m:r>
              <m:r>
                <m:rPr>
                  <m:sty m:val="p"/>
                </m:rPr>
                <w:rPr>
                  <w:rFonts w:ascii="Cambria Math" w:hAnsi="Cambria Math" w:cs="Times New Roman"/>
                </w:rPr>
                <m:t>+(standardized_common-model_own_support).</m:t>
              </m:r>
            </m:e>
          </m:eqArr>
        </m:oMath>
      </m:oMathPara>
    </w:p>
    <w:p w14:paraId="293C40BC"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lastRenderedPageBreak/>
        <w:t xml:space="preserve">The terms are labeled </w:t>
      </w:r>
      <w:r w:rsidRPr="00A66138">
        <w:rPr>
          <w:rFonts w:ascii="Times New Roman" w:hAnsi="Times New Roman" w:cs="Times New Roman"/>
          <w:b/>
          <w:bCs/>
        </w:rPr>
        <w:t>support restriction</w:t>
      </w:r>
      <w:r w:rsidRPr="00A66138">
        <w:rPr>
          <w:rFonts w:ascii="Times New Roman" w:hAnsi="Times New Roman" w:cs="Times New Roman"/>
        </w:rPr>
        <w:t xml:space="preserve">, </w:t>
      </w:r>
      <w:r w:rsidRPr="00A66138">
        <w:rPr>
          <w:rFonts w:ascii="Times New Roman" w:hAnsi="Times New Roman" w:cs="Times New Roman"/>
          <w:b/>
          <w:bCs/>
        </w:rPr>
        <w:t>in-support model calibration</w:t>
      </w:r>
      <w:r w:rsidRPr="00A66138">
        <w:rPr>
          <w:rFonts w:ascii="Times New Roman" w:hAnsi="Times New Roman" w:cs="Times New Roman"/>
        </w:rPr>
        <w:t xml:space="preserve">, and </w:t>
      </w:r>
      <w:r w:rsidRPr="00A66138">
        <w:rPr>
          <w:rFonts w:ascii="Times New Roman" w:hAnsi="Times New Roman" w:cs="Times New Roman"/>
          <w:b/>
          <w:bCs/>
        </w:rPr>
        <w:t>modeled target distribution</w:t>
      </w:r>
      <w:r w:rsidRPr="00A66138">
        <w:rPr>
          <w:rFonts w:ascii="Times New Roman" w:hAnsi="Times New Roman" w:cs="Times New Roman"/>
        </w:rPr>
        <w:t>. They are specification-dependent descriptive/model-based components, not causal effects or a pure composition decomposition.</w:t>
      </w:r>
    </w:p>
    <w:p w14:paraId="078C4816"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Table S5, </w:t>
      </w:r>
      <w:r w:rsidRPr="00A66138">
        <w:rPr>
          <w:rStyle w:val="VerbatimChar"/>
          <w:rFonts w:ascii="Times New Roman" w:hAnsi="Times New Roman" w:cs="Times New Roman"/>
          <w:sz w:val="24"/>
        </w:rPr>
        <w:t>table_s5_standardization_alternative_contrasts.csv</w:t>
      </w:r>
      <w:r w:rsidRPr="00A66138">
        <w:rPr>
          <w:rFonts w:ascii="Times New Roman" w:hAnsi="Times New Roman" w:cs="Times New Roman"/>
        </w:rPr>
        <w:t>, reports 44 covariance-aware alternative-minus-primary contrasts. Point differences ranged from −1.0 to +3.7 percentage points, and none of the individual 95% intervals excluded zero. This does not establish equivalence: standard errors reached 7.9 points, and the widest strict-cell interval was −12.3 to +18.6 points. The strict-common-cell alternative retained 10–11 of 16 cells and 75.83%–85.89% of target mass before renormalization, but replicate-wise support rebuilding produced wide intervals. It is an instability sensitivity, not a preferred replacement.</w:t>
      </w:r>
    </w:p>
    <w:p w14:paraId="2BB63B07"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Primary overlap diagnostics assess weighted risk-set retention, Kish ESS, reference mass within each target’s empirical convex hull, and reference mass in occupied cells of a 5 × 5 common-support </w:t>
      </w:r>
      <w:proofErr w:type="gramStart"/>
      <w:r w:rsidRPr="00A66138">
        <w:rPr>
          <w:rFonts w:ascii="Times New Roman" w:hAnsi="Times New Roman" w:cs="Times New Roman"/>
        </w:rPr>
        <w:t>grid</w:t>
      </w:r>
      <w:proofErr w:type="gramEnd"/>
      <w:r w:rsidRPr="00A66138">
        <w:rPr>
          <w:rFonts w:ascii="Times New Roman" w:hAnsi="Times New Roman" w:cs="Times New Roman"/>
        </w:rPr>
        <w:t>.</w:t>
      </w:r>
    </w:p>
    <w:tbl>
      <w:tblPr>
        <w:tblStyle w:val="Table"/>
        <w:tblW w:w="5000" w:type="pct"/>
        <w:tblLayout w:type="fixed"/>
        <w:tblLook w:val="0020" w:firstRow="1" w:lastRow="0" w:firstColumn="0" w:lastColumn="0" w:noHBand="0" w:noVBand="0"/>
      </w:tblPr>
      <w:tblGrid>
        <w:gridCol w:w="1250"/>
        <w:gridCol w:w="1666"/>
        <w:gridCol w:w="1665"/>
        <w:gridCol w:w="1665"/>
        <w:gridCol w:w="1665"/>
        <w:gridCol w:w="1665"/>
      </w:tblGrid>
      <w:tr w:rsidR="00C32DDD" w:rsidRPr="00A66138" w14:paraId="210ABF2F" w14:textId="77777777" w:rsidTr="00C32DDD">
        <w:trPr>
          <w:cnfStyle w:val="100000000000" w:firstRow="1" w:lastRow="0" w:firstColumn="0" w:lastColumn="0" w:oddVBand="0" w:evenVBand="0" w:oddHBand="0" w:evenHBand="0" w:firstRowFirstColumn="0" w:firstRowLastColumn="0" w:lastRowFirstColumn="0" w:lastRowLastColumn="0"/>
          <w:tblHeader/>
        </w:trPr>
        <w:tc>
          <w:tcPr>
            <w:tcW w:w="1033" w:type="dxa"/>
          </w:tcPr>
          <w:p w14:paraId="09033684"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System</w:t>
            </w:r>
          </w:p>
        </w:tc>
        <w:tc>
          <w:tcPr>
            <w:tcW w:w="1377" w:type="dxa"/>
          </w:tcPr>
          <w:p w14:paraId="5B4F178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Mean retained weight, %</w:t>
            </w:r>
          </w:p>
        </w:tc>
        <w:tc>
          <w:tcPr>
            <w:tcW w:w="1377" w:type="dxa"/>
          </w:tcPr>
          <w:p w14:paraId="044785DF"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Minimum retained weight, %</w:t>
            </w:r>
          </w:p>
        </w:tc>
        <w:tc>
          <w:tcPr>
            <w:tcW w:w="1377" w:type="dxa"/>
          </w:tcPr>
          <w:p w14:paraId="46E762F9"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Minimum support ESS</w:t>
            </w:r>
          </w:p>
        </w:tc>
        <w:tc>
          <w:tcPr>
            <w:tcW w:w="1377" w:type="dxa"/>
          </w:tcPr>
          <w:p w14:paraId="35CCD5A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Mean reference mass inside hull, %</w:t>
            </w:r>
          </w:p>
        </w:tc>
        <w:tc>
          <w:tcPr>
            <w:tcW w:w="1377" w:type="dxa"/>
          </w:tcPr>
          <w:p w14:paraId="0E2E4B4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Mean reference mass in cells with at least 5 cases, %</w:t>
            </w:r>
          </w:p>
        </w:tc>
      </w:tr>
      <w:tr w:rsidR="00C32DDD" w:rsidRPr="00A66138" w14:paraId="1B1C9C15" w14:textId="77777777">
        <w:tc>
          <w:tcPr>
            <w:tcW w:w="1033" w:type="dxa"/>
          </w:tcPr>
          <w:p w14:paraId="34552021"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Georgia</w:t>
            </w:r>
          </w:p>
        </w:tc>
        <w:tc>
          <w:tcPr>
            <w:tcW w:w="1377" w:type="dxa"/>
          </w:tcPr>
          <w:p w14:paraId="40BE525A"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86.5</w:t>
            </w:r>
          </w:p>
        </w:tc>
        <w:tc>
          <w:tcPr>
            <w:tcW w:w="1377" w:type="dxa"/>
          </w:tcPr>
          <w:p w14:paraId="606A21A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84.3</w:t>
            </w:r>
          </w:p>
        </w:tc>
        <w:tc>
          <w:tcPr>
            <w:tcW w:w="1377" w:type="dxa"/>
          </w:tcPr>
          <w:p w14:paraId="629A1780"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896.5</w:t>
            </w:r>
          </w:p>
        </w:tc>
        <w:tc>
          <w:tcPr>
            <w:tcW w:w="1377" w:type="dxa"/>
          </w:tcPr>
          <w:p w14:paraId="4C8471CD"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97.8</w:t>
            </w:r>
          </w:p>
        </w:tc>
        <w:tc>
          <w:tcPr>
            <w:tcW w:w="1377" w:type="dxa"/>
          </w:tcPr>
          <w:p w14:paraId="100E9952"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99.0</w:t>
            </w:r>
          </w:p>
        </w:tc>
      </w:tr>
      <w:tr w:rsidR="00C32DDD" w:rsidRPr="00A66138" w14:paraId="537385C8" w14:textId="77777777">
        <w:tc>
          <w:tcPr>
            <w:tcW w:w="1033" w:type="dxa"/>
          </w:tcPr>
          <w:p w14:paraId="339C9B6F"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Italy</w:t>
            </w:r>
          </w:p>
        </w:tc>
        <w:tc>
          <w:tcPr>
            <w:tcW w:w="1377" w:type="dxa"/>
          </w:tcPr>
          <w:p w14:paraId="1A03C7F2"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83.8</w:t>
            </w:r>
          </w:p>
        </w:tc>
        <w:tc>
          <w:tcPr>
            <w:tcW w:w="1377" w:type="dxa"/>
          </w:tcPr>
          <w:p w14:paraId="1E1A417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81.8</w:t>
            </w:r>
          </w:p>
        </w:tc>
        <w:tc>
          <w:tcPr>
            <w:tcW w:w="1377" w:type="dxa"/>
          </w:tcPr>
          <w:p w14:paraId="704F498D"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642.0</w:t>
            </w:r>
          </w:p>
        </w:tc>
        <w:tc>
          <w:tcPr>
            <w:tcW w:w="1377" w:type="dxa"/>
          </w:tcPr>
          <w:p w14:paraId="2CC58AB4"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96.9</w:t>
            </w:r>
          </w:p>
        </w:tc>
        <w:tc>
          <w:tcPr>
            <w:tcW w:w="1377" w:type="dxa"/>
          </w:tcPr>
          <w:p w14:paraId="3166E532"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98.3</w:t>
            </w:r>
          </w:p>
        </w:tc>
      </w:tr>
      <w:tr w:rsidR="00C32DDD" w:rsidRPr="00A66138" w14:paraId="678FADCB" w14:textId="77777777">
        <w:tc>
          <w:tcPr>
            <w:tcW w:w="1033" w:type="dxa"/>
          </w:tcPr>
          <w:p w14:paraId="11E02299"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Jordan</w:t>
            </w:r>
          </w:p>
        </w:tc>
        <w:tc>
          <w:tcPr>
            <w:tcW w:w="1377" w:type="dxa"/>
          </w:tcPr>
          <w:p w14:paraId="5E9C125C"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68.0</w:t>
            </w:r>
          </w:p>
        </w:tc>
        <w:tc>
          <w:tcPr>
            <w:tcW w:w="1377" w:type="dxa"/>
          </w:tcPr>
          <w:p w14:paraId="247937E7"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64.1</w:t>
            </w:r>
          </w:p>
        </w:tc>
        <w:tc>
          <w:tcPr>
            <w:tcW w:w="1377" w:type="dxa"/>
          </w:tcPr>
          <w:p w14:paraId="596262A5"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1,285.9</w:t>
            </w:r>
          </w:p>
        </w:tc>
        <w:tc>
          <w:tcPr>
            <w:tcW w:w="1377" w:type="dxa"/>
          </w:tcPr>
          <w:p w14:paraId="2E6F49F4"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99.2</w:t>
            </w:r>
          </w:p>
        </w:tc>
        <w:tc>
          <w:tcPr>
            <w:tcW w:w="1377" w:type="dxa"/>
          </w:tcPr>
          <w:p w14:paraId="7E74F2B3"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100.0</w:t>
            </w:r>
          </w:p>
        </w:tc>
      </w:tr>
      <w:tr w:rsidR="00C32DDD" w:rsidRPr="00A66138" w14:paraId="591A621C" w14:textId="77777777">
        <w:tc>
          <w:tcPr>
            <w:tcW w:w="1033" w:type="dxa"/>
          </w:tcPr>
          <w:p w14:paraId="0E0B2CD3"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Republic of Korea</w:t>
            </w:r>
          </w:p>
        </w:tc>
        <w:tc>
          <w:tcPr>
            <w:tcW w:w="1377" w:type="dxa"/>
          </w:tcPr>
          <w:p w14:paraId="5DC35997"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79.9</w:t>
            </w:r>
          </w:p>
        </w:tc>
        <w:tc>
          <w:tcPr>
            <w:tcW w:w="1377" w:type="dxa"/>
          </w:tcPr>
          <w:p w14:paraId="2A50E5E0"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76.4</w:t>
            </w:r>
          </w:p>
        </w:tc>
        <w:tc>
          <w:tcPr>
            <w:tcW w:w="1377" w:type="dxa"/>
          </w:tcPr>
          <w:p w14:paraId="7C8F8B0D"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88.3</w:t>
            </w:r>
          </w:p>
        </w:tc>
        <w:tc>
          <w:tcPr>
            <w:tcW w:w="1377" w:type="dxa"/>
          </w:tcPr>
          <w:p w14:paraId="29D67945"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92.7</w:t>
            </w:r>
          </w:p>
        </w:tc>
        <w:tc>
          <w:tcPr>
            <w:tcW w:w="1377" w:type="dxa"/>
          </w:tcPr>
          <w:p w14:paraId="23F7162C"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58.0</w:t>
            </w:r>
          </w:p>
        </w:tc>
      </w:tr>
      <w:tr w:rsidR="00C32DDD" w:rsidRPr="00A66138" w14:paraId="5DEBB9A8" w14:textId="77777777">
        <w:tc>
          <w:tcPr>
            <w:tcW w:w="1033" w:type="dxa"/>
          </w:tcPr>
          <w:p w14:paraId="6432BAFD"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Kosovo</w:t>
            </w:r>
          </w:p>
        </w:tc>
        <w:tc>
          <w:tcPr>
            <w:tcW w:w="1377" w:type="dxa"/>
          </w:tcPr>
          <w:p w14:paraId="093C6E8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82.1</w:t>
            </w:r>
          </w:p>
        </w:tc>
        <w:tc>
          <w:tcPr>
            <w:tcW w:w="1377" w:type="dxa"/>
          </w:tcPr>
          <w:p w14:paraId="6E69ED9D"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78.4</w:t>
            </w:r>
          </w:p>
        </w:tc>
        <w:tc>
          <w:tcPr>
            <w:tcW w:w="1377" w:type="dxa"/>
          </w:tcPr>
          <w:p w14:paraId="70CD8A6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1,419.5</w:t>
            </w:r>
          </w:p>
        </w:tc>
        <w:tc>
          <w:tcPr>
            <w:tcW w:w="1377" w:type="dxa"/>
          </w:tcPr>
          <w:p w14:paraId="18449B7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97.6</w:t>
            </w:r>
          </w:p>
        </w:tc>
        <w:tc>
          <w:tcPr>
            <w:tcW w:w="1377" w:type="dxa"/>
          </w:tcPr>
          <w:p w14:paraId="1B0D07AA"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98.5</w:t>
            </w:r>
          </w:p>
        </w:tc>
      </w:tr>
      <w:tr w:rsidR="00C32DDD" w:rsidRPr="00A66138" w14:paraId="1B96F412" w14:textId="77777777">
        <w:tc>
          <w:tcPr>
            <w:tcW w:w="1033" w:type="dxa"/>
          </w:tcPr>
          <w:p w14:paraId="373E4503"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Montenegro</w:t>
            </w:r>
          </w:p>
        </w:tc>
        <w:tc>
          <w:tcPr>
            <w:tcW w:w="1377" w:type="dxa"/>
          </w:tcPr>
          <w:p w14:paraId="6AEA5BE7"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84.9</w:t>
            </w:r>
          </w:p>
        </w:tc>
        <w:tc>
          <w:tcPr>
            <w:tcW w:w="1377" w:type="dxa"/>
          </w:tcPr>
          <w:p w14:paraId="3BD4A8A0"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82.8</w:t>
            </w:r>
          </w:p>
        </w:tc>
        <w:tc>
          <w:tcPr>
            <w:tcW w:w="1377" w:type="dxa"/>
          </w:tcPr>
          <w:p w14:paraId="6855D7C4"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1,451.5</w:t>
            </w:r>
          </w:p>
        </w:tc>
        <w:tc>
          <w:tcPr>
            <w:tcW w:w="1377" w:type="dxa"/>
          </w:tcPr>
          <w:p w14:paraId="40436BA5"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98.3</w:t>
            </w:r>
          </w:p>
        </w:tc>
        <w:tc>
          <w:tcPr>
            <w:tcW w:w="1377" w:type="dxa"/>
          </w:tcPr>
          <w:p w14:paraId="758572ED"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99.7</w:t>
            </w:r>
          </w:p>
        </w:tc>
      </w:tr>
      <w:tr w:rsidR="00C32DDD" w:rsidRPr="00A66138" w14:paraId="40127FCD" w14:textId="77777777">
        <w:tc>
          <w:tcPr>
            <w:tcW w:w="1033" w:type="dxa"/>
          </w:tcPr>
          <w:p w14:paraId="091E27B1"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North Macedonia</w:t>
            </w:r>
          </w:p>
        </w:tc>
        <w:tc>
          <w:tcPr>
            <w:tcW w:w="1377" w:type="dxa"/>
          </w:tcPr>
          <w:p w14:paraId="64E559E9"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81.5</w:t>
            </w:r>
          </w:p>
        </w:tc>
        <w:tc>
          <w:tcPr>
            <w:tcW w:w="1377" w:type="dxa"/>
          </w:tcPr>
          <w:p w14:paraId="4DB72AB7"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78.9</w:t>
            </w:r>
          </w:p>
        </w:tc>
        <w:tc>
          <w:tcPr>
            <w:tcW w:w="1377" w:type="dxa"/>
          </w:tcPr>
          <w:p w14:paraId="06EE9DFA"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1,327.6</w:t>
            </w:r>
          </w:p>
        </w:tc>
        <w:tc>
          <w:tcPr>
            <w:tcW w:w="1377" w:type="dxa"/>
          </w:tcPr>
          <w:p w14:paraId="0B2F3E17"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98.6</w:t>
            </w:r>
          </w:p>
        </w:tc>
        <w:tc>
          <w:tcPr>
            <w:tcW w:w="1377" w:type="dxa"/>
          </w:tcPr>
          <w:p w14:paraId="2E6DA9A9"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99.5</w:t>
            </w:r>
          </w:p>
        </w:tc>
      </w:tr>
      <w:tr w:rsidR="00C32DDD" w:rsidRPr="00A66138" w14:paraId="6F86853E" w14:textId="77777777">
        <w:tc>
          <w:tcPr>
            <w:tcW w:w="1033" w:type="dxa"/>
          </w:tcPr>
          <w:p w14:paraId="20BDB949"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lastRenderedPageBreak/>
              <w:t>Slovenia</w:t>
            </w:r>
          </w:p>
        </w:tc>
        <w:tc>
          <w:tcPr>
            <w:tcW w:w="1377" w:type="dxa"/>
          </w:tcPr>
          <w:p w14:paraId="2979E8E2"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85.1</w:t>
            </w:r>
          </w:p>
        </w:tc>
        <w:tc>
          <w:tcPr>
            <w:tcW w:w="1377" w:type="dxa"/>
          </w:tcPr>
          <w:p w14:paraId="44E7E4E4"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81.7</w:t>
            </w:r>
          </w:p>
        </w:tc>
        <w:tc>
          <w:tcPr>
            <w:tcW w:w="1377" w:type="dxa"/>
          </w:tcPr>
          <w:p w14:paraId="0F44E0EA"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642.5</w:t>
            </w:r>
          </w:p>
        </w:tc>
        <w:tc>
          <w:tcPr>
            <w:tcW w:w="1377" w:type="dxa"/>
          </w:tcPr>
          <w:p w14:paraId="60751B91"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97.5</w:t>
            </w:r>
          </w:p>
        </w:tc>
        <w:tc>
          <w:tcPr>
            <w:tcW w:w="1377" w:type="dxa"/>
          </w:tcPr>
          <w:p w14:paraId="07AF6A1D"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98.5</w:t>
            </w:r>
          </w:p>
        </w:tc>
      </w:tr>
      <w:tr w:rsidR="00C32DDD" w:rsidRPr="00A66138" w14:paraId="7C88FB8D" w14:textId="77777777">
        <w:tc>
          <w:tcPr>
            <w:tcW w:w="1033" w:type="dxa"/>
          </w:tcPr>
          <w:p w14:paraId="16B289E5"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Sweden</w:t>
            </w:r>
          </w:p>
        </w:tc>
        <w:tc>
          <w:tcPr>
            <w:tcW w:w="1377" w:type="dxa"/>
          </w:tcPr>
          <w:p w14:paraId="5A60DF1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84.3</w:t>
            </w:r>
          </w:p>
        </w:tc>
        <w:tc>
          <w:tcPr>
            <w:tcW w:w="1377" w:type="dxa"/>
          </w:tcPr>
          <w:p w14:paraId="515B91C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80.3</w:t>
            </w:r>
          </w:p>
        </w:tc>
        <w:tc>
          <w:tcPr>
            <w:tcW w:w="1377" w:type="dxa"/>
          </w:tcPr>
          <w:p w14:paraId="40F56FD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418.5</w:t>
            </w:r>
          </w:p>
        </w:tc>
        <w:tc>
          <w:tcPr>
            <w:tcW w:w="1377" w:type="dxa"/>
          </w:tcPr>
          <w:p w14:paraId="22D15DEF"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97.5</w:t>
            </w:r>
          </w:p>
        </w:tc>
        <w:tc>
          <w:tcPr>
            <w:tcW w:w="1377" w:type="dxa"/>
          </w:tcPr>
          <w:p w14:paraId="550D5BD6"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99.3</w:t>
            </w:r>
          </w:p>
        </w:tc>
      </w:tr>
    </w:tbl>
    <w:p w14:paraId="2E27561F" w14:textId="77777777" w:rsidR="00C32DDD" w:rsidRPr="00A66138" w:rsidRDefault="00000000">
      <w:pPr>
        <w:pStyle w:val="BodyText"/>
        <w:keepNext/>
        <w:keepLines/>
        <w:rPr>
          <w:rFonts w:ascii="Times New Roman" w:hAnsi="Times New Roman" w:cs="Times New Roman"/>
        </w:rPr>
      </w:pPr>
      <w:r w:rsidRPr="00A66138">
        <w:rPr>
          <w:rFonts w:ascii="Times New Roman" w:hAnsi="Times New Roman" w:cs="Times New Roman"/>
          <w:b/>
          <w:bCs/>
        </w:rPr>
        <w:t>Figure S2.</w:t>
      </w:r>
      <w:r w:rsidRPr="00A66138">
        <w:rPr>
          <w:rFonts w:ascii="Times New Roman" w:hAnsi="Times New Roman" w:cs="Times New Roman"/>
        </w:rPr>
        <w:t xml:space="preserve"> Primary common-support diagnostics across five plausible-value draws. The four panels show retained baseline-BB weight, Kish effective sample size (ESS), equal-system reference mass inside each target system’s empirical convex hull, and reference mass in 5 × 5 cells containing at least five target-system cases; boxplots summarize the five draws.</w:t>
      </w:r>
    </w:p>
    <w:p w14:paraId="361FAD84"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noProof/>
        </w:rPr>
        <w:drawing>
          <wp:inline distT="0" distB="0" distL="0" distR="0" wp14:anchorId="3C6E03B8" wp14:editId="63917A2A">
            <wp:extent cx="5334000" cy="4480559"/>
            <wp:effectExtent l="0" t="0" r="0" b="0"/>
            <wp:docPr id="24" name="Picture" descr="Four boxplot panels compare nine systems across five plausible-value draws: retained risk-set weight, Kish effective sample size on a log scale, reference mass inside each system's convex hull, and reference mass in five-by-five cells with at least five target cases. Korea has the lowest effective sample size and markedly the lowest occupied-cell coverage." title="Figure S2"/>
            <wp:cNvGraphicFramePr/>
            <a:graphic xmlns:a="http://schemas.openxmlformats.org/drawingml/2006/main">
              <a:graphicData uri="http://schemas.openxmlformats.org/drawingml/2006/picture">
                <pic:pic xmlns:pic="http://schemas.openxmlformats.org/drawingml/2006/picture">
                  <pic:nvPicPr>
                    <pic:cNvPr id="25" name="Figure S2" descr="Four boxplot panels compare nine systems across five plausible-value draws: retained risk-set weight, Kish effective sample size on a log scale, reference mass inside each system's convex hull, and reference mass in five-by-five cells with at least five target cases. Korea has the lowest effective sample size and markedly the lowest occupied-cell coverage."/>
                    <pic:cNvPicPr>
                      <a:picLocks noChangeAspect="1" noChangeArrowheads="1"/>
                    </pic:cNvPicPr>
                  </pic:nvPicPr>
                  <pic:blipFill>
                    <a:blip r:embed="rId8"/>
                    <a:stretch>
                      <a:fillRect/>
                    </a:stretch>
                  </pic:blipFill>
                  <pic:spPr bwMode="auto">
                    <a:xfrm>
                      <a:off x="0" y="0"/>
                      <a:ext cx="5334000" cy="4480559"/>
                    </a:xfrm>
                    <a:prstGeom prst="rect">
                      <a:avLst/>
                    </a:prstGeom>
                    <a:noFill/>
                    <a:ln w="9525">
                      <a:noFill/>
                      <a:headEnd/>
                      <a:tailEnd/>
                    </a:ln>
                  </pic:spPr>
                </pic:pic>
              </a:graphicData>
            </a:graphic>
          </wp:inline>
        </w:drawing>
      </w:r>
    </w:p>
    <w:p w14:paraId="78507B04" w14:textId="77777777" w:rsidR="00C32DDD" w:rsidRPr="00A66138" w:rsidRDefault="00000000">
      <w:pPr>
        <w:pStyle w:val="BodyText"/>
        <w:keepNext/>
        <w:keepLines/>
        <w:rPr>
          <w:rFonts w:ascii="Times New Roman" w:hAnsi="Times New Roman" w:cs="Times New Roman"/>
        </w:rPr>
      </w:pPr>
      <w:r w:rsidRPr="00A66138">
        <w:rPr>
          <w:rFonts w:ascii="Times New Roman" w:hAnsi="Times New Roman" w:cs="Times New Roman"/>
          <w:b/>
          <w:bCs/>
        </w:rPr>
        <w:lastRenderedPageBreak/>
        <w:t>Figure S3.</w:t>
      </w:r>
      <w:r w:rsidRPr="00A66138">
        <w:rPr>
          <w:rFonts w:ascii="Times New Roman" w:hAnsi="Times New Roman" w:cs="Times New Roman"/>
        </w:rPr>
        <w:t xml:space="preserve"> Five internally frozen one-factor common-severity standardization alternatives minus the primary estimate. Points are system-specific percentage-point contrasts, bars are covariance-aware 95% confidence intervals, the dashed vertical line marks no difference, and the Republic of Korea is absent only from the leave-Korea-out target.</w:t>
      </w:r>
    </w:p>
    <w:p w14:paraId="428C2F08"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noProof/>
        </w:rPr>
        <w:drawing>
          <wp:inline distT="0" distB="0" distL="0" distR="0" wp14:anchorId="5F0892AB" wp14:editId="66EF9C29">
            <wp:extent cx="5334000" cy="4480559"/>
            <wp:effectExtent l="0" t="0" r="0" b="0"/>
            <wp:docPr id="27" name="Picture" descr="Five contrast panels show alternative-minus-primary percentage points by system, plus a sixth explanatory panel. Every covariance-aware 95% interval crosses the dashed zero line; strict-common-cell intervals are much wider than intervals for the target-weighting and response-surface alternatives." title="Figure S3"/>
            <wp:cNvGraphicFramePr/>
            <a:graphic xmlns:a="http://schemas.openxmlformats.org/drawingml/2006/main">
              <a:graphicData uri="http://schemas.openxmlformats.org/drawingml/2006/picture">
                <pic:pic xmlns:pic="http://schemas.openxmlformats.org/drawingml/2006/picture">
                  <pic:nvPicPr>
                    <pic:cNvPr id="28" name="Figure S3" descr="Five contrast panels show alternative-minus-primary percentage points by system, plus a sixth explanatory panel. Every covariance-aware 95% interval crosses the dashed zero line; strict-common-cell intervals are much wider than intervals for the target-weighting and response-surface alternatives."/>
                    <pic:cNvPicPr>
                      <a:picLocks noChangeAspect="1" noChangeArrowheads="1"/>
                    </pic:cNvPicPr>
                  </pic:nvPicPr>
                  <pic:blipFill>
                    <a:blip r:embed="rId9"/>
                    <a:stretch>
                      <a:fillRect/>
                    </a:stretch>
                  </pic:blipFill>
                  <pic:spPr bwMode="auto">
                    <a:xfrm>
                      <a:off x="0" y="0"/>
                      <a:ext cx="5334000" cy="4480559"/>
                    </a:xfrm>
                    <a:prstGeom prst="rect">
                      <a:avLst/>
                    </a:prstGeom>
                    <a:noFill/>
                    <a:ln w="9525">
                      <a:noFill/>
                      <a:headEnd/>
                      <a:tailEnd/>
                    </a:ln>
                  </pic:spPr>
                </pic:pic>
              </a:graphicData>
            </a:graphic>
          </wp:inline>
        </w:drawing>
      </w:r>
    </w:p>
    <w:p w14:paraId="16F51303"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Korea is the weakest-overlap case: mean baseline-BB </w:t>
      </w:r>
      <m:oMath>
        <m:r>
          <w:rPr>
            <w:rFonts w:ascii="Cambria Math" w:hAnsi="Cambria Math" w:cs="Times New Roman"/>
          </w:rPr>
          <m:t>n</m:t>
        </m:r>
      </m:oMath>
      <w:r w:rsidRPr="00A66138">
        <w:rPr>
          <w:rFonts w:ascii="Times New Roman" w:hAnsi="Times New Roman" w:cs="Times New Roman"/>
        </w:rPr>
        <w:t xml:space="preserve"> was 162.8, minimum support ESS 88.35, mean hull coverage 92.7%, and five-case-cell coverage 58.0%. Its raw estimate was 32.5% (95% CI 19.9%–45.1%) and standardized estimate 22.7% (12.9%–32.4%). These quantities require joint qualification and do not support ranking. Table S6, </w:t>
      </w:r>
      <w:r w:rsidRPr="00A66138">
        <w:rPr>
          <w:rStyle w:val="VerbatimChar"/>
          <w:rFonts w:ascii="Times New Roman" w:hAnsi="Times New Roman" w:cs="Times New Roman"/>
          <w:sz w:val="24"/>
        </w:rPr>
        <w:t>table_s6_standardization_overlap_by_draw.csv</w:t>
      </w:r>
      <w:r w:rsidRPr="00A66138">
        <w:rPr>
          <w:rFonts w:ascii="Times New Roman" w:hAnsi="Times New Roman" w:cs="Times New Roman"/>
        </w:rPr>
        <w:t xml:space="preserve">, contains draw-level primary diagnostics; Table S7, </w:t>
      </w:r>
      <w:r w:rsidRPr="00A66138">
        <w:rPr>
          <w:rStyle w:val="VerbatimChar"/>
          <w:rFonts w:ascii="Times New Roman" w:hAnsi="Times New Roman" w:cs="Times New Roman"/>
          <w:sz w:val="24"/>
        </w:rPr>
        <w:t>table_s7_standardization_overlap_summary.csv</w:t>
      </w:r>
      <w:r w:rsidRPr="00A66138">
        <w:rPr>
          <w:rFonts w:ascii="Times New Roman" w:hAnsi="Times New Roman" w:cs="Times New Roman"/>
        </w:rPr>
        <w:t>, contains the nine-system summary.</w:t>
      </w:r>
    </w:p>
    <w:p w14:paraId="52E70A0B"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lastRenderedPageBreak/>
        <w:t xml:space="preserve">The unnumbered reproducibility-only standardized-pairwise-contrast CSV retains 36 covariance-aware pairwise standardized contrasts and Holm-adjusted </w:t>
      </w:r>
      <w:r w:rsidRPr="00A66138">
        <w:rPr>
          <w:rFonts w:ascii="Times New Roman" w:hAnsi="Times New Roman" w:cs="Times New Roman"/>
          <w:i/>
          <w:iCs/>
        </w:rPr>
        <w:t>p</w:t>
      </w:r>
      <w:r w:rsidRPr="00A66138">
        <w:rPr>
          <w:rFonts w:ascii="Times New Roman" w:hAnsi="Times New Roman" w:cs="Times New Roman"/>
        </w:rPr>
        <w:t xml:space="preserve"> values for auditability. Its exact basename and SHA-256 digest are recorded in Additional file 3’s source manifest. The file is deliberately absent from Additional file 2, the numbered supplement, and the table inventory; it must not be used as a league table.</w:t>
      </w:r>
    </w:p>
    <w:p w14:paraId="04792B6E" w14:textId="77777777" w:rsidR="00C32DDD" w:rsidRPr="00A66138" w:rsidRDefault="00000000">
      <w:pPr>
        <w:pStyle w:val="Heading2"/>
        <w:rPr>
          <w:rFonts w:ascii="Times New Roman" w:hAnsi="Times New Roman" w:cs="Times New Roman"/>
          <w:sz w:val="24"/>
          <w:szCs w:val="24"/>
        </w:rPr>
      </w:pPr>
      <w:bookmarkStart w:id="24" w:name="X4e4b04cf26f9d2cf11a9e30b878ae98b78c374d"/>
      <w:bookmarkStart w:id="25" w:name="_Toc237481831"/>
      <w:bookmarkEnd w:id="22"/>
      <w:r w:rsidRPr="00A66138">
        <w:rPr>
          <w:rFonts w:ascii="Times New Roman" w:hAnsi="Times New Roman" w:cs="Times New Roman"/>
          <w:sz w:val="24"/>
          <w:szCs w:val="24"/>
        </w:rPr>
        <w:t>S6. Alternative thresholds and crossing buffers</w:t>
      </w:r>
      <w:bookmarkEnd w:id="25"/>
    </w:p>
    <w:p w14:paraId="3783CFDC"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The common-threshold grid was 390, 400, 410, 465, 475, and 485. For each threshold, PV/JRR estimation was repeated for BB-to-AA, BB persistence, BB exit, baseline BB share, mathematics change, science change, and weakest-domain change in both grade bands. Table S8 is the 504-row </w:t>
      </w:r>
      <w:r w:rsidRPr="00A66138">
        <w:rPr>
          <w:rStyle w:val="VerbatimChar"/>
          <w:rFonts w:ascii="Times New Roman" w:hAnsi="Times New Roman" w:cs="Times New Roman"/>
          <w:sz w:val="24"/>
        </w:rPr>
        <w:t>outputs/tables/table_s8_threshold_sensitivity.csv</w:t>
      </w:r>
      <w:r w:rsidRPr="00A66138">
        <w:rPr>
          <w:rFonts w:ascii="Times New Roman" w:hAnsi="Times New Roman" w:cs="Times New Roman"/>
        </w:rPr>
        <w:t>. Main Figure 3 displays Grade 4-to-5 BB-to-AA results and is referenced here rather than embedded again.</w:t>
      </w:r>
    </w:p>
    <w:p w14:paraId="56CA0DE7"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At 400, Grade 4-to-5 conditional BB-to-AA estimates were 14.0%–47.0%; at 475 they were 5.5%–34.1%. Korea’s mean baseline-BB count was approximately 26 at 400 and its standard error was 19.5 percentage points. Separately, differences between the published rounded official 400 at/above shares were 0–5 percentage points in mathematics and 1–9 in science. These differences are formed from rounded, whole-cohort, domain-specific marginals; the conditional joint transition uses the baseline-below-both denominator and requires follow-up attainment in both domains.</w:t>
      </w:r>
    </w:p>
    <w:p w14:paraId="20842EBC"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The 450-to-500 buffer produced Grade 4-to-5 estimates of 0.8%–8.0%. A lower buffer required baseline scores below 380 and follow-up scores at/above 420. Each buffer defines a new risk set and event, not an adjusted primary estimate. Table S9, </w:t>
      </w:r>
      <w:r w:rsidRPr="00A66138">
        <w:rPr>
          <w:rStyle w:val="VerbatimChar"/>
          <w:rFonts w:ascii="Times New Roman" w:hAnsi="Times New Roman" w:cs="Times New Roman"/>
          <w:sz w:val="24"/>
        </w:rPr>
        <w:t>table_s9_hysteresis_sensitivity.csv</w:t>
      </w:r>
      <w:r w:rsidRPr="00A66138">
        <w:rPr>
          <w:rFonts w:ascii="Times New Roman" w:hAnsi="Times New Roman" w:cs="Times New Roman"/>
        </w:rPr>
        <w:t xml:space="preserve">, </w:t>
      </w:r>
      <w:r w:rsidRPr="00A66138">
        <w:rPr>
          <w:rFonts w:ascii="Times New Roman" w:hAnsi="Times New Roman" w:cs="Times New Roman"/>
        </w:rPr>
        <w:lastRenderedPageBreak/>
        <w:t>contains full results. Korea’s lower-buffer risk set averaged only 15.8 students and is not suitable for stable comparison.</w:t>
      </w:r>
    </w:p>
    <w:p w14:paraId="0A01B7A5" w14:textId="77777777" w:rsidR="00C32DDD" w:rsidRPr="00A66138" w:rsidRDefault="00000000">
      <w:pPr>
        <w:pStyle w:val="Heading2"/>
        <w:rPr>
          <w:rFonts w:ascii="Times New Roman" w:hAnsi="Times New Roman" w:cs="Times New Roman"/>
          <w:sz w:val="24"/>
          <w:szCs w:val="24"/>
        </w:rPr>
      </w:pPr>
      <w:bookmarkStart w:id="26" w:name="X8ffb74b1307b4f9e0e93c63afeba9c371fd9fd6"/>
      <w:bookmarkStart w:id="27" w:name="_Toc237481832"/>
      <w:bookmarkEnd w:id="24"/>
      <w:r w:rsidRPr="00A66138">
        <w:rPr>
          <w:rFonts w:ascii="Times New Roman" w:hAnsi="Times New Roman" w:cs="Times New Roman"/>
          <w:sz w:val="24"/>
          <w:szCs w:val="24"/>
        </w:rPr>
        <w:t>S7. Missing-data, IPW, and MNAR sensitivity analyses</w:t>
      </w:r>
      <w:bookmarkEnd w:id="27"/>
    </w:p>
    <w:p w14:paraId="7EEEE425" w14:textId="77777777" w:rsidR="00C32DDD" w:rsidRPr="00A66138" w:rsidRDefault="00000000">
      <w:pPr>
        <w:pStyle w:val="Heading3"/>
        <w:rPr>
          <w:rFonts w:ascii="Times New Roman" w:hAnsi="Times New Roman" w:cs="Times New Roman"/>
          <w:sz w:val="24"/>
          <w:szCs w:val="24"/>
        </w:rPr>
      </w:pPr>
      <w:bookmarkStart w:id="28" w:name="X6e3f186c1f0e5e134b0c2c6da6fa8714cf19e3f"/>
      <w:bookmarkStart w:id="29" w:name="_Toc237481833"/>
      <w:r w:rsidRPr="00A66138">
        <w:rPr>
          <w:rFonts w:ascii="Times New Roman" w:hAnsi="Times New Roman" w:cs="Times New Roman"/>
          <w:sz w:val="24"/>
          <w:szCs w:val="24"/>
        </w:rPr>
        <w:t>S7.1 PV-completed, both-wave, and response-IPW targets</w:t>
      </w:r>
      <w:bookmarkEnd w:id="29"/>
    </w:p>
    <w:p w14:paraId="2DB349EA"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Three analyses have distinct targets:</w:t>
      </w:r>
    </w:p>
    <w:p w14:paraId="52277431" w14:textId="77777777" w:rsidR="00C32DDD" w:rsidRPr="00A66138" w:rsidRDefault="00000000">
      <w:pPr>
        <w:pStyle w:val="Compact"/>
        <w:numPr>
          <w:ilvl w:val="0"/>
          <w:numId w:val="5"/>
        </w:numPr>
        <w:rPr>
          <w:rFonts w:ascii="Times New Roman" w:hAnsi="Times New Roman" w:cs="Times New Roman"/>
        </w:rPr>
      </w:pPr>
      <w:r w:rsidRPr="00A66138">
        <w:rPr>
          <w:rFonts w:ascii="Times New Roman" w:hAnsi="Times New Roman" w:cs="Times New Roman"/>
          <w:b/>
          <w:bCs/>
        </w:rPr>
        <w:t>PV-completed primary:</w:t>
      </w:r>
      <w:r w:rsidRPr="00A66138">
        <w:rPr>
          <w:rFonts w:ascii="Times New Roman" w:hAnsi="Times New Roman" w:cs="Times New Roman"/>
        </w:rPr>
        <w:t xml:space="preserve"> all sampled longitudinal records represented in public achievement files;</w:t>
      </w:r>
    </w:p>
    <w:p w14:paraId="4EA16201" w14:textId="77777777" w:rsidR="00C32DDD" w:rsidRPr="00A66138" w:rsidRDefault="00000000">
      <w:pPr>
        <w:pStyle w:val="Compact"/>
        <w:numPr>
          <w:ilvl w:val="0"/>
          <w:numId w:val="5"/>
        </w:numPr>
        <w:rPr>
          <w:rFonts w:ascii="Times New Roman" w:hAnsi="Times New Roman" w:cs="Times New Roman"/>
        </w:rPr>
      </w:pPr>
      <w:r w:rsidRPr="00A66138">
        <w:rPr>
          <w:rFonts w:ascii="Times New Roman" w:hAnsi="Times New Roman" w:cs="Times New Roman"/>
          <w:b/>
          <w:bCs/>
        </w:rPr>
        <w:t>both-wave observed:</w:t>
      </w:r>
      <w:r w:rsidRPr="00A66138">
        <w:rPr>
          <w:rFonts w:ascii="Times New Roman" w:hAnsi="Times New Roman" w:cs="Times New Roman"/>
        </w:rPr>
        <w:t xml:space="preserve"> students indicated as participating at both waves; and</w:t>
      </w:r>
    </w:p>
    <w:p w14:paraId="203990EA" w14:textId="77777777" w:rsidR="00C32DDD" w:rsidRPr="00A66138" w:rsidRDefault="00000000">
      <w:pPr>
        <w:pStyle w:val="Compact"/>
        <w:numPr>
          <w:ilvl w:val="0"/>
          <w:numId w:val="5"/>
        </w:numPr>
        <w:rPr>
          <w:rFonts w:ascii="Times New Roman" w:hAnsi="Times New Roman" w:cs="Times New Roman"/>
        </w:rPr>
      </w:pPr>
      <w:r w:rsidRPr="00A66138">
        <w:rPr>
          <w:rFonts w:ascii="Times New Roman" w:hAnsi="Times New Roman" w:cs="Times New Roman"/>
          <w:b/>
          <w:bCs/>
        </w:rPr>
        <w:t>response-IPW:</w:t>
      </w:r>
      <w:r w:rsidRPr="00A66138">
        <w:rPr>
          <w:rFonts w:ascii="Times New Roman" w:hAnsi="Times New Roman" w:cs="Times New Roman"/>
        </w:rPr>
        <w:t xml:space="preserve"> baseline participants reweighted for observed follow-up response.</w:t>
      </w:r>
    </w:p>
    <w:p w14:paraId="5B791E99"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For response-IPW, each system and PV draw uses a weighted quadratic-logit model for follow-up participation with centered baseline mathematics, science, squares, and interaction. If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i</m:t>
            </m:r>
          </m:sub>
        </m:sSub>
      </m:oMath>
      <w:r w:rsidRPr="00A66138">
        <w:rPr>
          <w:rFonts w:ascii="Times New Roman" w:hAnsi="Times New Roman" w:cs="Times New Roman"/>
        </w:rPr>
        <w:t xml:space="preserve"> indicates follow-up participation and </w:t>
      </w:r>
      <m:oMath>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π</m:t>
                </m:r>
              </m:e>
            </m:acc>
          </m:e>
          <m:sub>
            <m:r>
              <w:rPr>
                <w:rFonts w:ascii="Cambria Math" w:hAnsi="Cambria Math" w:cs="Times New Roman"/>
              </w:rPr>
              <m:t>i</m:t>
            </m:r>
          </m:sub>
        </m:sSub>
      </m:oMath>
      <w:r w:rsidRPr="00A66138">
        <w:rPr>
          <w:rFonts w:ascii="Times New Roman" w:hAnsi="Times New Roman" w:cs="Times New Roman"/>
        </w:rPr>
        <w:t xml:space="preserve"> is fitted probability, respondents receive</w:t>
      </w:r>
    </w:p>
    <w:p w14:paraId="5097B942" w14:textId="77777777" w:rsidR="00C32DDD" w:rsidRPr="00A66138" w:rsidRDefault="00000000">
      <w:pPr>
        <w:pStyle w:val="BodyText"/>
        <w:rPr>
          <w:rFonts w:ascii="Times New Roman" w:hAnsi="Times New Roman" w:cs="Times New Roman"/>
        </w:rPr>
      </w:pPr>
      <m:oMathPara>
        <m:oMathParaPr>
          <m:jc m:val="center"/>
        </m:oMathParaPr>
        <m:oMath>
          <m:sSubSup>
            <m:sSubSupPr>
              <m:ctrlPr>
                <w:rPr>
                  <w:rFonts w:ascii="Cambria Math" w:hAnsi="Cambria Math" w:cs="Times New Roman"/>
                </w:rPr>
              </m:ctrlPr>
            </m:sSubSupPr>
            <m:e>
              <m:r>
                <w:rPr>
                  <w:rFonts w:ascii="Cambria Math" w:hAnsi="Cambria Math" w:cs="Times New Roman"/>
                </w:rPr>
                <m:t>w</m:t>
              </m:r>
            </m:e>
            <m:sub>
              <m:r>
                <w:rPr>
                  <w:rFonts w:ascii="Cambria Math" w:hAnsi="Cambria Math" w:cs="Times New Roman"/>
                </w:rPr>
                <m:t>i</m:t>
              </m:r>
            </m:sub>
            <m:sup>
              <m:r>
                <m:rPr>
                  <m:sty m:val="p"/>
                </m:rPr>
                <w:rPr>
                  <w:rFonts w:ascii="Cambria Math" w:hAnsi="Cambria Math" w:cs="Times New Roman"/>
                </w:rPr>
                <m:t>*</m:t>
              </m:r>
            </m:sup>
          </m:sSubSup>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i</m:t>
              </m:r>
            </m:sub>
          </m:sSub>
          <m:f>
            <m:fPr>
              <m:ctrlPr>
                <w:rPr>
                  <w:rFonts w:ascii="Cambria Math" w:hAnsi="Cambria Math" w:cs="Times New Roman"/>
                </w:rPr>
              </m:ctrlPr>
            </m:fPr>
            <m:num>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P</m:t>
                      </m:r>
                    </m:e>
                  </m:acc>
                </m:e>
                <m:sub>
                  <m:r>
                    <w:rPr>
                      <w:rFonts w:ascii="Cambria Math" w:hAnsi="Cambria Math" w:cs="Times New Roman"/>
                    </w:rPr>
                    <m:t>w</m:t>
                  </m:r>
                </m:sub>
              </m:sSub>
              <m:r>
                <m:rPr>
                  <m:sty m:val="p"/>
                </m:rPr>
                <w:rPr>
                  <w:rFonts w:ascii="Cambria Math" w:hAnsi="Cambria Math" w:cs="Times New Roman"/>
                </w:rPr>
                <m:t>(</m:t>
              </m:r>
              <m:r>
                <w:rPr>
                  <w:rFonts w:ascii="Cambria Math" w:hAnsi="Cambria Math" w:cs="Times New Roman"/>
                </w:rPr>
                <m:t>R</m:t>
              </m:r>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num>
            <m:den>
              <m:r>
                <m:rPr>
                  <m:sty m:val="p"/>
                </m:rPr>
                <w:rPr>
                  <w:rFonts w:ascii="Cambria Math" w:hAnsi="Cambria Math" w:cs="Times New Roman"/>
                </w:rPr>
                <m:t>max(</m:t>
              </m:r>
              <m:r>
                <w:rPr>
                  <w:rFonts w:ascii="Cambria Math" w:hAnsi="Cambria Math" w:cs="Times New Roman"/>
                </w:rPr>
                <m:t>.05</m:t>
              </m:r>
              <m:r>
                <m:rPr>
                  <m:sty m:val="p"/>
                </m:rPr>
                <w:rPr>
                  <w:rFonts w:ascii="Cambria Math" w:hAnsi="Cambria Math" w:cs="Times New Roman"/>
                </w:rPr>
                <m:t>,</m:t>
              </m:r>
              <m:sSub>
                <m:sSubPr>
                  <m:ctrlPr>
                    <w:rPr>
                      <w:rFonts w:ascii="Cambria Math" w:hAnsi="Cambria Math" w:cs="Times New Roman"/>
                    </w:rPr>
                  </m:ctrlPr>
                </m:sSubPr>
                <m:e>
                  <m:acc>
                    <m:accPr>
                      <m:ctrlPr>
                        <w:rPr>
                          <w:rFonts w:ascii="Cambria Math" w:hAnsi="Cambria Math" w:cs="Times New Roman"/>
                        </w:rPr>
                      </m:ctrlPr>
                    </m:accPr>
                    <m:e>
                      <m:r>
                        <w:rPr>
                          <w:rFonts w:ascii="Cambria Math" w:hAnsi="Cambria Math" w:cs="Times New Roman"/>
                        </w:rPr>
                        <m:t>π</m:t>
                      </m:r>
                    </m:e>
                  </m:acc>
                </m:e>
                <m:sub>
                  <m:r>
                    <w:rPr>
                      <w:rFonts w:ascii="Cambria Math" w:hAnsi="Cambria Math" w:cs="Times New Roman"/>
                    </w:rPr>
                    <m:t>i</m:t>
                  </m:r>
                </m:sub>
              </m:sSub>
              <m:r>
                <m:rPr>
                  <m:sty m:val="p"/>
                </m:rPr>
                <w:rPr>
                  <w:rFonts w:ascii="Cambria Math" w:hAnsi="Cambria Math" w:cs="Times New Roman"/>
                </w:rPr>
                <m:t>)</m:t>
              </m:r>
            </m:den>
          </m:f>
          <m:r>
            <m:rPr>
              <m:sty m:val="p"/>
            </m:rPr>
            <w:rPr>
              <w:rFonts w:ascii="Cambria Math" w:hAnsi="Cambria Math" w:cs="Times New Roman"/>
            </w:rPr>
            <m:t>,</m:t>
          </m:r>
        </m:oMath>
      </m:oMathPara>
    </w:p>
    <w:p w14:paraId="67AB0578"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and nonrespondents receive zero analysis weight (</w:t>
      </w:r>
      <w:hyperlink w:anchor="ref-robins1994">
        <w:r w:rsidRPr="00A66138">
          <w:rPr>
            <w:rStyle w:val="Hyperlink"/>
            <w:rFonts w:ascii="Times New Roman" w:hAnsi="Times New Roman" w:cs="Times New Roman"/>
          </w:rPr>
          <w:t>Robins et al., 1994</w:t>
        </w:r>
      </w:hyperlink>
      <w:r w:rsidRPr="00A66138">
        <w:rPr>
          <w:rFonts w:ascii="Times New Roman" w:hAnsi="Times New Roman" w:cs="Times New Roman"/>
        </w:rPr>
        <w:t xml:space="preserve">; </w:t>
      </w:r>
      <w:hyperlink w:anchor="ref-seaman2013">
        <w:r w:rsidRPr="00A66138">
          <w:rPr>
            <w:rStyle w:val="Hyperlink"/>
            <w:rFonts w:ascii="Times New Roman" w:hAnsi="Times New Roman" w:cs="Times New Roman"/>
          </w:rPr>
          <w:t>Seaman &amp; White, 2013</w:t>
        </w:r>
      </w:hyperlink>
      <w:r w:rsidRPr="00A66138">
        <w:rPr>
          <w:rFonts w:ascii="Times New Roman" w:hAnsi="Times New Roman" w:cs="Times New Roman"/>
        </w:rPr>
        <w:t xml:space="preserve">). Models, stabilization, probabilities, weights, and the PV-completed/both-wave/IPW estimate stack are rebuilt within every JRR replicate. This joint stack supplies covariance-aware method-minus-primary standard errors and intervals in Table S10, the 252-row </w:t>
      </w:r>
      <w:r w:rsidRPr="00A66138">
        <w:rPr>
          <w:rStyle w:val="VerbatimChar"/>
          <w:rFonts w:ascii="Times New Roman" w:hAnsi="Times New Roman" w:cs="Times New Roman"/>
          <w:sz w:val="24"/>
        </w:rPr>
        <w:t>table_s10_observed_ipw_sensitivity.csv</w:t>
      </w:r>
      <w:r w:rsidRPr="00A66138">
        <w:rPr>
          <w:rFonts w:ascii="Times New Roman" w:hAnsi="Times New Roman" w:cs="Times New Roman"/>
        </w:rPr>
        <w:t>.</w:t>
      </w:r>
    </w:p>
    <w:p w14:paraId="26FDCD66"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The diagnostic file </w:t>
      </w:r>
      <w:r w:rsidRPr="00A66138">
        <w:rPr>
          <w:rStyle w:val="VerbatimChar"/>
          <w:rFonts w:ascii="Times New Roman" w:hAnsi="Times New Roman" w:cs="Times New Roman"/>
          <w:sz w:val="24"/>
        </w:rPr>
        <w:t>outputs/diagnostics/response_ipw_diagnostics.csv</w:t>
      </w:r>
      <w:r w:rsidRPr="00A66138">
        <w:rPr>
          <w:rFonts w:ascii="Times New Roman" w:hAnsi="Times New Roman" w:cs="Times New Roman"/>
        </w:rPr>
        <w:t xml:space="preserve"> reports, by system and PV draw, sample counts, weighted response rate, propensity minimum and weighted </w:t>
      </w:r>
      <w:r w:rsidRPr="00A66138">
        <w:rPr>
          <w:rFonts w:ascii="Times New Roman" w:hAnsi="Times New Roman" w:cs="Times New Roman"/>
        </w:rPr>
        <w:lastRenderedPageBreak/>
        <w:t xml:space="preserve">1st/5th/50th/95th/99th percentiles and maximum, the fraction at the .05 floor, stabilized IPW-multiplier minimum and corresponding percentiles and maximum, original and reweighted ESS and their ratio, and maximum absolute standardized mean differences across the five non-intercept response-model terms before and after weighting. These checks assess practical positivity and observed-covariate balance; neither model convergence nor finite weights </w:t>
      </w:r>
      <w:proofErr w:type="gramStart"/>
      <w:r w:rsidRPr="00A66138">
        <w:rPr>
          <w:rFonts w:ascii="Times New Roman" w:hAnsi="Times New Roman" w:cs="Times New Roman"/>
        </w:rPr>
        <w:t>identifies</w:t>
      </w:r>
      <w:proofErr w:type="gramEnd"/>
      <w:r w:rsidRPr="00A66138">
        <w:rPr>
          <w:rFonts w:ascii="Times New Roman" w:hAnsi="Times New Roman" w:cs="Times New Roman"/>
        </w:rPr>
        <w:t xml:space="preserve"> response on unobserved outcomes (</w:t>
      </w:r>
      <w:hyperlink w:anchor="ref-westreich2010">
        <w:r w:rsidRPr="00A66138">
          <w:rPr>
            <w:rStyle w:val="Hyperlink"/>
            <w:rFonts w:ascii="Times New Roman" w:hAnsi="Times New Roman" w:cs="Times New Roman"/>
          </w:rPr>
          <w:t>Westreich &amp; Cole, 2010</w:t>
        </w:r>
      </w:hyperlink>
      <w:r w:rsidRPr="00A66138">
        <w:rPr>
          <w:rFonts w:ascii="Times New Roman" w:hAnsi="Times New Roman" w:cs="Times New Roman"/>
        </w:rPr>
        <w:t>). All fitted models converged and no observed probability reached .05.</w:t>
      </w:r>
    </w:p>
    <w:p w14:paraId="71BD7EBE"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For Grade 4-to-5 BB-to-AA, response-IPW estimates differed from the primary by less than 1 percentage point in eight systems; Sweden differed by −1.29 points. These comparisons cannot address unobserved selection.</w:t>
      </w:r>
    </w:p>
    <w:p w14:paraId="0DB4442D" w14:textId="77777777" w:rsidR="00C32DDD" w:rsidRPr="00A66138" w:rsidRDefault="00000000">
      <w:pPr>
        <w:pStyle w:val="Heading3"/>
        <w:rPr>
          <w:rFonts w:ascii="Times New Roman" w:hAnsi="Times New Roman" w:cs="Times New Roman"/>
          <w:sz w:val="24"/>
          <w:szCs w:val="24"/>
        </w:rPr>
      </w:pPr>
      <w:bookmarkStart w:id="30" w:name="s7.2-pattern-mixture-shifts"/>
      <w:bookmarkStart w:id="31" w:name="_Toc237481834"/>
      <w:bookmarkEnd w:id="28"/>
      <w:r w:rsidRPr="00A66138">
        <w:rPr>
          <w:rFonts w:ascii="Times New Roman" w:hAnsi="Times New Roman" w:cs="Times New Roman"/>
          <w:sz w:val="24"/>
          <w:szCs w:val="24"/>
        </w:rPr>
        <w:t>S7.2 Pattern-mixture shifts</w:t>
      </w:r>
      <w:bookmarkEnd w:id="31"/>
    </w:p>
    <w:p w14:paraId="57A81D48"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Three score-shift scenarios were applied to the PV-completed representation:</w:t>
      </w:r>
    </w:p>
    <w:p w14:paraId="67783011" w14:textId="77777777" w:rsidR="00C32DDD" w:rsidRPr="00A66138" w:rsidRDefault="00000000">
      <w:pPr>
        <w:pStyle w:val="Compact"/>
        <w:numPr>
          <w:ilvl w:val="0"/>
          <w:numId w:val="6"/>
        </w:numPr>
        <w:rPr>
          <w:rFonts w:ascii="Times New Roman" w:hAnsi="Times New Roman" w:cs="Times New Roman"/>
        </w:rPr>
      </w:pPr>
      <w:r w:rsidRPr="00A66138">
        <w:rPr>
          <w:rFonts w:ascii="Times New Roman" w:hAnsi="Times New Roman" w:cs="Times New Roman"/>
        </w:rPr>
        <w:t xml:space="preserve">subtract </w:t>
      </w:r>
      <m:oMath>
        <m:r>
          <w:rPr>
            <w:rFonts w:ascii="Cambria Math" w:hAnsi="Cambria Math" w:cs="Times New Roman"/>
          </w:rPr>
          <m:t>δ</m:t>
        </m:r>
        <m:r>
          <m:rPr>
            <m:sty m:val="p"/>
          </m:rPr>
          <w:rPr>
            <w:rFonts w:ascii="Cambria Math" w:hAnsi="Cambria Math" w:cs="Times New Roman"/>
          </w:rPr>
          <m:t>∈{</m:t>
        </m:r>
        <m:r>
          <w:rPr>
            <w:rFonts w:ascii="Cambria Math" w:hAnsi="Cambria Math" w:cs="Times New Roman"/>
          </w:rPr>
          <m:t>0</m:t>
        </m:r>
        <m:r>
          <m:rPr>
            <m:sty m:val="p"/>
          </m:rPr>
          <w:rPr>
            <w:rFonts w:ascii="Cambria Math" w:hAnsi="Cambria Math" w:cs="Times New Roman"/>
          </w:rPr>
          <m:t>,</m:t>
        </m:r>
        <m:r>
          <w:rPr>
            <w:rFonts w:ascii="Cambria Math" w:hAnsi="Cambria Math" w:cs="Times New Roman"/>
          </w:rPr>
          <m:t>10</m:t>
        </m:r>
        <m:r>
          <m:rPr>
            <m:sty m:val="p"/>
          </m:rPr>
          <w:rPr>
            <w:rFonts w:ascii="Cambria Math" w:hAnsi="Cambria Math" w:cs="Times New Roman"/>
          </w:rPr>
          <m:t>,</m:t>
        </m:r>
        <m:r>
          <w:rPr>
            <w:rFonts w:ascii="Cambria Math" w:hAnsi="Cambria Math" w:cs="Times New Roman"/>
          </w:rPr>
          <m:t>20</m:t>
        </m:r>
        <m:r>
          <m:rPr>
            <m:sty m:val="p"/>
          </m:rPr>
          <w:rPr>
            <w:rFonts w:ascii="Cambria Math" w:hAnsi="Cambria Math" w:cs="Times New Roman"/>
          </w:rPr>
          <m:t>,</m:t>
        </m:r>
        <m:r>
          <w:rPr>
            <w:rFonts w:ascii="Cambria Math" w:hAnsi="Cambria Math" w:cs="Times New Roman"/>
          </w:rPr>
          <m:t>40</m:t>
        </m:r>
        <m:r>
          <m:rPr>
            <m:sty m:val="p"/>
          </m:rPr>
          <w:rPr>
            <w:rFonts w:ascii="Cambria Math" w:hAnsi="Cambria Math" w:cs="Times New Roman"/>
          </w:rPr>
          <m:t>}</m:t>
        </m:r>
      </m:oMath>
      <w:r w:rsidRPr="00A66138">
        <w:rPr>
          <w:rFonts w:ascii="Times New Roman" w:hAnsi="Times New Roman" w:cs="Times New Roman"/>
        </w:rPr>
        <w:t xml:space="preserve"> from both follow-up-domain PVs for baseline-only records;</w:t>
      </w:r>
    </w:p>
    <w:p w14:paraId="08D8DF03" w14:textId="77777777" w:rsidR="00C32DDD" w:rsidRPr="00A66138" w:rsidRDefault="00000000">
      <w:pPr>
        <w:pStyle w:val="Compact"/>
        <w:numPr>
          <w:ilvl w:val="0"/>
          <w:numId w:val="6"/>
        </w:numPr>
        <w:rPr>
          <w:rFonts w:ascii="Times New Roman" w:hAnsi="Times New Roman" w:cs="Times New Roman"/>
        </w:rPr>
      </w:pPr>
      <w:r w:rsidRPr="00A66138">
        <w:rPr>
          <w:rFonts w:ascii="Times New Roman" w:hAnsi="Times New Roman" w:cs="Times New Roman"/>
        </w:rPr>
        <w:t xml:space="preserve">subtract </w:t>
      </w:r>
      <m:oMath>
        <m:r>
          <w:rPr>
            <w:rFonts w:ascii="Cambria Math" w:hAnsi="Cambria Math" w:cs="Times New Roman"/>
          </w:rPr>
          <m:t>δ</m:t>
        </m:r>
      </m:oMath>
      <w:r w:rsidRPr="00A66138">
        <w:rPr>
          <w:rFonts w:ascii="Times New Roman" w:hAnsi="Times New Roman" w:cs="Times New Roman"/>
        </w:rPr>
        <w:t xml:space="preserve"> from both baseline-domain PVs for follow-up-only records; and</w:t>
      </w:r>
    </w:p>
    <w:p w14:paraId="02F0199C" w14:textId="77777777" w:rsidR="00C32DDD" w:rsidRPr="00A66138" w:rsidRDefault="00000000">
      <w:pPr>
        <w:pStyle w:val="Compact"/>
        <w:numPr>
          <w:ilvl w:val="0"/>
          <w:numId w:val="6"/>
        </w:numPr>
        <w:rPr>
          <w:rFonts w:ascii="Times New Roman" w:hAnsi="Times New Roman" w:cs="Times New Roman"/>
        </w:rPr>
      </w:pPr>
      <w:r w:rsidRPr="00A66138">
        <w:rPr>
          <w:rFonts w:ascii="Times New Roman" w:hAnsi="Times New Roman" w:cs="Times New Roman"/>
        </w:rPr>
        <w:t>apply both changes under a combined scenario.</w:t>
      </w:r>
    </w:p>
    <w:p w14:paraId="50132CE5"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Every state, risk set, estimate, JRR covariance, and PV pool was recomputed. Delta zero exactly reproduced primary estimates and standard errors. Under the combined −40 scenario, Grade 4-to-5 BB-to-AA estimates were 5.3%–32.9%; the largest reduction was 2.2 percentage points in Sweden. No system reached half its delta-zero estimate or crossed its delta-zero lower 95% bound within the planned range.</w:t>
      </w:r>
    </w:p>
    <w:p w14:paraId="0AAE2204" w14:textId="77777777" w:rsidR="00C32DDD" w:rsidRPr="00A66138" w:rsidRDefault="00000000">
      <w:pPr>
        <w:pStyle w:val="BodyText"/>
        <w:keepNext/>
        <w:keepLines/>
        <w:rPr>
          <w:rFonts w:ascii="Times New Roman" w:hAnsi="Times New Roman" w:cs="Times New Roman"/>
        </w:rPr>
      </w:pPr>
      <w:r w:rsidRPr="00A66138">
        <w:rPr>
          <w:rFonts w:ascii="Times New Roman" w:hAnsi="Times New Roman" w:cs="Times New Roman"/>
          <w:b/>
          <w:bCs/>
        </w:rPr>
        <w:lastRenderedPageBreak/>
        <w:t>Figure S4.</w:t>
      </w:r>
      <w:r w:rsidRPr="00A66138">
        <w:rPr>
          <w:rFonts w:ascii="Times New Roman" w:hAnsi="Times New Roman" w:cs="Times New Roman"/>
        </w:rPr>
        <w:t xml:space="preserve"> Pattern-mixture sensitivity for baseline-only students. Both follow-up-domain plausible values are shifted by 0, −10, −20, or −40 TIMSS points before all states and estimates are recomputed; negative shifts are imposed missing-not-at-random scenarios, not estimated corrections. Vertical bars are 95% confidence intervals.</w:t>
      </w:r>
    </w:p>
    <w:p w14:paraId="555BAF3F"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noProof/>
        </w:rPr>
        <w:drawing>
          <wp:inline distT="0" distB="0" distL="0" distR="0" wp14:anchorId="1146BC45" wp14:editId="61B161B4">
            <wp:extent cx="5334000" cy="4267199"/>
            <wp:effectExtent l="0" t="0" r="0" b="0"/>
            <wp:docPr id="33" name="Picture" descr="Nine small-multiple curves share a labeled BB-to-AA percentage axis and plot imposed follow-up shifts from minus 40 to zero points per domain for baseline-only students. Curves decline modestly as the shift becomes more negative, with every displayed confidence interval endpoint retained." title="Figure S4"/>
            <wp:cNvGraphicFramePr/>
            <a:graphic xmlns:a="http://schemas.openxmlformats.org/drawingml/2006/main">
              <a:graphicData uri="http://schemas.openxmlformats.org/drawingml/2006/picture">
                <pic:pic xmlns:pic="http://schemas.openxmlformats.org/drawingml/2006/picture">
                  <pic:nvPicPr>
                    <pic:cNvPr id="34" name="Figure S4" descr="Nine small-multiple curves share a labeled BB-to-AA percentage axis and plot imposed follow-up shifts from minus 40 to zero points per domain for baseline-only students. Curves decline modestly as the shift becomes more negative, with every displayed confidence interval endpoint retained."/>
                    <pic:cNvPicPr>
                      <a:picLocks noChangeAspect="1" noChangeArrowheads="1"/>
                    </pic:cNvPicPr>
                  </pic:nvPicPr>
                  <pic:blipFill>
                    <a:blip r:embed="rId10"/>
                    <a:stretch>
                      <a:fillRect/>
                    </a:stretch>
                  </pic:blipFill>
                  <pic:spPr bwMode="auto">
                    <a:xfrm>
                      <a:off x="0" y="0"/>
                      <a:ext cx="5334000" cy="4267199"/>
                    </a:xfrm>
                    <a:prstGeom prst="rect">
                      <a:avLst/>
                    </a:prstGeom>
                    <a:noFill/>
                    <a:ln w="9525">
                      <a:noFill/>
                      <a:headEnd/>
                      <a:tailEnd/>
                    </a:ln>
                  </pic:spPr>
                </pic:pic>
              </a:graphicData>
            </a:graphic>
          </wp:inline>
        </w:drawing>
      </w:r>
    </w:p>
    <w:p w14:paraId="395EDBC7"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Table S11 is the 1,008-row </w:t>
      </w:r>
      <w:r w:rsidRPr="00A66138">
        <w:rPr>
          <w:rStyle w:val="VerbatimChar"/>
          <w:rFonts w:ascii="Times New Roman" w:hAnsi="Times New Roman" w:cs="Times New Roman"/>
          <w:sz w:val="24"/>
        </w:rPr>
        <w:t>table_s11_mnar_pattern_mixture.csv</w:t>
      </w:r>
      <w:r w:rsidRPr="00A66138">
        <w:rPr>
          <w:rFonts w:ascii="Times New Roman" w:hAnsi="Times New Roman" w:cs="Times New Roman"/>
        </w:rPr>
        <w:t xml:space="preserve">; Table S12 is the 36-row </w:t>
      </w:r>
      <w:r w:rsidRPr="00A66138">
        <w:rPr>
          <w:rStyle w:val="VerbatimChar"/>
          <w:rFonts w:ascii="Times New Roman" w:hAnsi="Times New Roman" w:cs="Times New Roman"/>
          <w:sz w:val="24"/>
        </w:rPr>
        <w:t>table_s12_mnar_tipping_diagnostics.csv</w:t>
      </w:r>
      <w:r w:rsidRPr="00A66138">
        <w:rPr>
          <w:rFonts w:ascii="Times New Roman" w:hAnsi="Times New Roman" w:cs="Times New Roman"/>
        </w:rPr>
        <w:t>. These are bounded imposed-shift diagnostics, not identified corrections or causal tipping points (</w:t>
      </w:r>
      <w:hyperlink w:anchor="ref-danielsHogan2008">
        <w:r w:rsidRPr="00A66138">
          <w:rPr>
            <w:rStyle w:val="Hyperlink"/>
            <w:rFonts w:ascii="Times New Roman" w:hAnsi="Times New Roman" w:cs="Times New Roman"/>
          </w:rPr>
          <w:t>Daniels &amp; Hogan, 2008</w:t>
        </w:r>
      </w:hyperlink>
      <w:r w:rsidRPr="00A66138">
        <w:rPr>
          <w:rFonts w:ascii="Times New Roman" w:hAnsi="Times New Roman" w:cs="Times New Roman"/>
        </w:rPr>
        <w:t xml:space="preserve">; </w:t>
      </w:r>
      <w:hyperlink w:anchor="ref-littleRubin2019">
        <w:r w:rsidRPr="00A66138">
          <w:rPr>
            <w:rStyle w:val="Hyperlink"/>
            <w:rFonts w:ascii="Times New Roman" w:hAnsi="Times New Roman" w:cs="Times New Roman"/>
          </w:rPr>
          <w:t>Little &amp; Rubin, 2019</w:t>
        </w:r>
      </w:hyperlink>
      <w:r w:rsidRPr="00A66138">
        <w:rPr>
          <w:rFonts w:ascii="Times New Roman" w:hAnsi="Times New Roman" w:cs="Times New Roman"/>
        </w:rPr>
        <w:t>).</w:t>
      </w:r>
    </w:p>
    <w:p w14:paraId="07223D9C" w14:textId="77777777" w:rsidR="00C32DDD" w:rsidRPr="00A66138" w:rsidRDefault="00000000">
      <w:pPr>
        <w:pStyle w:val="Heading2"/>
        <w:rPr>
          <w:rFonts w:ascii="Times New Roman" w:hAnsi="Times New Roman" w:cs="Times New Roman"/>
          <w:sz w:val="24"/>
          <w:szCs w:val="24"/>
        </w:rPr>
      </w:pPr>
      <w:bookmarkStart w:id="32" w:name="s8.-descriptive-grade-8-to-9-extension"/>
      <w:bookmarkStart w:id="33" w:name="_Toc237481835"/>
      <w:bookmarkEnd w:id="26"/>
      <w:bookmarkEnd w:id="30"/>
      <w:r w:rsidRPr="00A66138">
        <w:rPr>
          <w:rFonts w:ascii="Times New Roman" w:hAnsi="Times New Roman" w:cs="Times New Roman"/>
          <w:sz w:val="24"/>
          <w:szCs w:val="24"/>
        </w:rPr>
        <w:t>S8. Descriptive Grade 8-to-9 extension</w:t>
      </w:r>
      <w:bookmarkEnd w:id="33"/>
    </w:p>
    <w:p w14:paraId="47A234C1"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Grade 8-to-9 analyses were run separately in three systems, were never pooled with Grades 4-to-5, and are not an independent replication of the nine-system Grade 4-to-5 estimand.</w:t>
      </w:r>
    </w:p>
    <w:tbl>
      <w:tblPr>
        <w:tblStyle w:val="Table"/>
        <w:tblW w:w="0" w:type="auto"/>
        <w:tblLook w:val="0020" w:firstRow="1" w:lastRow="0" w:firstColumn="0" w:lastColumn="0" w:noHBand="0" w:noVBand="0"/>
      </w:tblPr>
      <w:tblGrid>
        <w:gridCol w:w="1989"/>
        <w:gridCol w:w="1550"/>
        <w:gridCol w:w="857"/>
        <w:gridCol w:w="1276"/>
      </w:tblGrid>
      <w:tr w:rsidR="00C32DDD" w:rsidRPr="00A66138" w14:paraId="5C8D33A9" w14:textId="77777777" w:rsidTr="00C32DDD">
        <w:trPr>
          <w:cnfStyle w:val="100000000000" w:firstRow="1" w:lastRow="0" w:firstColumn="0" w:lastColumn="0" w:oddVBand="0" w:evenVBand="0" w:oddHBand="0" w:evenHBand="0" w:firstRowFirstColumn="0" w:firstRowLastColumn="0" w:lastRowFirstColumn="0" w:lastRowLastColumn="0"/>
          <w:tblHeader/>
        </w:trPr>
        <w:tc>
          <w:tcPr>
            <w:tcW w:w="0" w:type="auto"/>
          </w:tcPr>
          <w:p w14:paraId="34CEBAF6"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lastRenderedPageBreak/>
              <w:t>System</w:t>
            </w:r>
          </w:p>
        </w:tc>
        <w:tc>
          <w:tcPr>
            <w:tcW w:w="0" w:type="auto"/>
          </w:tcPr>
          <w:p w14:paraId="79E749F4"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BB-to-AA, %</w:t>
            </w:r>
          </w:p>
        </w:tc>
        <w:tc>
          <w:tcPr>
            <w:tcW w:w="0" w:type="auto"/>
          </w:tcPr>
          <w:p w14:paraId="390D06A2"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SE, pp</w:t>
            </w:r>
          </w:p>
        </w:tc>
        <w:tc>
          <w:tcPr>
            <w:tcW w:w="0" w:type="auto"/>
          </w:tcPr>
          <w:p w14:paraId="43C44B65"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95% CI, %</w:t>
            </w:r>
          </w:p>
        </w:tc>
      </w:tr>
      <w:tr w:rsidR="00C32DDD" w:rsidRPr="00A66138" w14:paraId="105280BD" w14:textId="77777777">
        <w:tc>
          <w:tcPr>
            <w:tcW w:w="0" w:type="auto"/>
          </w:tcPr>
          <w:p w14:paraId="3003CFA9"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Jordan</w:t>
            </w:r>
          </w:p>
        </w:tc>
        <w:tc>
          <w:tcPr>
            <w:tcW w:w="0" w:type="auto"/>
          </w:tcPr>
          <w:p w14:paraId="1D424423"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5.4</w:t>
            </w:r>
          </w:p>
        </w:tc>
        <w:tc>
          <w:tcPr>
            <w:tcW w:w="0" w:type="auto"/>
          </w:tcPr>
          <w:p w14:paraId="123CBFF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0.8</w:t>
            </w:r>
          </w:p>
        </w:tc>
        <w:tc>
          <w:tcPr>
            <w:tcW w:w="0" w:type="auto"/>
          </w:tcPr>
          <w:p w14:paraId="3F9D4AFC"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3.8–7.0</w:t>
            </w:r>
          </w:p>
        </w:tc>
      </w:tr>
      <w:tr w:rsidR="00C32DDD" w:rsidRPr="00A66138" w14:paraId="5EC34C0C" w14:textId="77777777">
        <w:tc>
          <w:tcPr>
            <w:tcW w:w="0" w:type="auto"/>
          </w:tcPr>
          <w:p w14:paraId="4821884F"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Republic of Korea</w:t>
            </w:r>
          </w:p>
        </w:tc>
        <w:tc>
          <w:tcPr>
            <w:tcW w:w="0" w:type="auto"/>
          </w:tcPr>
          <w:p w14:paraId="49771AA3"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6.8</w:t>
            </w:r>
          </w:p>
        </w:tc>
        <w:tc>
          <w:tcPr>
            <w:tcW w:w="0" w:type="auto"/>
          </w:tcPr>
          <w:p w14:paraId="7945B42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1.9</w:t>
            </w:r>
          </w:p>
        </w:tc>
        <w:tc>
          <w:tcPr>
            <w:tcW w:w="0" w:type="auto"/>
          </w:tcPr>
          <w:p w14:paraId="021E482B"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3.0–10.6</w:t>
            </w:r>
          </w:p>
        </w:tc>
      </w:tr>
      <w:tr w:rsidR="00C32DDD" w:rsidRPr="00A66138" w14:paraId="43B336B5" w14:textId="77777777">
        <w:tc>
          <w:tcPr>
            <w:tcW w:w="0" w:type="auto"/>
          </w:tcPr>
          <w:p w14:paraId="05494B92"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Sweden</w:t>
            </w:r>
          </w:p>
        </w:tc>
        <w:tc>
          <w:tcPr>
            <w:tcW w:w="0" w:type="auto"/>
          </w:tcPr>
          <w:p w14:paraId="67E4D709"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8.1</w:t>
            </w:r>
          </w:p>
        </w:tc>
        <w:tc>
          <w:tcPr>
            <w:tcW w:w="0" w:type="auto"/>
          </w:tcPr>
          <w:p w14:paraId="511A5A8C"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1.1</w:t>
            </w:r>
          </w:p>
        </w:tc>
        <w:tc>
          <w:tcPr>
            <w:tcW w:w="0" w:type="auto"/>
          </w:tcPr>
          <w:p w14:paraId="7B10845F"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5.9–10.3</w:t>
            </w:r>
          </w:p>
        </w:tc>
      </w:tr>
    </w:tbl>
    <w:p w14:paraId="4D46A3E1" w14:textId="77777777" w:rsidR="00C32DDD" w:rsidRPr="00A66138" w:rsidRDefault="00000000">
      <w:pPr>
        <w:pStyle w:val="BodyText"/>
        <w:keepNext/>
        <w:keepLines/>
        <w:rPr>
          <w:rFonts w:ascii="Times New Roman" w:hAnsi="Times New Roman" w:cs="Times New Roman"/>
        </w:rPr>
      </w:pPr>
      <w:r w:rsidRPr="00A66138">
        <w:rPr>
          <w:rFonts w:ascii="Times New Roman" w:hAnsi="Times New Roman" w:cs="Times New Roman"/>
          <w:b/>
          <w:bCs/>
        </w:rPr>
        <w:t>Figure S5.</w:t>
      </w:r>
      <w:r w:rsidRPr="00A66138">
        <w:rPr>
          <w:rFonts w:ascii="Times New Roman" w:hAnsi="Times New Roman" w:cs="Times New Roman"/>
        </w:rPr>
        <w:t xml:space="preserve"> Separate descriptive Grade 8-to-9 BB-to-AA extension at the 475-point threshold. Points combine five matched plausible-value draws and bars are JRR 95% confidence intervals. The three-system result is not an independent replication of the Grade 4-to-5 analysis, and Jordan science retains its documented cross-wave organization caution.</w:t>
      </w:r>
    </w:p>
    <w:p w14:paraId="2A09DEAF"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noProof/>
        </w:rPr>
        <w:drawing>
          <wp:inline distT="0" distB="0" distL="0" distR="0" wp14:anchorId="6CFE30E5" wp14:editId="6EA6C0B8">
            <wp:extent cx="4800600" cy="2867025"/>
            <wp:effectExtent l="0" t="0" r="0" b="0"/>
            <wp:docPr id="38" name="Picture" descr="Forest plot of the separate Grade 8-to-9 BB-to-AA extension for Jordan, the Republic of Korea, and Sweden. Estimates are 5.4, 6.8, and 8.1 percent, respectively; Korea has the widest 95% confidence interval, and all interval endpoints are visible." title="Figure S5"/>
            <wp:cNvGraphicFramePr/>
            <a:graphic xmlns:a="http://schemas.openxmlformats.org/drawingml/2006/main">
              <a:graphicData uri="http://schemas.openxmlformats.org/drawingml/2006/picture">
                <pic:pic xmlns:pic="http://schemas.openxmlformats.org/drawingml/2006/picture">
                  <pic:nvPicPr>
                    <pic:cNvPr id="39" name="Figure S5" descr="Forest plot of the separate Grade 8-to-9 BB-to-AA extension for Jordan, the Republic of Korea, and Sweden. Estimates are 5.4, 6.8, and 8.1 percent, respectively; Korea has the widest 95% confidence interval, and all interval endpoints are visible."/>
                    <pic:cNvPicPr>
                      <a:picLocks noChangeAspect="1" noChangeArrowheads="1"/>
                    </pic:cNvPicPr>
                  </pic:nvPicPr>
                  <pic:blipFill>
                    <a:blip r:embed="rId11"/>
                    <a:stretch>
                      <a:fillRect/>
                    </a:stretch>
                  </pic:blipFill>
                  <pic:spPr bwMode="auto">
                    <a:xfrm>
                      <a:off x="0" y="0"/>
                      <a:ext cx="4800600" cy="2867025"/>
                    </a:xfrm>
                    <a:prstGeom prst="rect">
                      <a:avLst/>
                    </a:prstGeom>
                    <a:noFill/>
                    <a:ln w="9525">
                      <a:noFill/>
                      <a:headEnd/>
                      <a:tailEnd/>
                    </a:ln>
                  </pic:spPr>
                </pic:pic>
              </a:graphicData>
            </a:graphic>
          </wp:inline>
        </w:drawing>
      </w:r>
    </w:p>
    <w:p w14:paraId="57B0A149"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Table S13 is </w:t>
      </w:r>
      <w:r w:rsidRPr="00A66138">
        <w:rPr>
          <w:rStyle w:val="VerbatimChar"/>
          <w:rFonts w:ascii="Times New Roman" w:hAnsi="Times New Roman" w:cs="Times New Roman"/>
          <w:sz w:val="24"/>
        </w:rPr>
        <w:t>table_s13_grade89_joint_transitions.csv</w:t>
      </w:r>
      <w:r w:rsidRPr="00A66138">
        <w:rPr>
          <w:rFonts w:ascii="Times New Roman" w:hAnsi="Times New Roman" w:cs="Times New Roman"/>
        </w:rPr>
        <w:t xml:space="preserve"> (48 matrix cells). Domain-specific below-to-at/above estimates were 12.2%, 30.8%, and 25.4% for mathematics and 13.8%, 22.1%, and 18.6% for science in Jordan, Korea, and Sweden. Table S14, </w:t>
      </w:r>
      <w:r w:rsidRPr="00A66138">
        <w:rPr>
          <w:rStyle w:val="VerbatimChar"/>
          <w:rFonts w:ascii="Times New Roman" w:hAnsi="Times New Roman" w:cs="Times New Roman"/>
          <w:sz w:val="24"/>
        </w:rPr>
        <w:t>table_s14_grade89_domain_extension.csv</w:t>
      </w:r>
      <w:r w:rsidRPr="00A66138">
        <w:rPr>
          <w:rFonts w:ascii="Times New Roman" w:hAnsi="Times New Roman" w:cs="Times New Roman"/>
        </w:rPr>
        <w:t>, includes baseline-below shares, persistence, score changes, standard errors, intervals, and cautions. Jordan science is interpreted separately because TIMSS documents changed assessment/instructional organization (</w:t>
      </w:r>
      <w:hyperlink w:anchor="ref-vondavier2025longitudinal">
        <w:r w:rsidRPr="00A66138">
          <w:rPr>
            <w:rStyle w:val="Hyperlink"/>
            <w:rFonts w:ascii="Times New Roman" w:hAnsi="Times New Roman" w:cs="Times New Roman"/>
          </w:rPr>
          <w:t>Davier et al., 2025</w:t>
        </w:r>
      </w:hyperlink>
      <w:r w:rsidRPr="00A66138">
        <w:rPr>
          <w:rFonts w:ascii="Times New Roman" w:hAnsi="Times New Roman" w:cs="Times New Roman"/>
        </w:rPr>
        <w:t>).</w:t>
      </w:r>
    </w:p>
    <w:p w14:paraId="2E2852D3" w14:textId="77777777" w:rsidR="00C32DDD" w:rsidRPr="00A66138" w:rsidRDefault="00000000">
      <w:pPr>
        <w:pStyle w:val="Heading2"/>
        <w:rPr>
          <w:rFonts w:ascii="Times New Roman" w:hAnsi="Times New Roman" w:cs="Times New Roman"/>
          <w:sz w:val="24"/>
          <w:szCs w:val="24"/>
        </w:rPr>
      </w:pPr>
      <w:bookmarkStart w:id="34" w:name="X05fa426bffc9dd24bbf938c741e00c3825ab9b5"/>
      <w:bookmarkStart w:id="35" w:name="_Toc237481836"/>
      <w:bookmarkEnd w:id="32"/>
      <w:r w:rsidRPr="00A66138">
        <w:rPr>
          <w:rFonts w:ascii="Times New Roman" w:hAnsi="Times New Roman" w:cs="Times New Roman"/>
          <w:sz w:val="24"/>
          <w:szCs w:val="24"/>
        </w:rPr>
        <w:lastRenderedPageBreak/>
        <w:t>S9. Exploratory same-wave unequal-index classification-discordance diagnostic</w:t>
      </w:r>
      <w:bookmarkEnd w:id="35"/>
    </w:p>
    <w:p w14:paraId="5BFE324E"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For wave </w:t>
      </w:r>
      <m:oMath>
        <m:r>
          <w:rPr>
            <w:rFonts w:ascii="Cambria Math" w:hAnsi="Cambria Math" w:cs="Times New Roman"/>
          </w:rPr>
          <m:t>t</m:t>
        </m:r>
      </m:oMath>
      <w:r w:rsidRPr="00A66138">
        <w:rPr>
          <w:rFonts w:ascii="Times New Roman" w:hAnsi="Times New Roman" w:cs="Times New Roman"/>
        </w:rPr>
        <w:t>, all ordered unequal PV-index pairs were used:</w:t>
      </w:r>
    </w:p>
    <w:p w14:paraId="41DCC961" w14:textId="77777777" w:rsidR="00C32DDD" w:rsidRPr="00A66138" w:rsidRDefault="00000000">
      <w:pPr>
        <w:pStyle w:val="BodyText"/>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ts</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20</m:t>
              </m:r>
            </m:den>
          </m:f>
          <m:nary>
            <m:naryPr>
              <m:chr m:val="∑"/>
              <m:limLoc m:val="undOvr"/>
              <m:ctrlPr>
                <w:rPr>
                  <w:rFonts w:ascii="Cambria Math" w:hAnsi="Cambria Math" w:cs="Times New Roman"/>
                </w:rPr>
              </m:ctrlPr>
            </m:naryPr>
            <m:sub>
              <m:r>
                <w:rPr>
                  <w:rFonts w:ascii="Cambria Math" w:hAnsi="Cambria Math" w:cs="Times New Roman"/>
                </w:rPr>
                <m:t>j</m:t>
              </m:r>
              <m:r>
                <m:rPr>
                  <m:sty m:val="p"/>
                </m:rPr>
                <w:rPr>
                  <w:rFonts w:ascii="Cambria Math" w:hAnsi="Cambria Math" w:cs="Times New Roman"/>
                </w:rPr>
                <m:t>=</m:t>
              </m:r>
              <m:r>
                <w:rPr>
                  <w:rFonts w:ascii="Cambria Math" w:hAnsi="Cambria Math" w:cs="Times New Roman"/>
                </w:rPr>
                <m:t>1</m:t>
              </m:r>
            </m:sub>
            <m:sup>
              <m:r>
                <w:rPr>
                  <w:rFonts w:ascii="Cambria Math" w:hAnsi="Cambria Math" w:cs="Times New Roman"/>
                </w:rPr>
                <m:t>5</m:t>
              </m:r>
            </m:sup>
            <m:e>
              <m:nary>
                <m:naryPr>
                  <m:chr m:val="∑"/>
                  <m:limLoc m:val="undOvr"/>
                  <m:supHide m:val="1"/>
                  <m:ctrlPr>
                    <w:rPr>
                      <w:rFonts w:ascii="Cambria Math" w:hAnsi="Cambria Math" w:cs="Times New Roman"/>
                    </w:rPr>
                  </m:ctrlPr>
                </m:naryPr>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j</m:t>
                  </m:r>
                </m:sub>
                <m:sup>
                  <m:r>
                    <w:rPr>
                      <w:rFonts w:ascii="Cambria Math" w:hAnsi="Cambria Math" w:cs="Times New Roman"/>
                    </w:rPr>
                    <m:t>​</m:t>
                  </m:r>
                </m:sup>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w</m:t>
                      </m:r>
                    </m:sub>
                  </m:sSub>
                </m:e>
              </m:nary>
            </m:e>
          </m:nary>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t</m:t>
              </m:r>
              <m:r>
                <m:rPr>
                  <m:sty m:val="p"/>
                </m:rPr>
                <w:rPr>
                  <w:rFonts w:ascii="Cambria Math" w:hAnsi="Cambria Math" w:cs="Times New Roman"/>
                </w:rPr>
                <m:t>,</m:t>
              </m:r>
              <m:r>
                <w:rPr>
                  <w:rFonts w:ascii="Cambria Math" w:hAnsi="Cambria Math" w:cs="Times New Roman"/>
                </w:rPr>
                <m:t>k</m:t>
              </m:r>
            </m:sub>
          </m:sSub>
          <m:r>
            <m:rPr>
              <m:sty m:val="p"/>
            </m:rPr>
            <w:rPr>
              <w:rFonts w:ascii="Cambria Math" w:hAnsi="Cambria Math" w:cs="Times New Roman"/>
            </w:rPr>
            <m:t>=</m:t>
          </m:r>
          <m:r>
            <w:rPr>
              <w:rFonts w:ascii="Cambria Math" w:hAnsi="Cambria Math" w:cs="Times New Roman"/>
            </w:rPr>
            <m:t>AA</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t</m:t>
              </m:r>
              <m:r>
                <m:rPr>
                  <m:sty m:val="p"/>
                </m:rPr>
                <w:rPr>
                  <w:rFonts w:ascii="Cambria Math" w:hAnsi="Cambria Math" w:cs="Times New Roman"/>
                </w:rPr>
                <m:t>,</m:t>
              </m:r>
              <m:r>
                <w:rPr>
                  <w:rFonts w:ascii="Cambria Math" w:hAnsi="Cambria Math" w:cs="Times New Roman"/>
                </w:rPr>
                <m:t>j</m:t>
              </m:r>
            </m:sub>
          </m:sSub>
          <m:r>
            <m:rPr>
              <m:sty m:val="p"/>
            </m:rPr>
            <w:rPr>
              <w:rFonts w:ascii="Cambria Math" w:hAnsi="Cambria Math" w:cs="Times New Roman"/>
            </w:rPr>
            <m:t>=</m:t>
          </m:r>
          <m:r>
            <w:rPr>
              <w:rFonts w:ascii="Cambria Math" w:hAnsi="Cambria Math" w:cs="Times New Roman"/>
            </w:rPr>
            <m:t>BB</m:t>
          </m:r>
          <m:r>
            <m:rPr>
              <m:sty m:val="p"/>
            </m:rPr>
            <w:rPr>
              <w:rFonts w:ascii="Cambria Math" w:hAnsi="Cambria Math" w:cs="Times New Roman"/>
            </w:rPr>
            <m:t>).</m:t>
          </m:r>
        </m:oMath>
      </m:oMathPara>
    </w:p>
    <w:p w14:paraId="4E266F6B"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Both domains use draw </w:t>
      </w:r>
      <m:oMath>
        <m:r>
          <w:rPr>
            <w:rFonts w:ascii="Cambria Math" w:hAnsi="Cambria Math" w:cs="Times New Roman"/>
          </w:rPr>
          <m:t>j</m:t>
        </m:r>
      </m:oMath>
      <w:r w:rsidRPr="00A66138">
        <w:rPr>
          <w:rFonts w:ascii="Times New Roman" w:hAnsi="Times New Roman" w:cs="Times New Roman"/>
        </w:rPr>
        <w:t xml:space="preserve"> to define BB and draw </w:t>
      </w:r>
      <m:oMath>
        <m:r>
          <w:rPr>
            <w:rFonts w:ascii="Cambria Math" w:hAnsi="Cambria Math" w:cs="Times New Roman"/>
          </w:rPr>
          <m:t>k</m:t>
        </m:r>
      </m:oMath>
      <w:r w:rsidRPr="00A66138">
        <w:rPr>
          <w:rFonts w:ascii="Times New Roman" w:hAnsi="Times New Roman" w:cs="Times New Roman"/>
        </w:rPr>
        <w:t xml:space="preserve"> to define AA. The 20 dependent values are averaged arithmetically. This is the sole exception to matched-tuple pooling. Its standard error and interval contain JRR sampling variance for the 20-pair mean only, conditional on the five released PVs; pair standard deviation, minimum, and maximum are separate descriptive quantities and are not a Rubin between-PV component.</w:t>
      </w:r>
    </w:p>
    <w:p w14:paraId="338D4C44" w14:textId="77777777" w:rsidR="00C32DDD" w:rsidRPr="00A66138" w:rsidRDefault="00000000">
      <w:pPr>
        <w:pStyle w:val="BodyText"/>
        <w:keepNext/>
        <w:keepLines/>
        <w:rPr>
          <w:rFonts w:ascii="Times New Roman" w:hAnsi="Times New Roman" w:cs="Times New Roman"/>
        </w:rPr>
      </w:pPr>
      <w:r w:rsidRPr="00A66138">
        <w:rPr>
          <w:rFonts w:ascii="Times New Roman" w:hAnsi="Times New Roman" w:cs="Times New Roman"/>
          <w:b/>
          <w:bCs/>
        </w:rPr>
        <w:lastRenderedPageBreak/>
        <w:t>Figure S6.</w:t>
      </w:r>
      <w:r w:rsidRPr="00A66138">
        <w:rPr>
          <w:rFonts w:ascii="Times New Roman" w:hAnsi="Times New Roman" w:cs="Times New Roman"/>
        </w:rPr>
        <w:t xml:space="preserve"> Actual matched-PV longitudinal BB-to-AA transitions versus baseline and follow-up exploratory same-wave unequal-index classification-discordance means. Same-wave quantities diagnose classification discordance; they are neither longitudinal estimates nor subtractive corrections. Bars for the diagnostic represent JRR sampling-only 95% intervals conditional on the five released PVs.</w:t>
      </w:r>
    </w:p>
    <w:p w14:paraId="4EB391DD"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noProof/>
        </w:rPr>
        <w:drawing>
          <wp:inline distT="0" distB="0" distL="0" distR="0" wp14:anchorId="0E3C3288" wp14:editId="366B3D3C">
            <wp:extent cx="5334000" cy="3639670"/>
            <wp:effectExtent l="0" t="0" r="0" b="0"/>
            <wp:docPr id="42" name="Picture" descr="Grouped forest plot for nine systems with three labeled symbols per system: actual matched-PV longitudinal transition, baseline same-wave unequal-index classification discordance, and follow-up discordance. Every longitudinal estimate exceeds both diagnostics; diagnostic intervals represent JRR sampling variance only, conditional on five released plausible values." title="Figure S6"/>
            <wp:cNvGraphicFramePr/>
            <a:graphic xmlns:a="http://schemas.openxmlformats.org/drawingml/2006/main">
              <a:graphicData uri="http://schemas.openxmlformats.org/drawingml/2006/picture">
                <pic:pic xmlns:pic="http://schemas.openxmlformats.org/drawingml/2006/picture">
                  <pic:nvPicPr>
                    <pic:cNvPr id="43" name="Figure S6" descr="Grouped forest plot for nine systems with three labeled symbols per system: actual matched-PV longitudinal transition, baseline same-wave unequal-index classification discordance, and follow-up discordance. Every longitudinal estimate exceeds both diagnostics; diagnostic intervals represent JRR sampling variance only, conditional on five released plausible values."/>
                    <pic:cNvPicPr>
                      <a:picLocks noChangeAspect="1" noChangeArrowheads="1"/>
                    </pic:cNvPicPr>
                  </pic:nvPicPr>
                  <pic:blipFill>
                    <a:blip r:embed="rId12"/>
                    <a:stretch>
                      <a:fillRect/>
                    </a:stretch>
                  </pic:blipFill>
                  <pic:spPr bwMode="auto">
                    <a:xfrm>
                      <a:off x="0" y="0"/>
                      <a:ext cx="5334000" cy="3639670"/>
                    </a:xfrm>
                    <a:prstGeom prst="rect">
                      <a:avLst/>
                    </a:prstGeom>
                    <a:noFill/>
                    <a:ln w="9525">
                      <a:noFill/>
                      <a:headEnd/>
                      <a:tailEnd/>
                    </a:ln>
                  </pic:spPr>
                </pic:pic>
              </a:graphicData>
            </a:graphic>
          </wp:inline>
        </w:drawing>
      </w:r>
    </w:p>
    <w:p w14:paraId="59EF97DC"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In Grades 4-to-5, baseline same-wave discordance was 1.4%–6.8% and follow-up discordance 1.8%–11.1%. Follow-up values were approximately 27%–44% of corresponding longitudinal transitions, which exceeded the diagnostic in every system. Plausible values are posterior population draws rather than repeat forms, so neither pair dispersion nor the same-wave mean is a classical measurement-error estimate. Subtraction would be unjustified (</w:t>
      </w:r>
      <w:hyperlink w:anchor="ref-barnett2005">
        <w:r w:rsidRPr="00A66138">
          <w:rPr>
            <w:rStyle w:val="Hyperlink"/>
            <w:rFonts w:ascii="Times New Roman" w:hAnsi="Times New Roman" w:cs="Times New Roman"/>
          </w:rPr>
          <w:t>Barnett et al., 2005</w:t>
        </w:r>
      </w:hyperlink>
      <w:r w:rsidRPr="00A66138">
        <w:rPr>
          <w:rFonts w:ascii="Times New Roman" w:hAnsi="Times New Roman" w:cs="Times New Roman"/>
        </w:rPr>
        <w:t xml:space="preserve">). Table S15 is </w:t>
      </w:r>
      <w:r w:rsidRPr="00A66138">
        <w:rPr>
          <w:rStyle w:val="VerbatimChar"/>
          <w:rFonts w:ascii="Times New Roman" w:hAnsi="Times New Roman" w:cs="Times New Roman"/>
          <w:sz w:val="24"/>
        </w:rPr>
        <w:t>table_s15_measurement_crossing_diagnostic.csv</w:t>
      </w:r>
      <w:r w:rsidRPr="00A66138">
        <w:rPr>
          <w:rFonts w:ascii="Times New Roman" w:hAnsi="Times New Roman" w:cs="Times New Roman"/>
        </w:rPr>
        <w:t>.</w:t>
      </w:r>
    </w:p>
    <w:p w14:paraId="57A1C530" w14:textId="77777777" w:rsidR="00C32DDD" w:rsidRPr="00A66138" w:rsidRDefault="00000000">
      <w:pPr>
        <w:pStyle w:val="Heading2"/>
        <w:rPr>
          <w:rFonts w:ascii="Times New Roman" w:hAnsi="Times New Roman" w:cs="Times New Roman"/>
          <w:sz w:val="24"/>
          <w:szCs w:val="24"/>
        </w:rPr>
      </w:pPr>
      <w:bookmarkStart w:id="36" w:name="X1a0a04ceb71053f42c468adc6611db0dd1c2d86"/>
      <w:bookmarkStart w:id="37" w:name="_Toc237481837"/>
      <w:bookmarkEnd w:id="34"/>
      <w:r w:rsidRPr="00A66138">
        <w:rPr>
          <w:rFonts w:ascii="Times New Roman" w:hAnsi="Times New Roman" w:cs="Times New Roman"/>
          <w:sz w:val="24"/>
          <w:szCs w:val="24"/>
        </w:rPr>
        <w:lastRenderedPageBreak/>
        <w:t>S10. Computational reproducibility and artifact inventory</w:t>
      </w:r>
      <w:bookmarkEnd w:id="37"/>
    </w:p>
    <w:p w14:paraId="74169C59" w14:textId="77777777" w:rsidR="00C32DDD" w:rsidRPr="00A66138" w:rsidRDefault="00000000">
      <w:pPr>
        <w:pStyle w:val="Heading3"/>
        <w:rPr>
          <w:rFonts w:ascii="Times New Roman" w:hAnsi="Times New Roman" w:cs="Times New Roman"/>
          <w:sz w:val="24"/>
          <w:szCs w:val="24"/>
        </w:rPr>
      </w:pPr>
      <w:bookmarkStart w:id="38" w:name="s10.1-dependency-free-execution-order"/>
      <w:bookmarkStart w:id="39" w:name="_Toc237481838"/>
      <w:r w:rsidRPr="00A66138">
        <w:rPr>
          <w:rFonts w:ascii="Times New Roman" w:hAnsi="Times New Roman" w:cs="Times New Roman"/>
          <w:sz w:val="24"/>
          <w:szCs w:val="24"/>
        </w:rPr>
        <w:t>S10.1 Dependency-free execution order</w:t>
      </w:r>
      <w:bookmarkEnd w:id="39"/>
    </w:p>
    <w:p w14:paraId="22790156"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From the project root, the complete analysis pipeline is:</w:t>
      </w:r>
    </w:p>
    <w:p w14:paraId="17351597" w14:textId="77777777" w:rsidR="00C32DDD" w:rsidRPr="00A66138" w:rsidRDefault="00000000">
      <w:pPr>
        <w:pStyle w:val="SourceCode"/>
        <w:rPr>
          <w:rFonts w:ascii="Times New Roman" w:hAnsi="Times New Roman" w:cs="Times New Roman"/>
        </w:rPr>
      </w:pPr>
      <w:r w:rsidRPr="00A66138">
        <w:rPr>
          <w:rStyle w:val="VerbatimChar"/>
          <w:rFonts w:ascii="Times New Roman" w:hAnsi="Times New Roman" w:cs="Times New Roman"/>
          <w:sz w:val="24"/>
        </w:rPr>
        <w:t>Rscript analysis/01_acquire_</w:t>
      </w:r>
      <w:proofErr w:type="gramStart"/>
      <w:r w:rsidRPr="00A66138">
        <w:rPr>
          <w:rStyle w:val="VerbatimChar"/>
          <w:rFonts w:ascii="Times New Roman" w:hAnsi="Times New Roman" w:cs="Times New Roman"/>
          <w:sz w:val="24"/>
        </w:rPr>
        <w:t>data.R</w:t>
      </w:r>
      <w:proofErr w:type="gramEnd"/>
      <w:r w:rsidRPr="00A66138">
        <w:rPr>
          <w:rFonts w:ascii="Times New Roman" w:hAnsi="Times New Roman" w:cs="Times New Roman"/>
        </w:rPr>
        <w:br/>
      </w:r>
      <w:r w:rsidRPr="00A66138">
        <w:rPr>
          <w:rStyle w:val="VerbatimChar"/>
          <w:rFonts w:ascii="Times New Roman" w:hAnsi="Times New Roman" w:cs="Times New Roman"/>
          <w:sz w:val="24"/>
        </w:rPr>
        <w:t>Rscript analysis/02_audit_</w:t>
      </w:r>
      <w:proofErr w:type="gramStart"/>
      <w:r w:rsidRPr="00A66138">
        <w:rPr>
          <w:rStyle w:val="VerbatimChar"/>
          <w:rFonts w:ascii="Times New Roman" w:hAnsi="Times New Roman" w:cs="Times New Roman"/>
          <w:sz w:val="24"/>
        </w:rPr>
        <w:t>data.R</w:t>
      </w:r>
      <w:proofErr w:type="gramEnd"/>
      <w:r w:rsidRPr="00A66138">
        <w:rPr>
          <w:rFonts w:ascii="Times New Roman" w:hAnsi="Times New Roman" w:cs="Times New Roman"/>
        </w:rPr>
        <w:br/>
      </w:r>
      <w:r w:rsidRPr="00A66138">
        <w:rPr>
          <w:rStyle w:val="VerbatimChar"/>
          <w:rFonts w:ascii="Times New Roman" w:hAnsi="Times New Roman" w:cs="Times New Roman"/>
          <w:sz w:val="24"/>
        </w:rPr>
        <w:t>Rscript analysis/03_primary_</w:t>
      </w:r>
      <w:proofErr w:type="gramStart"/>
      <w:r w:rsidRPr="00A66138">
        <w:rPr>
          <w:rStyle w:val="VerbatimChar"/>
          <w:rFonts w:ascii="Times New Roman" w:hAnsi="Times New Roman" w:cs="Times New Roman"/>
          <w:sz w:val="24"/>
        </w:rPr>
        <w:t>transitions.R</w:t>
      </w:r>
      <w:proofErr w:type="gramEnd"/>
      <w:r w:rsidRPr="00A66138">
        <w:rPr>
          <w:rFonts w:ascii="Times New Roman" w:hAnsi="Times New Roman" w:cs="Times New Roman"/>
        </w:rPr>
        <w:br/>
      </w:r>
      <w:r w:rsidRPr="00A66138">
        <w:rPr>
          <w:rStyle w:val="VerbatimChar"/>
          <w:rFonts w:ascii="Times New Roman" w:hAnsi="Times New Roman" w:cs="Times New Roman"/>
          <w:sz w:val="24"/>
        </w:rPr>
        <w:t>Rscript analysis/04_</w:t>
      </w:r>
      <w:proofErr w:type="gramStart"/>
      <w:r w:rsidRPr="00A66138">
        <w:rPr>
          <w:rStyle w:val="VerbatimChar"/>
          <w:rFonts w:ascii="Times New Roman" w:hAnsi="Times New Roman" w:cs="Times New Roman"/>
          <w:sz w:val="24"/>
        </w:rPr>
        <w:t>standardization.R</w:t>
      </w:r>
      <w:proofErr w:type="gramEnd"/>
      <w:r w:rsidRPr="00A66138">
        <w:rPr>
          <w:rFonts w:ascii="Times New Roman" w:hAnsi="Times New Roman" w:cs="Times New Roman"/>
        </w:rPr>
        <w:br/>
      </w:r>
      <w:r w:rsidRPr="00A66138">
        <w:rPr>
          <w:rStyle w:val="VerbatimChar"/>
          <w:rFonts w:ascii="Times New Roman" w:hAnsi="Times New Roman" w:cs="Times New Roman"/>
          <w:sz w:val="24"/>
        </w:rPr>
        <w:t>Rscript analysis/05_</w:t>
      </w:r>
      <w:proofErr w:type="gramStart"/>
      <w:r w:rsidRPr="00A66138">
        <w:rPr>
          <w:rStyle w:val="VerbatimChar"/>
          <w:rFonts w:ascii="Times New Roman" w:hAnsi="Times New Roman" w:cs="Times New Roman"/>
          <w:sz w:val="24"/>
        </w:rPr>
        <w:t>sensitivity.R</w:t>
      </w:r>
      <w:proofErr w:type="gramEnd"/>
      <w:r w:rsidRPr="00A66138">
        <w:rPr>
          <w:rFonts w:ascii="Times New Roman" w:hAnsi="Times New Roman" w:cs="Times New Roman"/>
        </w:rPr>
        <w:br/>
      </w:r>
      <w:r w:rsidRPr="00A66138">
        <w:rPr>
          <w:rStyle w:val="VerbatimChar"/>
          <w:rFonts w:ascii="Times New Roman" w:hAnsi="Times New Roman" w:cs="Times New Roman"/>
          <w:sz w:val="24"/>
        </w:rPr>
        <w:t>Rscript analysis/06_</w:t>
      </w:r>
      <w:proofErr w:type="gramStart"/>
      <w:r w:rsidRPr="00A66138">
        <w:rPr>
          <w:rStyle w:val="VerbatimChar"/>
          <w:rFonts w:ascii="Times New Roman" w:hAnsi="Times New Roman" w:cs="Times New Roman"/>
          <w:sz w:val="24"/>
        </w:rPr>
        <w:t>outputs.R</w:t>
      </w:r>
      <w:proofErr w:type="gramEnd"/>
    </w:p>
    <w:p w14:paraId="6A89F10F"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Equivalently, </w:t>
      </w:r>
      <w:r w:rsidRPr="00A66138">
        <w:rPr>
          <w:rStyle w:val="VerbatimChar"/>
          <w:rFonts w:ascii="Times New Roman" w:hAnsi="Times New Roman" w:cs="Times New Roman"/>
          <w:sz w:val="24"/>
        </w:rPr>
        <w:t>Rscript analysis/run_</w:t>
      </w:r>
      <w:proofErr w:type="gramStart"/>
      <w:r w:rsidRPr="00A66138">
        <w:rPr>
          <w:rStyle w:val="VerbatimChar"/>
          <w:rFonts w:ascii="Times New Roman" w:hAnsi="Times New Roman" w:cs="Times New Roman"/>
          <w:sz w:val="24"/>
        </w:rPr>
        <w:t>all.R</w:t>
      </w:r>
      <w:proofErr w:type="gramEnd"/>
      <w:r w:rsidRPr="00A66138">
        <w:rPr>
          <w:rFonts w:ascii="Times New Roman" w:hAnsi="Times New Roman" w:cs="Times New Roman"/>
        </w:rPr>
        <w:t xml:space="preserve"> executes those scripts. Acquisition requires internet access; subsequent steps use local official files. The analysis uses base R only, and </w:t>
      </w:r>
      <w:r w:rsidRPr="00A66138">
        <w:rPr>
          <w:rStyle w:val="VerbatimChar"/>
          <w:rFonts w:ascii="Times New Roman" w:hAnsi="Times New Roman" w:cs="Times New Roman"/>
          <w:sz w:val="24"/>
        </w:rPr>
        <w:t>analysis/xlsx_extract.py</w:t>
      </w:r>
      <w:r w:rsidRPr="00A66138">
        <w:rPr>
          <w:rFonts w:ascii="Times New Roman" w:hAnsi="Times New Roman" w:cs="Times New Roman"/>
        </w:rPr>
        <w:t xml:space="preserve"> uses the Python standard library. The exact executable prerequisites and version-check commands are pinned in </w:t>
      </w:r>
      <w:r w:rsidRPr="00A66138">
        <w:rPr>
          <w:rStyle w:val="VerbatimChar"/>
          <w:rFonts w:ascii="Times New Roman" w:hAnsi="Times New Roman" w:cs="Times New Roman"/>
          <w:sz w:val="24"/>
        </w:rPr>
        <w:t>BUILD_RECIPE.txt</w:t>
      </w:r>
      <w:r w:rsidRPr="00A66138">
        <w:rPr>
          <w:rFonts w:ascii="Times New Roman" w:hAnsi="Times New Roman" w:cs="Times New Roman"/>
        </w:rPr>
        <w:t xml:space="preserve">. The validated toolchain is R 4.6.1, Python 3.14.3, Quarto 1.10.18, Pandoc 3.10 bundled with Quarto, and Tectonic 0.17.0; R must report </w:t>
      </w:r>
      <w:r w:rsidRPr="00A66138">
        <w:rPr>
          <w:rStyle w:val="VerbatimChar"/>
          <w:rFonts w:ascii="Times New Roman" w:hAnsi="Times New Roman" w:cs="Times New Roman"/>
          <w:sz w:val="24"/>
        </w:rPr>
        <w:t>capabilities("cairo")</w:t>
      </w:r>
      <w:r w:rsidRPr="00A66138">
        <w:rPr>
          <w:rFonts w:ascii="Times New Roman" w:hAnsi="Times New Roman" w:cs="Times New Roman"/>
        </w:rPr>
        <w:t xml:space="preserve"> as </w:t>
      </w:r>
      <w:r w:rsidRPr="00A66138">
        <w:rPr>
          <w:rStyle w:val="VerbatimChar"/>
          <w:rFonts w:ascii="Times New Roman" w:hAnsi="Times New Roman" w:cs="Times New Roman"/>
          <w:sz w:val="24"/>
        </w:rPr>
        <w:t>TRUE</w:t>
      </w:r>
      <w:r w:rsidRPr="00A66138">
        <w:rPr>
          <w:rFonts w:ascii="Times New Roman" w:hAnsi="Times New Roman" w:cs="Times New Roman"/>
        </w:rPr>
        <w:t>. The complete document and replacement-package sequence is:</w:t>
      </w:r>
    </w:p>
    <w:p w14:paraId="48F1B6EC" w14:textId="77777777" w:rsidR="00C32DDD" w:rsidRPr="00A66138" w:rsidRDefault="00000000">
      <w:pPr>
        <w:pStyle w:val="SourceCode"/>
        <w:rPr>
          <w:rFonts w:ascii="Times New Roman" w:hAnsi="Times New Roman" w:cs="Times New Roman"/>
        </w:rPr>
      </w:pPr>
      <w:r w:rsidRPr="00A66138">
        <w:rPr>
          <w:rStyle w:val="VerbatimChar"/>
          <w:rFonts w:ascii="Times New Roman" w:hAnsi="Times New Roman" w:cs="Times New Roman"/>
          <w:sz w:val="24"/>
        </w:rPr>
        <w:t>quarto render manuscript/manuscript.qmd --to docx</w:t>
      </w:r>
      <w:r w:rsidRPr="00A66138">
        <w:rPr>
          <w:rFonts w:ascii="Times New Roman" w:hAnsi="Times New Roman" w:cs="Times New Roman"/>
        </w:rPr>
        <w:br/>
      </w:r>
      <w:r w:rsidRPr="00A66138">
        <w:rPr>
          <w:rStyle w:val="VerbatimChar"/>
          <w:rFonts w:ascii="Times New Roman" w:hAnsi="Times New Roman" w:cs="Times New Roman"/>
          <w:sz w:val="24"/>
        </w:rPr>
        <w:t>quarto render manuscript/manuscript.qmd --to latex</w:t>
      </w:r>
      <w:r w:rsidRPr="00A66138">
        <w:rPr>
          <w:rFonts w:ascii="Times New Roman" w:hAnsi="Times New Roman" w:cs="Times New Roman"/>
        </w:rPr>
        <w:br/>
      </w:r>
      <w:r w:rsidRPr="00A66138">
        <w:rPr>
          <w:rStyle w:val="VerbatimChar"/>
          <w:rFonts w:ascii="Times New Roman" w:hAnsi="Times New Roman" w:cs="Times New Roman"/>
          <w:sz w:val="24"/>
        </w:rPr>
        <w:t>quarto render manuscript/manuscript.qmd --to pdf</w:t>
      </w:r>
      <w:r w:rsidRPr="00A66138">
        <w:rPr>
          <w:rFonts w:ascii="Times New Roman" w:hAnsi="Times New Roman" w:cs="Times New Roman"/>
        </w:rPr>
        <w:br/>
      </w:r>
      <w:r w:rsidRPr="00A66138">
        <w:rPr>
          <w:rStyle w:val="VerbatimChar"/>
          <w:rFonts w:ascii="Times New Roman" w:hAnsi="Times New Roman" w:cs="Times New Roman"/>
          <w:sz w:val="24"/>
        </w:rPr>
        <w:t>quarto render manuscript/supplement.qmd --to docx</w:t>
      </w:r>
      <w:r w:rsidRPr="00A66138">
        <w:rPr>
          <w:rFonts w:ascii="Times New Roman" w:hAnsi="Times New Roman" w:cs="Times New Roman"/>
        </w:rPr>
        <w:br/>
      </w:r>
      <w:r w:rsidRPr="00A66138">
        <w:rPr>
          <w:rStyle w:val="VerbatimChar"/>
          <w:rFonts w:ascii="Times New Roman" w:hAnsi="Times New Roman" w:cs="Times New Roman"/>
          <w:sz w:val="24"/>
        </w:rPr>
        <w:t>quarto render manuscript/supplement.qmd --to pdf</w:t>
      </w:r>
      <w:r w:rsidRPr="00A66138">
        <w:rPr>
          <w:rFonts w:ascii="Times New Roman" w:hAnsi="Times New Roman" w:cs="Times New Roman"/>
        </w:rPr>
        <w:br/>
      </w:r>
      <w:r w:rsidRPr="00A66138">
        <w:rPr>
          <w:rStyle w:val="VerbatimChar"/>
          <w:rFonts w:ascii="Times New Roman" w:hAnsi="Times New Roman" w:cs="Times New Roman"/>
          <w:sz w:val="24"/>
        </w:rPr>
        <w:t>python3 tools/finalize_docx.py</w:t>
      </w:r>
      <w:r w:rsidRPr="00A66138">
        <w:rPr>
          <w:rFonts w:ascii="Times New Roman" w:hAnsi="Times New Roman" w:cs="Times New Roman"/>
        </w:rPr>
        <w:br/>
      </w:r>
      <w:r w:rsidRPr="00A66138">
        <w:rPr>
          <w:rStyle w:val="VerbatimChar"/>
          <w:rFonts w:ascii="Times New Roman" w:hAnsi="Times New Roman" w:cs="Times New Roman"/>
          <w:sz w:val="24"/>
        </w:rPr>
        <w:lastRenderedPageBreak/>
        <w:t>python3 tools/finalize_docx.py --verify-only</w:t>
      </w:r>
      <w:r w:rsidRPr="00A66138">
        <w:rPr>
          <w:rFonts w:ascii="Times New Roman" w:hAnsi="Times New Roman" w:cs="Times New Roman"/>
        </w:rPr>
        <w:br/>
      </w:r>
      <w:r w:rsidRPr="00A66138">
        <w:rPr>
          <w:rStyle w:val="VerbatimChar"/>
          <w:rFonts w:ascii="Times New Roman" w:hAnsi="Times New Roman" w:cs="Times New Roman"/>
          <w:sz w:val="24"/>
        </w:rPr>
        <w:t>python3 tools/build_additional_files.py \</w:t>
      </w:r>
      <w:r w:rsidRPr="00A66138">
        <w:rPr>
          <w:rFonts w:ascii="Times New Roman" w:hAnsi="Times New Roman" w:cs="Times New Roman"/>
        </w:rPr>
        <w:br/>
      </w:r>
      <w:r w:rsidRPr="00A66138">
        <w:rPr>
          <w:rStyle w:val="VerbatimChar"/>
          <w:rFonts w:ascii="Times New Roman" w:hAnsi="Times New Roman" w:cs="Times New Roman"/>
          <w:sz w:val="24"/>
        </w:rPr>
        <w:t xml:space="preserve">  --replace-generated</w:t>
      </w:r>
      <w:r w:rsidRPr="00A66138">
        <w:rPr>
          <w:rFonts w:ascii="Times New Roman" w:hAnsi="Times New Roman" w:cs="Times New Roman"/>
        </w:rPr>
        <w:br/>
      </w:r>
      <w:r w:rsidRPr="00A66138">
        <w:rPr>
          <w:rStyle w:val="VerbatimChar"/>
          <w:rFonts w:ascii="Times New Roman" w:hAnsi="Times New Roman" w:cs="Times New Roman"/>
          <w:sz w:val="24"/>
        </w:rPr>
        <w:t>python3 tools/build_additional_files.py \</w:t>
      </w:r>
      <w:r w:rsidRPr="00A66138">
        <w:rPr>
          <w:rFonts w:ascii="Times New Roman" w:hAnsi="Times New Roman" w:cs="Times New Roman"/>
        </w:rPr>
        <w:br/>
      </w:r>
      <w:r w:rsidRPr="00A66138">
        <w:rPr>
          <w:rStyle w:val="VerbatimChar"/>
          <w:rFonts w:ascii="Times New Roman" w:hAnsi="Times New Roman" w:cs="Times New Roman"/>
          <w:sz w:val="24"/>
        </w:rPr>
        <w:t xml:space="preserve">  --verify-only</w:t>
      </w:r>
    </w:p>
    <w:p w14:paraId="7C0359D7"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The explicit main LaTeX render writes </w:t>
      </w:r>
      <w:r w:rsidRPr="00A66138">
        <w:rPr>
          <w:rStyle w:val="VerbatimChar"/>
          <w:rFonts w:ascii="Times New Roman" w:hAnsi="Times New Roman" w:cs="Times New Roman"/>
          <w:sz w:val="24"/>
        </w:rPr>
        <w:t>manuscript/manuscript.tex</w:t>
      </w:r>
      <w:r w:rsidRPr="00A66138">
        <w:rPr>
          <w:rFonts w:ascii="Times New Roman" w:hAnsi="Times New Roman" w:cs="Times New Roman"/>
        </w:rPr>
        <w:t>; the subsequent main PDF render uses Tectonic, and the supplement PDF render does not retain an additional TeX deliverable. No HTML format is configured or produced.</w:t>
      </w:r>
    </w:p>
    <w:p w14:paraId="279A92B4"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For a first build in a clean </w:t>
      </w:r>
      <w:r w:rsidRPr="00A66138">
        <w:rPr>
          <w:rStyle w:val="VerbatimChar"/>
          <w:rFonts w:ascii="Times New Roman" w:hAnsi="Times New Roman" w:cs="Times New Roman"/>
          <w:sz w:val="24"/>
        </w:rPr>
        <w:t>submission/</w:t>
      </w:r>
      <w:r w:rsidRPr="00A66138">
        <w:rPr>
          <w:rFonts w:ascii="Times New Roman" w:hAnsi="Times New Roman" w:cs="Times New Roman"/>
        </w:rPr>
        <w:t xml:space="preserve"> directory, the package-builder command omits </w:t>
      </w:r>
      <w:r w:rsidRPr="00A66138">
        <w:rPr>
          <w:rStyle w:val="VerbatimChar"/>
          <w:rFonts w:ascii="Times New Roman" w:hAnsi="Times New Roman" w:cs="Times New Roman"/>
          <w:sz w:val="24"/>
        </w:rPr>
        <w:t>--replace-generated</w:t>
      </w:r>
      <w:r w:rsidRPr="00A66138">
        <w:rPr>
          <w:rFonts w:ascii="Times New Roman" w:hAnsi="Times New Roman" w:cs="Times New Roman"/>
        </w:rPr>
        <w:t>; that flag is reserved for replacing a complete, internally valid generated set. The publication stage creates all eight displayed table fragments from the same in-memory objects as the machine-readable tables, then installs tables, figures, fragments, and validation diagnostics as one rollback-protected set, with the publication-output validation record committed last. The document finalizer rejects a DOCX, PDF, or required main TeX file older than its QMD, bibliography, CSL, finalizer source, included table fragments, or referenced PNG figures. It requires exactly 8 main and 16 supplement source displays, exact nonempty OMML display counts and ordered semantic markers in both DOCX files, source-ordered equations in retained main TeX, and valid PDF signatures/trailers; it also rejects malformed or visibly mangled equations. It removes only canonical passive custom properties and the empty Pandoc comments scaffold, clears identifying and volatile document properties, rejects real comments, tracked revisions, active content, PII, and local paths, and then applies and verifies double spacing outside editable tables, continuous every-line numbering, page-number fields, and exact source-derived figure descriptions.</w:t>
      </w:r>
    </w:p>
    <w:p w14:paraId="6FFAD822"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lastRenderedPageBreak/>
        <w:t xml:space="preserve">The package builder freezes one immutable byte snapshot before semantic validation, records every packaged source byte in </w:t>
      </w:r>
      <w:r w:rsidRPr="00A66138">
        <w:rPr>
          <w:rStyle w:val="VerbatimChar"/>
          <w:rFonts w:ascii="Times New Roman" w:hAnsi="Times New Roman" w:cs="Times New Roman"/>
          <w:sz w:val="24"/>
        </w:rPr>
        <w:t>provenance/source_snapshot_manifest.csv</w:t>
      </w:r>
      <w:r w:rsidRPr="00A66138">
        <w:rPr>
          <w:rFonts w:ascii="Times New Roman" w:hAnsi="Times New Roman" w:cs="Times New Roman"/>
        </w:rPr>
        <w:t>, applies deterministic allowlists and archive budgets, rejects active/review DOCX features and identifying or forbidden content, verifies internal and external SHA-256 manifests, and publishes the three Additional Files as one rollback-protected set with the external manifest committed last. Raw and derived student data are deliberately excluded.</w:t>
      </w:r>
    </w:p>
    <w:p w14:paraId="05427AE7" w14:textId="77777777" w:rsidR="00C32DDD" w:rsidRPr="00A66138" w:rsidRDefault="00000000">
      <w:pPr>
        <w:pStyle w:val="Heading3"/>
        <w:rPr>
          <w:rFonts w:ascii="Times New Roman" w:hAnsi="Times New Roman" w:cs="Times New Roman"/>
          <w:sz w:val="24"/>
          <w:szCs w:val="24"/>
        </w:rPr>
      </w:pPr>
      <w:bookmarkStart w:id="40" w:name="s10.2-anonymous-software-record"/>
      <w:bookmarkStart w:id="41" w:name="_Toc237481839"/>
      <w:bookmarkEnd w:id="38"/>
      <w:r w:rsidRPr="00A66138">
        <w:rPr>
          <w:rFonts w:ascii="Times New Roman" w:hAnsi="Times New Roman" w:cs="Times New Roman"/>
          <w:sz w:val="24"/>
          <w:szCs w:val="24"/>
        </w:rPr>
        <w:t>S10.2 Anonymous software record</w:t>
      </w:r>
      <w:bookmarkEnd w:id="41"/>
    </w:p>
    <w:p w14:paraId="6271AEA2"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The validated analysis used exactly R 4.6.1 with base packages, Python 3.14.3 with the standard library, Quarto 1.10.18, its bundled Pandoc 3.10, and Tectonic 0.17.0. Cairo graphics capability was present and is a fail-fast requirement for publication figures. The package builder reconstructs the seven-line anonymous software record from the current executables and requires exact byte equality with the packaged software-version diagnostic; a runtime-version mismatch therefore stops packaging. The machine-specific session-information record is retained outside the anonymous review package. Operating-system build, architecture, numerical-library paths, local user paths, locale, and time-zone details are not needed for anonymous interpretation.</w:t>
      </w:r>
    </w:p>
    <w:p w14:paraId="3E4557F7" w14:textId="77777777" w:rsidR="00C32DDD" w:rsidRPr="00A66138" w:rsidRDefault="00000000">
      <w:pPr>
        <w:pStyle w:val="Heading3"/>
        <w:rPr>
          <w:rFonts w:ascii="Times New Roman" w:hAnsi="Times New Roman" w:cs="Times New Roman"/>
          <w:sz w:val="24"/>
          <w:szCs w:val="24"/>
        </w:rPr>
      </w:pPr>
      <w:bookmarkStart w:id="42" w:name="X2b34fb0224afa817ac73ff0fc78349f7458ccf1"/>
      <w:bookmarkStart w:id="43" w:name="_Toc237481840"/>
      <w:bookmarkEnd w:id="40"/>
      <w:r w:rsidRPr="00A66138">
        <w:rPr>
          <w:rFonts w:ascii="Times New Roman" w:hAnsi="Times New Roman" w:cs="Times New Roman"/>
          <w:sz w:val="24"/>
          <w:szCs w:val="24"/>
        </w:rPr>
        <w:t>S10.3 Validation gates and publication inventory</w:t>
      </w:r>
      <w:bookmarkEnd w:id="43"/>
    </w:p>
    <w:p w14:paraId="054C73C7" w14:textId="77777777" w:rsidR="00C32DDD" w:rsidRPr="00A66138" w:rsidRDefault="00000000">
      <w:pPr>
        <w:pStyle w:val="FirstParagraph"/>
        <w:rPr>
          <w:rFonts w:ascii="Times New Roman" w:hAnsi="Times New Roman" w:cs="Times New Roman"/>
        </w:rPr>
      </w:pPr>
      <w:r w:rsidRPr="00A66138">
        <w:rPr>
          <w:rFonts w:ascii="Times New Roman" w:hAnsi="Times New Roman" w:cs="Times New Roman"/>
        </w:rPr>
        <w:t xml:space="preserve">The pipeline stops before replacing publication artifacts if official checks, covariance checks, convergence/rank checks, support or target checks, primary-identity checks, delta-zero identity checks, value-level table round-trips, generated-fragment equality checks, or figure/table artifact checks fail. The validated run reported 13/13 sensitivity checks, 11/11 standardization-producer checks, completion of 7,660 stacked replicate perturbations and 22,980 surface refits without </w:t>
      </w:r>
      <w:r w:rsidRPr="00A66138">
        <w:rPr>
          <w:rFonts w:ascii="Times New Roman" w:hAnsi="Times New Roman" w:cs="Times New Roman"/>
        </w:rPr>
        <w:lastRenderedPageBreak/>
        <w:t>dropping a replicate, a 168-parameter covariance minimum eigenvalue of −4.275395e−18 against −1e−8, and 17/17 publication-output gates.</w:t>
      </w:r>
    </w:p>
    <w:p w14:paraId="610252FC" w14:textId="77777777" w:rsidR="00C32DDD" w:rsidRPr="00A66138" w:rsidRDefault="00000000">
      <w:pPr>
        <w:pStyle w:val="BodyText"/>
        <w:rPr>
          <w:rFonts w:ascii="Times New Roman" w:hAnsi="Times New Roman" w:cs="Times New Roman"/>
        </w:rPr>
      </w:pPr>
      <w:r w:rsidRPr="00A66138">
        <w:rPr>
          <w:rStyle w:val="VerbatimChar"/>
          <w:rFonts w:ascii="Times New Roman" w:hAnsi="Times New Roman" w:cs="Times New Roman"/>
          <w:sz w:val="24"/>
        </w:rPr>
        <w:t>outputs/tables/table_manifest.csv</w:t>
      </w:r>
      <w:r w:rsidRPr="00A66138">
        <w:rPr>
          <w:rFonts w:ascii="Times New Roman" w:hAnsi="Times New Roman" w:cs="Times New Roman"/>
        </w:rPr>
        <w:t xml:space="preserve"> inventories three main and 16 supplemental publication tables. Table S16 is the validation summary and is the final numbered supplemental table. The unnumbered exploratory pairwise-contrast CSV is retained only in Additional file 3 and is absent from the following publication inventory:</w:t>
      </w:r>
    </w:p>
    <w:tbl>
      <w:tblPr>
        <w:tblStyle w:val="Table"/>
        <w:tblW w:w="5000" w:type="pct"/>
        <w:tblLayout w:type="fixed"/>
        <w:tblLook w:val="0020" w:firstRow="1" w:lastRow="0" w:firstColumn="0" w:lastColumn="0" w:noHBand="0" w:noVBand="0"/>
      </w:tblPr>
      <w:tblGrid>
        <w:gridCol w:w="2873"/>
        <w:gridCol w:w="3830"/>
        <w:gridCol w:w="2873"/>
      </w:tblGrid>
      <w:tr w:rsidR="00C32DDD" w:rsidRPr="00A66138" w14:paraId="595E1228" w14:textId="77777777" w:rsidTr="00C32DDD">
        <w:trPr>
          <w:cnfStyle w:val="100000000000" w:firstRow="1" w:lastRow="0" w:firstColumn="0" w:lastColumn="0" w:oddVBand="0" w:evenVBand="0" w:oddHBand="0" w:evenHBand="0" w:firstRowFirstColumn="0" w:firstRowLastColumn="0" w:lastRowFirstColumn="0" w:lastRowLastColumn="0"/>
          <w:tblHeader/>
        </w:trPr>
        <w:tc>
          <w:tcPr>
            <w:tcW w:w="2376" w:type="dxa"/>
          </w:tcPr>
          <w:p w14:paraId="31368881"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Table</w:t>
            </w:r>
          </w:p>
        </w:tc>
        <w:tc>
          <w:tcPr>
            <w:tcW w:w="3168" w:type="dxa"/>
          </w:tcPr>
          <w:p w14:paraId="141F997A"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Rows</w:t>
            </w:r>
          </w:p>
        </w:tc>
        <w:tc>
          <w:tcPr>
            <w:tcW w:w="2376" w:type="dxa"/>
          </w:tcPr>
          <w:p w14:paraId="1B4FA448"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Scope</w:t>
            </w:r>
          </w:p>
        </w:tc>
      </w:tr>
      <w:tr w:rsidR="00C32DDD" w:rsidRPr="00A66138" w14:paraId="52DEC58A" w14:textId="77777777">
        <w:tc>
          <w:tcPr>
            <w:tcW w:w="2376" w:type="dxa"/>
          </w:tcPr>
          <w:p w14:paraId="08EB649F"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S1</w:t>
            </w:r>
          </w:p>
        </w:tc>
        <w:tc>
          <w:tcPr>
            <w:tcW w:w="3168" w:type="dxa"/>
          </w:tcPr>
          <w:p w14:paraId="497FE44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192</w:t>
            </w:r>
          </w:p>
        </w:tc>
        <w:tc>
          <w:tcPr>
            <w:tcW w:w="2376" w:type="dxa"/>
          </w:tcPr>
          <w:p w14:paraId="4A66552F"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Full transition matrices</w:t>
            </w:r>
          </w:p>
        </w:tc>
      </w:tr>
      <w:tr w:rsidR="00C32DDD" w:rsidRPr="00A66138" w14:paraId="6AF0D3F7" w14:textId="77777777">
        <w:tc>
          <w:tcPr>
            <w:tcW w:w="2376" w:type="dxa"/>
          </w:tcPr>
          <w:p w14:paraId="474D1453"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S2</w:t>
            </w:r>
          </w:p>
        </w:tc>
        <w:tc>
          <w:tcPr>
            <w:tcW w:w="3168" w:type="dxa"/>
          </w:tcPr>
          <w:p w14:paraId="7311A225"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96</w:t>
            </w:r>
          </w:p>
        </w:tc>
        <w:tc>
          <w:tcPr>
            <w:tcW w:w="2376" w:type="dxa"/>
          </w:tcPr>
          <w:p w14:paraId="06865829"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State distributions</w:t>
            </w:r>
          </w:p>
        </w:tc>
      </w:tr>
      <w:tr w:rsidR="00C32DDD" w:rsidRPr="00A66138" w14:paraId="344D06F8" w14:textId="77777777">
        <w:tc>
          <w:tcPr>
            <w:tcW w:w="2376" w:type="dxa"/>
          </w:tcPr>
          <w:p w14:paraId="340097FA"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S3</w:t>
            </w:r>
          </w:p>
        </w:tc>
        <w:tc>
          <w:tcPr>
            <w:tcW w:w="3168" w:type="dxa"/>
          </w:tcPr>
          <w:p w14:paraId="15D3253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36</w:t>
            </w:r>
          </w:p>
        </w:tc>
        <w:tc>
          <w:tcPr>
            <w:tcW w:w="2376" w:type="dxa"/>
          </w:tcPr>
          <w:p w14:paraId="60478F30"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Continuous score changes</w:t>
            </w:r>
          </w:p>
        </w:tc>
      </w:tr>
      <w:tr w:rsidR="00C32DDD" w:rsidRPr="00A66138" w14:paraId="62C00E77" w14:textId="77777777">
        <w:tc>
          <w:tcPr>
            <w:tcW w:w="2376" w:type="dxa"/>
          </w:tcPr>
          <w:p w14:paraId="0A112C77"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S4</w:t>
            </w:r>
          </w:p>
        </w:tc>
        <w:tc>
          <w:tcPr>
            <w:tcW w:w="3168" w:type="dxa"/>
          </w:tcPr>
          <w:p w14:paraId="4FE398F0"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53</w:t>
            </w:r>
          </w:p>
        </w:tc>
        <w:tc>
          <w:tcPr>
            <w:tcW w:w="2376" w:type="dxa"/>
          </w:tcPr>
          <w:p w14:paraId="696F0281"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Standardization specifications and decomposition</w:t>
            </w:r>
          </w:p>
        </w:tc>
      </w:tr>
      <w:tr w:rsidR="00C32DDD" w:rsidRPr="00A66138" w14:paraId="52CC977F" w14:textId="77777777">
        <w:tc>
          <w:tcPr>
            <w:tcW w:w="2376" w:type="dxa"/>
          </w:tcPr>
          <w:p w14:paraId="7CF7D1E1"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S5</w:t>
            </w:r>
          </w:p>
        </w:tc>
        <w:tc>
          <w:tcPr>
            <w:tcW w:w="3168" w:type="dxa"/>
          </w:tcPr>
          <w:p w14:paraId="4A3B9F19"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44</w:t>
            </w:r>
          </w:p>
        </w:tc>
        <w:tc>
          <w:tcPr>
            <w:tcW w:w="2376" w:type="dxa"/>
          </w:tcPr>
          <w:p w14:paraId="6C534D62"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Alternative versus primary standardization contrasts</w:t>
            </w:r>
          </w:p>
        </w:tc>
      </w:tr>
      <w:tr w:rsidR="00C32DDD" w:rsidRPr="00A66138" w14:paraId="66F2AAA3" w14:textId="77777777">
        <w:tc>
          <w:tcPr>
            <w:tcW w:w="2376" w:type="dxa"/>
          </w:tcPr>
          <w:p w14:paraId="0DDCB663"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S6</w:t>
            </w:r>
          </w:p>
        </w:tc>
        <w:tc>
          <w:tcPr>
            <w:tcW w:w="3168" w:type="dxa"/>
          </w:tcPr>
          <w:p w14:paraId="674D9FDF"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45</w:t>
            </w:r>
          </w:p>
        </w:tc>
        <w:tc>
          <w:tcPr>
            <w:tcW w:w="2376" w:type="dxa"/>
          </w:tcPr>
          <w:p w14:paraId="27FB18C9"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 xml:space="preserve">Standardization </w:t>
            </w:r>
            <w:proofErr w:type="gramStart"/>
            <w:r w:rsidRPr="00A66138">
              <w:rPr>
                <w:rFonts w:ascii="Times New Roman" w:hAnsi="Times New Roman" w:cs="Times New Roman"/>
              </w:rPr>
              <w:t>overlap</w:t>
            </w:r>
            <w:proofErr w:type="gramEnd"/>
            <w:r w:rsidRPr="00A66138">
              <w:rPr>
                <w:rFonts w:ascii="Times New Roman" w:hAnsi="Times New Roman" w:cs="Times New Roman"/>
              </w:rPr>
              <w:t xml:space="preserve"> by draw</w:t>
            </w:r>
          </w:p>
        </w:tc>
      </w:tr>
      <w:tr w:rsidR="00C32DDD" w:rsidRPr="00A66138" w14:paraId="54F962AE" w14:textId="77777777">
        <w:tc>
          <w:tcPr>
            <w:tcW w:w="2376" w:type="dxa"/>
          </w:tcPr>
          <w:p w14:paraId="06892455"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S7</w:t>
            </w:r>
          </w:p>
        </w:tc>
        <w:tc>
          <w:tcPr>
            <w:tcW w:w="3168" w:type="dxa"/>
          </w:tcPr>
          <w:p w14:paraId="564380AF"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9</w:t>
            </w:r>
          </w:p>
        </w:tc>
        <w:tc>
          <w:tcPr>
            <w:tcW w:w="2376" w:type="dxa"/>
          </w:tcPr>
          <w:p w14:paraId="76AC8F10"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 xml:space="preserve">Standardization </w:t>
            </w:r>
            <w:proofErr w:type="gramStart"/>
            <w:r w:rsidRPr="00A66138">
              <w:rPr>
                <w:rFonts w:ascii="Times New Roman" w:hAnsi="Times New Roman" w:cs="Times New Roman"/>
              </w:rPr>
              <w:t>overlap</w:t>
            </w:r>
            <w:proofErr w:type="gramEnd"/>
            <w:r w:rsidRPr="00A66138">
              <w:rPr>
                <w:rFonts w:ascii="Times New Roman" w:hAnsi="Times New Roman" w:cs="Times New Roman"/>
              </w:rPr>
              <w:t xml:space="preserve"> summary</w:t>
            </w:r>
          </w:p>
        </w:tc>
      </w:tr>
      <w:tr w:rsidR="00C32DDD" w:rsidRPr="00A66138" w14:paraId="2C431D91" w14:textId="77777777">
        <w:tc>
          <w:tcPr>
            <w:tcW w:w="2376" w:type="dxa"/>
          </w:tcPr>
          <w:p w14:paraId="7E4B8F70"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S8</w:t>
            </w:r>
          </w:p>
        </w:tc>
        <w:tc>
          <w:tcPr>
            <w:tcW w:w="3168" w:type="dxa"/>
          </w:tcPr>
          <w:p w14:paraId="33CAC0E9"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504</w:t>
            </w:r>
          </w:p>
        </w:tc>
        <w:tc>
          <w:tcPr>
            <w:tcW w:w="2376" w:type="dxa"/>
          </w:tcPr>
          <w:p w14:paraId="045782D7"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Threshold sensitivity</w:t>
            </w:r>
          </w:p>
        </w:tc>
      </w:tr>
      <w:tr w:rsidR="00C32DDD" w:rsidRPr="00A66138" w14:paraId="772AEBDB" w14:textId="77777777">
        <w:tc>
          <w:tcPr>
            <w:tcW w:w="2376" w:type="dxa"/>
          </w:tcPr>
          <w:p w14:paraId="25D204A4"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S9</w:t>
            </w:r>
          </w:p>
        </w:tc>
        <w:tc>
          <w:tcPr>
            <w:tcW w:w="3168" w:type="dxa"/>
          </w:tcPr>
          <w:p w14:paraId="0508CD91"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144</w:t>
            </w:r>
          </w:p>
        </w:tc>
        <w:tc>
          <w:tcPr>
            <w:tcW w:w="2376" w:type="dxa"/>
          </w:tcPr>
          <w:p w14:paraId="3DC2D9D1"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Buffered crossing sensitivity</w:t>
            </w:r>
          </w:p>
        </w:tc>
      </w:tr>
      <w:tr w:rsidR="00C32DDD" w:rsidRPr="00A66138" w14:paraId="473A7CA7" w14:textId="77777777">
        <w:tc>
          <w:tcPr>
            <w:tcW w:w="2376" w:type="dxa"/>
          </w:tcPr>
          <w:p w14:paraId="44A734F5"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S10</w:t>
            </w:r>
          </w:p>
        </w:tc>
        <w:tc>
          <w:tcPr>
            <w:tcW w:w="3168" w:type="dxa"/>
          </w:tcPr>
          <w:p w14:paraId="5DA7735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252</w:t>
            </w:r>
          </w:p>
        </w:tc>
        <w:tc>
          <w:tcPr>
            <w:tcW w:w="2376" w:type="dxa"/>
          </w:tcPr>
          <w:p w14:paraId="7C00D6B9"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Observed and response-IPW sensitivity</w:t>
            </w:r>
          </w:p>
        </w:tc>
      </w:tr>
      <w:tr w:rsidR="00C32DDD" w:rsidRPr="00A66138" w14:paraId="1A023E75" w14:textId="77777777">
        <w:tc>
          <w:tcPr>
            <w:tcW w:w="2376" w:type="dxa"/>
          </w:tcPr>
          <w:p w14:paraId="29CCFFD7"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S11</w:t>
            </w:r>
          </w:p>
        </w:tc>
        <w:tc>
          <w:tcPr>
            <w:tcW w:w="3168" w:type="dxa"/>
          </w:tcPr>
          <w:p w14:paraId="387FA78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1,008</w:t>
            </w:r>
          </w:p>
        </w:tc>
        <w:tc>
          <w:tcPr>
            <w:tcW w:w="2376" w:type="dxa"/>
          </w:tcPr>
          <w:p w14:paraId="144AF0BD"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MNAR pattern-mixture sensitivity</w:t>
            </w:r>
          </w:p>
        </w:tc>
      </w:tr>
      <w:tr w:rsidR="00C32DDD" w:rsidRPr="00A66138" w14:paraId="3D87F83B" w14:textId="77777777">
        <w:tc>
          <w:tcPr>
            <w:tcW w:w="2376" w:type="dxa"/>
          </w:tcPr>
          <w:p w14:paraId="6322C008"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S12</w:t>
            </w:r>
          </w:p>
        </w:tc>
        <w:tc>
          <w:tcPr>
            <w:tcW w:w="3168" w:type="dxa"/>
          </w:tcPr>
          <w:p w14:paraId="472DCF38"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36</w:t>
            </w:r>
          </w:p>
        </w:tc>
        <w:tc>
          <w:tcPr>
            <w:tcW w:w="2376" w:type="dxa"/>
          </w:tcPr>
          <w:p w14:paraId="437368CA"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MNAR interpolation diagnostics</w:t>
            </w:r>
          </w:p>
        </w:tc>
      </w:tr>
      <w:tr w:rsidR="00C32DDD" w:rsidRPr="00A66138" w14:paraId="468EFBFF" w14:textId="77777777">
        <w:tc>
          <w:tcPr>
            <w:tcW w:w="2376" w:type="dxa"/>
          </w:tcPr>
          <w:p w14:paraId="244ACA06"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S13</w:t>
            </w:r>
          </w:p>
        </w:tc>
        <w:tc>
          <w:tcPr>
            <w:tcW w:w="3168" w:type="dxa"/>
          </w:tcPr>
          <w:p w14:paraId="643512CE"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48</w:t>
            </w:r>
          </w:p>
        </w:tc>
        <w:tc>
          <w:tcPr>
            <w:tcW w:w="2376" w:type="dxa"/>
          </w:tcPr>
          <w:p w14:paraId="631F65BD"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Grade 8-to-9 joint transitions</w:t>
            </w:r>
          </w:p>
        </w:tc>
      </w:tr>
      <w:tr w:rsidR="00C32DDD" w:rsidRPr="00A66138" w14:paraId="2FCC0B61" w14:textId="77777777">
        <w:tc>
          <w:tcPr>
            <w:tcW w:w="2376" w:type="dxa"/>
          </w:tcPr>
          <w:p w14:paraId="76663489"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S14</w:t>
            </w:r>
          </w:p>
        </w:tc>
        <w:tc>
          <w:tcPr>
            <w:tcW w:w="3168" w:type="dxa"/>
          </w:tcPr>
          <w:p w14:paraId="49FA4FE0"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24</w:t>
            </w:r>
          </w:p>
        </w:tc>
        <w:tc>
          <w:tcPr>
            <w:tcW w:w="2376" w:type="dxa"/>
          </w:tcPr>
          <w:p w14:paraId="22D711A1"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Grade 8-to-9 domain extension</w:t>
            </w:r>
          </w:p>
        </w:tc>
      </w:tr>
      <w:tr w:rsidR="00C32DDD" w:rsidRPr="00A66138" w14:paraId="15F969A5" w14:textId="77777777">
        <w:tc>
          <w:tcPr>
            <w:tcW w:w="2376" w:type="dxa"/>
          </w:tcPr>
          <w:p w14:paraId="41DD636D"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S15</w:t>
            </w:r>
          </w:p>
        </w:tc>
        <w:tc>
          <w:tcPr>
            <w:tcW w:w="3168" w:type="dxa"/>
          </w:tcPr>
          <w:p w14:paraId="653C289C"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36</w:t>
            </w:r>
          </w:p>
        </w:tc>
        <w:tc>
          <w:tcPr>
            <w:tcW w:w="2376" w:type="dxa"/>
          </w:tcPr>
          <w:p w14:paraId="4FEEC49C"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Exploratory same-wave classification-discordance diagnostic</w:t>
            </w:r>
          </w:p>
        </w:tc>
      </w:tr>
      <w:tr w:rsidR="00C32DDD" w:rsidRPr="00A66138" w14:paraId="17778DAA" w14:textId="77777777">
        <w:tc>
          <w:tcPr>
            <w:tcW w:w="2376" w:type="dxa"/>
          </w:tcPr>
          <w:p w14:paraId="1C5691AC"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lastRenderedPageBreak/>
              <w:t>S16</w:t>
            </w:r>
          </w:p>
        </w:tc>
        <w:tc>
          <w:tcPr>
            <w:tcW w:w="3168" w:type="dxa"/>
          </w:tcPr>
          <w:p w14:paraId="401F25D6" w14:textId="77777777" w:rsidR="00C32DDD" w:rsidRPr="00A66138" w:rsidRDefault="00000000">
            <w:pPr>
              <w:pStyle w:val="Compact"/>
              <w:spacing w:line="240" w:lineRule="auto"/>
              <w:jc w:val="right"/>
              <w:rPr>
                <w:rFonts w:ascii="Times New Roman" w:hAnsi="Times New Roman" w:cs="Times New Roman"/>
              </w:rPr>
            </w:pPr>
            <w:r w:rsidRPr="00A66138">
              <w:rPr>
                <w:rFonts w:ascii="Times New Roman" w:hAnsi="Times New Roman" w:cs="Times New Roman"/>
              </w:rPr>
              <w:t>13</w:t>
            </w:r>
          </w:p>
        </w:tc>
        <w:tc>
          <w:tcPr>
            <w:tcW w:w="2376" w:type="dxa"/>
          </w:tcPr>
          <w:p w14:paraId="05FB5EFC" w14:textId="77777777" w:rsidR="00C32DDD" w:rsidRPr="00A66138" w:rsidRDefault="00000000">
            <w:pPr>
              <w:pStyle w:val="Compact"/>
              <w:spacing w:line="240" w:lineRule="auto"/>
              <w:rPr>
                <w:rFonts w:ascii="Times New Roman" w:hAnsi="Times New Roman" w:cs="Times New Roman"/>
              </w:rPr>
            </w:pPr>
            <w:r w:rsidRPr="00A66138">
              <w:rPr>
                <w:rFonts w:ascii="Times New Roman" w:hAnsi="Times New Roman" w:cs="Times New Roman"/>
              </w:rPr>
              <w:t>Validation summary</w:t>
            </w:r>
          </w:p>
        </w:tc>
      </w:tr>
    </w:tbl>
    <w:p w14:paraId="60827B5D"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The four main and six supplemental figure pairs, captions, and relative PDF/300-dpi PNG paths are in </w:t>
      </w:r>
      <w:r w:rsidRPr="00A66138">
        <w:rPr>
          <w:rStyle w:val="VerbatimChar"/>
          <w:rFonts w:ascii="Times New Roman" w:hAnsi="Times New Roman" w:cs="Times New Roman"/>
          <w:sz w:val="24"/>
        </w:rPr>
        <w:t>outputs/figures/figure_manifest.csv</w:t>
      </w:r>
      <w:r w:rsidRPr="00A66138">
        <w:rPr>
          <w:rFonts w:ascii="Times New Roman" w:hAnsi="Times New Roman" w:cs="Times New Roman"/>
        </w:rPr>
        <w:t xml:space="preserve">. Artifact dimensions, sizes, exact file-set checks, declared row counts, role counts, and pass flags are in </w:t>
      </w:r>
      <w:r w:rsidRPr="00A66138">
        <w:rPr>
          <w:rStyle w:val="VerbatimChar"/>
          <w:rFonts w:ascii="Times New Roman" w:hAnsi="Times New Roman" w:cs="Times New Roman"/>
          <w:sz w:val="24"/>
        </w:rPr>
        <w:t>figure_artifact_validation.csv</w:t>
      </w:r>
      <w:r w:rsidRPr="00A66138">
        <w:rPr>
          <w:rFonts w:ascii="Times New Roman" w:hAnsi="Times New Roman" w:cs="Times New Roman"/>
        </w:rPr>
        <w:t xml:space="preserve">, </w:t>
      </w:r>
      <w:r w:rsidRPr="00A66138">
        <w:rPr>
          <w:rStyle w:val="VerbatimChar"/>
          <w:rFonts w:ascii="Times New Roman" w:hAnsi="Times New Roman" w:cs="Times New Roman"/>
          <w:sz w:val="24"/>
        </w:rPr>
        <w:t>table_artifact_validation.csv</w:t>
      </w:r>
      <w:r w:rsidRPr="00A66138">
        <w:rPr>
          <w:rFonts w:ascii="Times New Roman" w:hAnsi="Times New Roman" w:cs="Times New Roman"/>
        </w:rPr>
        <w:t xml:space="preserve">, and </w:t>
      </w:r>
      <w:r w:rsidRPr="00A66138">
        <w:rPr>
          <w:rStyle w:val="VerbatimChar"/>
          <w:rFonts w:ascii="Times New Roman" w:hAnsi="Times New Roman" w:cs="Times New Roman"/>
          <w:sz w:val="24"/>
        </w:rPr>
        <w:t>publication_output_validation.csv</w:t>
      </w:r>
      <w:r w:rsidRPr="00A66138">
        <w:rPr>
          <w:rFonts w:ascii="Times New Roman" w:hAnsi="Times New Roman" w:cs="Times New Roman"/>
        </w:rPr>
        <w:t>.</w:t>
      </w:r>
    </w:p>
    <w:p w14:paraId="08C37901" w14:textId="77777777" w:rsidR="00C32DDD" w:rsidRPr="00A66138" w:rsidRDefault="00000000">
      <w:pPr>
        <w:pStyle w:val="BodyText"/>
        <w:rPr>
          <w:rFonts w:ascii="Times New Roman" w:hAnsi="Times New Roman" w:cs="Times New Roman"/>
        </w:rPr>
      </w:pPr>
      <w:r w:rsidRPr="00A66138">
        <w:rPr>
          <w:rFonts w:ascii="Times New Roman" w:hAnsi="Times New Roman" w:cs="Times New Roman"/>
        </w:rPr>
        <w:t xml:space="preserve">Raw data and regenerated </w:t>
      </w:r>
      <w:r w:rsidRPr="00A66138">
        <w:rPr>
          <w:rStyle w:val="VerbatimChar"/>
          <w:rFonts w:ascii="Times New Roman" w:hAnsi="Times New Roman" w:cs="Times New Roman"/>
          <w:sz w:val="24"/>
        </w:rPr>
        <w:t>.rds</w:t>
      </w:r>
      <w:r w:rsidRPr="00A66138">
        <w:rPr>
          <w:rFonts w:ascii="Times New Roman" w:hAnsi="Times New Roman" w:cs="Times New Roman"/>
        </w:rPr>
        <w:t xml:space="preserve"> files are excluded from distribution. The anonymous reproducibility archive contains the allowlisted </w:t>
      </w:r>
      <w:r w:rsidRPr="00A66138">
        <w:rPr>
          <w:rStyle w:val="VerbatimChar"/>
          <w:rFonts w:ascii="Times New Roman" w:hAnsi="Times New Roman" w:cs="Times New Roman"/>
          <w:sz w:val="24"/>
        </w:rPr>
        <w:t>analysis/</w:t>
      </w:r>
      <w:r w:rsidRPr="00A66138">
        <w:rPr>
          <w:rFonts w:ascii="Times New Roman" w:hAnsi="Times New Roman" w:cs="Times New Roman"/>
        </w:rPr>
        <w:t xml:space="preserve"> and </w:t>
      </w:r>
      <w:r w:rsidRPr="00A66138">
        <w:rPr>
          <w:rStyle w:val="VerbatimChar"/>
          <w:rFonts w:ascii="Times New Roman" w:hAnsi="Times New Roman" w:cs="Times New Roman"/>
          <w:sz w:val="24"/>
        </w:rPr>
        <w:t>manuscript/</w:t>
      </w:r>
      <w:r w:rsidRPr="00A66138">
        <w:rPr>
          <w:rFonts w:ascii="Times New Roman" w:hAnsi="Times New Roman" w:cs="Times New Roman"/>
        </w:rPr>
        <w:t xml:space="preserve"> sources, generated table fragments, nonidentifying diagnostics, machine-readable result tables, figures, official-source checksums, and the source-snapshot manifest, but not </w:t>
      </w:r>
      <w:r w:rsidRPr="00A66138">
        <w:rPr>
          <w:rStyle w:val="VerbatimChar"/>
          <w:rFonts w:ascii="Times New Roman" w:hAnsi="Times New Roman" w:cs="Times New Roman"/>
          <w:sz w:val="24"/>
        </w:rPr>
        <w:t>data/raw/</w:t>
      </w:r>
      <w:r w:rsidRPr="00A66138">
        <w:rPr>
          <w:rFonts w:ascii="Times New Roman" w:hAnsi="Times New Roman" w:cs="Times New Roman"/>
        </w:rPr>
        <w:t xml:space="preserve">, </w:t>
      </w:r>
      <w:r w:rsidRPr="00A66138">
        <w:rPr>
          <w:rStyle w:val="VerbatimChar"/>
          <w:rFonts w:ascii="Times New Roman" w:hAnsi="Times New Roman" w:cs="Times New Roman"/>
          <w:sz w:val="24"/>
        </w:rPr>
        <w:t>data/derived/</w:t>
      </w:r>
      <w:r w:rsidRPr="00A66138">
        <w:rPr>
          <w:rFonts w:ascii="Times New Roman" w:hAnsi="Times New Roman" w:cs="Times New Roman"/>
        </w:rPr>
        <w:t>, machine-specific session-information diagnostics, author metadata, or local absolute paths.</w:t>
      </w:r>
    </w:p>
    <w:p w14:paraId="4E05C326" w14:textId="77777777" w:rsidR="00C32DDD" w:rsidRPr="00A66138" w:rsidRDefault="00000000">
      <w:pPr>
        <w:pStyle w:val="Heading2"/>
        <w:rPr>
          <w:rFonts w:ascii="Times New Roman" w:hAnsi="Times New Roman" w:cs="Times New Roman"/>
          <w:sz w:val="24"/>
          <w:szCs w:val="24"/>
        </w:rPr>
      </w:pPr>
      <w:bookmarkStart w:id="44" w:name="references"/>
      <w:bookmarkStart w:id="45" w:name="_Toc237481841"/>
      <w:bookmarkEnd w:id="36"/>
      <w:bookmarkEnd w:id="42"/>
      <w:r w:rsidRPr="00A66138">
        <w:rPr>
          <w:rFonts w:ascii="Times New Roman" w:hAnsi="Times New Roman" w:cs="Times New Roman"/>
          <w:sz w:val="24"/>
          <w:szCs w:val="24"/>
        </w:rPr>
        <w:t>References</w:t>
      </w:r>
      <w:bookmarkEnd w:id="45"/>
    </w:p>
    <w:p w14:paraId="4E1C73F4" w14:textId="77777777" w:rsidR="00C32DDD" w:rsidRPr="00A66138" w:rsidRDefault="00000000">
      <w:pPr>
        <w:pStyle w:val="Bibliography"/>
        <w:rPr>
          <w:rFonts w:ascii="Times New Roman" w:hAnsi="Times New Roman" w:cs="Times New Roman"/>
        </w:rPr>
      </w:pPr>
      <w:bookmarkStart w:id="46" w:name="ref-barnett2005"/>
      <w:bookmarkStart w:id="47" w:name="refs"/>
      <w:r w:rsidRPr="00A66138">
        <w:rPr>
          <w:rFonts w:ascii="Times New Roman" w:hAnsi="Times New Roman" w:cs="Times New Roman"/>
        </w:rPr>
        <w:t xml:space="preserve">Barnett, A. G., Pols, J. C. van der, &amp; Dobson, A. J. (2005). Regression to the mean: What it is and how to deal with it. </w:t>
      </w:r>
      <w:r w:rsidRPr="00A66138">
        <w:rPr>
          <w:rFonts w:ascii="Times New Roman" w:hAnsi="Times New Roman" w:cs="Times New Roman"/>
          <w:i/>
          <w:iCs/>
        </w:rPr>
        <w:t>International Journal of Epidemiology</w:t>
      </w:r>
      <w:r w:rsidRPr="00A66138">
        <w:rPr>
          <w:rFonts w:ascii="Times New Roman" w:hAnsi="Times New Roman" w:cs="Times New Roman"/>
        </w:rPr>
        <w:t xml:space="preserve">, </w:t>
      </w:r>
      <w:r w:rsidRPr="00A66138">
        <w:rPr>
          <w:rFonts w:ascii="Times New Roman" w:hAnsi="Times New Roman" w:cs="Times New Roman"/>
          <w:i/>
          <w:iCs/>
        </w:rPr>
        <w:t>34</w:t>
      </w:r>
      <w:r w:rsidRPr="00A66138">
        <w:rPr>
          <w:rFonts w:ascii="Times New Roman" w:hAnsi="Times New Roman" w:cs="Times New Roman"/>
        </w:rPr>
        <w:t xml:space="preserve">(1), 215–220. </w:t>
      </w:r>
      <w:hyperlink r:id="rId13">
        <w:r w:rsidRPr="00A66138">
          <w:rPr>
            <w:rStyle w:val="Hyperlink"/>
            <w:rFonts w:ascii="Times New Roman" w:hAnsi="Times New Roman" w:cs="Times New Roman"/>
          </w:rPr>
          <w:t>https://doi.org/10.1093/ije/dyh299</w:t>
        </w:r>
      </w:hyperlink>
    </w:p>
    <w:p w14:paraId="349927BD" w14:textId="77777777" w:rsidR="00C32DDD" w:rsidRPr="00A66138" w:rsidRDefault="00000000">
      <w:pPr>
        <w:pStyle w:val="Bibliography"/>
        <w:rPr>
          <w:rFonts w:ascii="Times New Roman" w:hAnsi="Times New Roman" w:cs="Times New Roman"/>
        </w:rPr>
      </w:pPr>
      <w:bookmarkStart w:id="48" w:name="ref-danielsHogan2008"/>
      <w:bookmarkEnd w:id="46"/>
      <w:r w:rsidRPr="00A66138">
        <w:rPr>
          <w:rFonts w:ascii="Times New Roman" w:hAnsi="Times New Roman" w:cs="Times New Roman"/>
        </w:rPr>
        <w:t xml:space="preserve">Daniels, M. J., &amp; Hogan, J. W. (2008). </w:t>
      </w:r>
      <w:r w:rsidRPr="00A66138">
        <w:rPr>
          <w:rFonts w:ascii="Times New Roman" w:hAnsi="Times New Roman" w:cs="Times New Roman"/>
          <w:i/>
          <w:iCs/>
        </w:rPr>
        <w:t>Missing data in longitudinal studies: Strategies for bayesian modeling and sensitivity analysis</w:t>
      </w:r>
      <w:r w:rsidRPr="00A66138">
        <w:rPr>
          <w:rFonts w:ascii="Times New Roman" w:hAnsi="Times New Roman" w:cs="Times New Roman"/>
        </w:rPr>
        <w:t xml:space="preserve">. Chapman &amp; Hall/CRC. </w:t>
      </w:r>
      <w:hyperlink r:id="rId14">
        <w:r w:rsidRPr="00A66138">
          <w:rPr>
            <w:rStyle w:val="Hyperlink"/>
            <w:rFonts w:ascii="Times New Roman" w:hAnsi="Times New Roman" w:cs="Times New Roman"/>
          </w:rPr>
          <w:t>https://doi.org/10.1201/9781420011180</w:t>
        </w:r>
      </w:hyperlink>
    </w:p>
    <w:p w14:paraId="72965E2A" w14:textId="77777777" w:rsidR="00C32DDD" w:rsidRPr="00A66138" w:rsidRDefault="00000000">
      <w:pPr>
        <w:pStyle w:val="Bibliography"/>
        <w:rPr>
          <w:rFonts w:ascii="Times New Roman" w:hAnsi="Times New Roman" w:cs="Times New Roman"/>
        </w:rPr>
      </w:pPr>
      <w:bookmarkStart w:id="49" w:name="ref-vondavier2025longitudinal"/>
      <w:bookmarkEnd w:id="48"/>
      <w:r w:rsidRPr="00A66138">
        <w:rPr>
          <w:rFonts w:ascii="Times New Roman" w:hAnsi="Times New Roman" w:cs="Times New Roman"/>
        </w:rPr>
        <w:t xml:space="preserve">Davier, M. von, Kennedy, A. M., Reynolds, K. A., Gonzalez, E., &amp; Khorramdel, L. (2025). </w:t>
      </w:r>
      <w:r w:rsidRPr="00A66138">
        <w:rPr>
          <w:rFonts w:ascii="Times New Roman" w:hAnsi="Times New Roman" w:cs="Times New Roman"/>
          <w:i/>
          <w:iCs/>
        </w:rPr>
        <w:t>TIMSS 2023 longitudinal international results in mathematics and science</w:t>
      </w:r>
      <w:r w:rsidRPr="00A66138">
        <w:rPr>
          <w:rFonts w:ascii="Times New Roman" w:hAnsi="Times New Roman" w:cs="Times New Roman"/>
        </w:rPr>
        <w:t xml:space="preserve">. TIMSS &amp; PIRLS International Study Center, Boston College. </w:t>
      </w:r>
      <w:hyperlink r:id="rId15">
        <w:r w:rsidRPr="00A66138">
          <w:rPr>
            <w:rStyle w:val="Hyperlink"/>
            <w:rFonts w:ascii="Times New Roman" w:hAnsi="Times New Roman" w:cs="Times New Roman"/>
          </w:rPr>
          <w:t>https://doi.org/10.6017/lse.tpisc.timss.dn2487</w:t>
        </w:r>
      </w:hyperlink>
    </w:p>
    <w:p w14:paraId="0DA76FAA" w14:textId="77777777" w:rsidR="00C32DDD" w:rsidRPr="00A66138" w:rsidRDefault="00000000">
      <w:pPr>
        <w:pStyle w:val="Bibliography"/>
        <w:rPr>
          <w:rFonts w:ascii="Times New Roman" w:hAnsi="Times New Roman" w:cs="Times New Roman"/>
        </w:rPr>
      </w:pPr>
      <w:bookmarkStart w:id="50" w:name="ref-fishbein2025technical"/>
      <w:bookmarkEnd w:id="49"/>
      <w:r w:rsidRPr="00A66138">
        <w:rPr>
          <w:rFonts w:ascii="Times New Roman" w:hAnsi="Times New Roman" w:cs="Times New Roman"/>
        </w:rPr>
        <w:lastRenderedPageBreak/>
        <w:t xml:space="preserve">Fishbein, B., Gonzalez, E., &amp; Davier, M. von (Eds.). (2025). </w:t>
      </w:r>
      <w:r w:rsidRPr="00A66138">
        <w:rPr>
          <w:rFonts w:ascii="Times New Roman" w:hAnsi="Times New Roman" w:cs="Times New Roman"/>
          <w:i/>
          <w:iCs/>
        </w:rPr>
        <w:t>TIMSS 2023 longitudinal technical report: Addendum to the TIMSS 2023 technical report</w:t>
      </w:r>
      <w:r w:rsidRPr="00A66138">
        <w:rPr>
          <w:rFonts w:ascii="Times New Roman" w:hAnsi="Times New Roman" w:cs="Times New Roman"/>
        </w:rPr>
        <w:t xml:space="preserve">. TIMSS &amp; PIRLS International Study Center, Boston College. </w:t>
      </w:r>
      <w:hyperlink r:id="rId16">
        <w:r w:rsidRPr="00A66138">
          <w:rPr>
            <w:rStyle w:val="Hyperlink"/>
            <w:rFonts w:ascii="Times New Roman" w:hAnsi="Times New Roman" w:cs="Times New Roman"/>
          </w:rPr>
          <w:t>https://doi.org/10.6017/lse.tpisc.timss.de4812</w:t>
        </w:r>
      </w:hyperlink>
    </w:p>
    <w:p w14:paraId="6B7390B7" w14:textId="77777777" w:rsidR="00C32DDD" w:rsidRPr="00A66138" w:rsidRDefault="00000000">
      <w:pPr>
        <w:pStyle w:val="Bibliography"/>
        <w:rPr>
          <w:rFonts w:ascii="Times New Roman" w:hAnsi="Times New Roman" w:cs="Times New Roman"/>
        </w:rPr>
      </w:pPr>
      <w:bookmarkStart w:id="51" w:name="ref-fishbein2024se"/>
      <w:bookmarkEnd w:id="50"/>
      <w:r w:rsidRPr="00A66138">
        <w:rPr>
          <w:rFonts w:ascii="Times New Roman" w:hAnsi="Times New Roman" w:cs="Times New Roman"/>
        </w:rPr>
        <w:t xml:space="preserve">Fishbein, B., Siegel, P., Atasever, U., &amp; Cooney, D. (2024). Standard error estimation in TIMSS. In </w:t>
      </w:r>
      <w:r w:rsidRPr="00A66138">
        <w:rPr>
          <w:rFonts w:ascii="Times New Roman" w:hAnsi="Times New Roman" w:cs="Times New Roman"/>
          <w:i/>
          <w:iCs/>
        </w:rPr>
        <w:t>TIMSS 2023 technical report</w:t>
      </w:r>
      <w:r w:rsidRPr="00A66138">
        <w:rPr>
          <w:rFonts w:ascii="Times New Roman" w:hAnsi="Times New Roman" w:cs="Times New Roman"/>
        </w:rPr>
        <w:t xml:space="preserve"> (Chapter 13). TIMSS &amp; PIRLS International Study Center, Boston College. </w:t>
      </w:r>
      <w:hyperlink r:id="rId17">
        <w:r w:rsidRPr="00A66138">
          <w:rPr>
            <w:rStyle w:val="Hyperlink"/>
            <w:rFonts w:ascii="Times New Roman" w:hAnsi="Times New Roman" w:cs="Times New Roman"/>
          </w:rPr>
          <w:t>https://doi.org/10.6017/lse.tpisc.timss.rs6950</w:t>
        </w:r>
      </w:hyperlink>
    </w:p>
    <w:p w14:paraId="4B83B304" w14:textId="77777777" w:rsidR="00C32DDD" w:rsidRPr="00A66138" w:rsidRDefault="00000000">
      <w:pPr>
        <w:pStyle w:val="Bibliography"/>
        <w:rPr>
          <w:rFonts w:ascii="Times New Roman" w:hAnsi="Times New Roman" w:cs="Times New Roman"/>
        </w:rPr>
      </w:pPr>
      <w:bookmarkStart w:id="52" w:name="ref-fishbein2026user"/>
      <w:bookmarkEnd w:id="51"/>
      <w:r w:rsidRPr="00A66138">
        <w:rPr>
          <w:rFonts w:ascii="Times New Roman" w:hAnsi="Times New Roman" w:cs="Times New Roman"/>
        </w:rPr>
        <w:t xml:space="preserve">Fishbein, B., Taneva, M., &amp; Kowolik, K. (2026). </w:t>
      </w:r>
      <w:r w:rsidRPr="00A66138">
        <w:rPr>
          <w:rFonts w:ascii="Times New Roman" w:hAnsi="Times New Roman" w:cs="Times New Roman"/>
          <w:i/>
          <w:iCs/>
        </w:rPr>
        <w:t>TIMSS 2023 longitudinal user guide for the international database</w:t>
      </w:r>
      <w:r w:rsidRPr="00A66138">
        <w:rPr>
          <w:rFonts w:ascii="Times New Roman" w:hAnsi="Times New Roman" w:cs="Times New Roman"/>
        </w:rPr>
        <w:t xml:space="preserve">. TIMSS &amp; PIRLS International Study Center, Boston College. </w:t>
      </w:r>
      <w:hyperlink r:id="rId18">
        <w:r w:rsidRPr="00A66138">
          <w:rPr>
            <w:rStyle w:val="Hyperlink"/>
            <w:rFonts w:ascii="Times New Roman" w:hAnsi="Times New Roman" w:cs="Times New Roman"/>
          </w:rPr>
          <w:t>https://timss2023.org/wp-content/uploads/data/T23L_UG-International-Database.pdf</w:t>
        </w:r>
      </w:hyperlink>
    </w:p>
    <w:p w14:paraId="167787EF" w14:textId="77777777" w:rsidR="00C32DDD" w:rsidRPr="00A66138" w:rsidRDefault="00000000">
      <w:pPr>
        <w:pStyle w:val="Bibliography"/>
        <w:rPr>
          <w:rFonts w:ascii="Times New Roman" w:hAnsi="Times New Roman" w:cs="Times New Roman"/>
        </w:rPr>
      </w:pPr>
      <w:bookmarkStart w:id="53" w:name="ref-keiding2014"/>
      <w:bookmarkEnd w:id="52"/>
      <w:r w:rsidRPr="00A66138">
        <w:rPr>
          <w:rFonts w:ascii="Times New Roman" w:hAnsi="Times New Roman" w:cs="Times New Roman"/>
        </w:rPr>
        <w:t xml:space="preserve">Keiding, N., &amp; Clayton, D. (2014). Standardization and control for confounding in observational studies: A historical perspective. </w:t>
      </w:r>
      <w:r w:rsidRPr="00A66138">
        <w:rPr>
          <w:rFonts w:ascii="Times New Roman" w:hAnsi="Times New Roman" w:cs="Times New Roman"/>
          <w:i/>
          <w:iCs/>
        </w:rPr>
        <w:t>Statistical Science</w:t>
      </w:r>
      <w:r w:rsidRPr="00A66138">
        <w:rPr>
          <w:rFonts w:ascii="Times New Roman" w:hAnsi="Times New Roman" w:cs="Times New Roman"/>
        </w:rPr>
        <w:t xml:space="preserve">, </w:t>
      </w:r>
      <w:r w:rsidRPr="00A66138">
        <w:rPr>
          <w:rFonts w:ascii="Times New Roman" w:hAnsi="Times New Roman" w:cs="Times New Roman"/>
          <w:i/>
          <w:iCs/>
        </w:rPr>
        <w:t>29</w:t>
      </w:r>
      <w:r w:rsidRPr="00A66138">
        <w:rPr>
          <w:rFonts w:ascii="Times New Roman" w:hAnsi="Times New Roman" w:cs="Times New Roman"/>
        </w:rPr>
        <w:t xml:space="preserve">(4), 529–558. </w:t>
      </w:r>
      <w:hyperlink r:id="rId19">
        <w:r w:rsidRPr="00A66138">
          <w:rPr>
            <w:rStyle w:val="Hyperlink"/>
            <w:rFonts w:ascii="Times New Roman" w:hAnsi="Times New Roman" w:cs="Times New Roman"/>
          </w:rPr>
          <w:t>https://doi.org/10.1214/13-STS453</w:t>
        </w:r>
      </w:hyperlink>
    </w:p>
    <w:p w14:paraId="02A68962" w14:textId="77777777" w:rsidR="00C32DDD" w:rsidRPr="00A66138" w:rsidRDefault="00000000">
      <w:pPr>
        <w:pStyle w:val="Bibliography"/>
        <w:rPr>
          <w:rFonts w:ascii="Times New Roman" w:hAnsi="Times New Roman" w:cs="Times New Roman"/>
        </w:rPr>
      </w:pPr>
      <w:bookmarkStart w:id="54" w:name="ref-lane1982"/>
      <w:bookmarkEnd w:id="53"/>
      <w:r w:rsidRPr="00A66138">
        <w:rPr>
          <w:rFonts w:ascii="Times New Roman" w:hAnsi="Times New Roman" w:cs="Times New Roman"/>
        </w:rPr>
        <w:t xml:space="preserve">Lane, P. W., &amp; Nelder, J. A. (1982). Analysis of covariance and standardization as instances of prediction. </w:t>
      </w:r>
      <w:r w:rsidRPr="00A66138">
        <w:rPr>
          <w:rFonts w:ascii="Times New Roman" w:hAnsi="Times New Roman" w:cs="Times New Roman"/>
          <w:i/>
          <w:iCs/>
        </w:rPr>
        <w:t>Biometrics</w:t>
      </w:r>
      <w:r w:rsidRPr="00A66138">
        <w:rPr>
          <w:rFonts w:ascii="Times New Roman" w:hAnsi="Times New Roman" w:cs="Times New Roman"/>
        </w:rPr>
        <w:t xml:space="preserve">, </w:t>
      </w:r>
      <w:r w:rsidRPr="00A66138">
        <w:rPr>
          <w:rFonts w:ascii="Times New Roman" w:hAnsi="Times New Roman" w:cs="Times New Roman"/>
          <w:i/>
          <w:iCs/>
        </w:rPr>
        <w:t>38</w:t>
      </w:r>
      <w:r w:rsidRPr="00A66138">
        <w:rPr>
          <w:rFonts w:ascii="Times New Roman" w:hAnsi="Times New Roman" w:cs="Times New Roman"/>
        </w:rPr>
        <w:t xml:space="preserve">(3), 613–621. </w:t>
      </w:r>
      <w:hyperlink r:id="rId20">
        <w:r w:rsidRPr="00A66138">
          <w:rPr>
            <w:rStyle w:val="Hyperlink"/>
            <w:rFonts w:ascii="Times New Roman" w:hAnsi="Times New Roman" w:cs="Times New Roman"/>
          </w:rPr>
          <w:t>https://doi.org/10.2307/2530043</w:t>
        </w:r>
      </w:hyperlink>
    </w:p>
    <w:p w14:paraId="49F138DC" w14:textId="77777777" w:rsidR="00C32DDD" w:rsidRPr="00A66138" w:rsidRDefault="00000000">
      <w:pPr>
        <w:pStyle w:val="Bibliography"/>
        <w:rPr>
          <w:rFonts w:ascii="Times New Roman" w:hAnsi="Times New Roman" w:cs="Times New Roman"/>
        </w:rPr>
      </w:pPr>
      <w:bookmarkStart w:id="55" w:name="ref-littleRubin2019"/>
      <w:bookmarkEnd w:id="54"/>
      <w:r w:rsidRPr="00A66138">
        <w:rPr>
          <w:rFonts w:ascii="Times New Roman" w:hAnsi="Times New Roman" w:cs="Times New Roman"/>
        </w:rPr>
        <w:t xml:space="preserve">Little, R. J. A., &amp; Rubin, D. B. (2019). </w:t>
      </w:r>
      <w:r w:rsidRPr="00A66138">
        <w:rPr>
          <w:rFonts w:ascii="Times New Roman" w:hAnsi="Times New Roman" w:cs="Times New Roman"/>
          <w:i/>
          <w:iCs/>
        </w:rPr>
        <w:t>Statistical analysis with missing data</w:t>
      </w:r>
      <w:r w:rsidRPr="00A66138">
        <w:rPr>
          <w:rFonts w:ascii="Times New Roman" w:hAnsi="Times New Roman" w:cs="Times New Roman"/>
        </w:rPr>
        <w:t xml:space="preserve"> (3rd ed.). John Wiley &amp; Sons. </w:t>
      </w:r>
      <w:hyperlink r:id="rId21">
        <w:r w:rsidRPr="00A66138">
          <w:rPr>
            <w:rStyle w:val="Hyperlink"/>
            <w:rFonts w:ascii="Times New Roman" w:hAnsi="Times New Roman" w:cs="Times New Roman"/>
          </w:rPr>
          <w:t>https://doi.org/10.1002/9781119482260</w:t>
        </w:r>
      </w:hyperlink>
    </w:p>
    <w:p w14:paraId="461F3BF9" w14:textId="77777777" w:rsidR="00C32DDD" w:rsidRPr="00A66138" w:rsidRDefault="00000000">
      <w:pPr>
        <w:pStyle w:val="Bibliography"/>
        <w:rPr>
          <w:rFonts w:ascii="Times New Roman" w:hAnsi="Times New Roman" w:cs="Times New Roman"/>
        </w:rPr>
      </w:pPr>
      <w:bookmarkStart w:id="56" w:name="ref-mislevy1992"/>
      <w:bookmarkEnd w:id="55"/>
      <w:r w:rsidRPr="00A66138">
        <w:rPr>
          <w:rFonts w:ascii="Times New Roman" w:hAnsi="Times New Roman" w:cs="Times New Roman"/>
        </w:rPr>
        <w:t xml:space="preserve">Mislevy, R. J., Beaton, A. E., Kaplan, B., &amp; Sheehan, K. M. (1992). Estimating population characteristics from sparse matrix samples of item responses. </w:t>
      </w:r>
      <w:r w:rsidRPr="00A66138">
        <w:rPr>
          <w:rFonts w:ascii="Times New Roman" w:hAnsi="Times New Roman" w:cs="Times New Roman"/>
          <w:i/>
          <w:iCs/>
        </w:rPr>
        <w:t>Journal of Educational Measurement</w:t>
      </w:r>
      <w:r w:rsidRPr="00A66138">
        <w:rPr>
          <w:rFonts w:ascii="Times New Roman" w:hAnsi="Times New Roman" w:cs="Times New Roman"/>
        </w:rPr>
        <w:t xml:space="preserve">, </w:t>
      </w:r>
      <w:r w:rsidRPr="00A66138">
        <w:rPr>
          <w:rFonts w:ascii="Times New Roman" w:hAnsi="Times New Roman" w:cs="Times New Roman"/>
          <w:i/>
          <w:iCs/>
        </w:rPr>
        <w:t>29</w:t>
      </w:r>
      <w:r w:rsidRPr="00A66138">
        <w:rPr>
          <w:rFonts w:ascii="Times New Roman" w:hAnsi="Times New Roman" w:cs="Times New Roman"/>
        </w:rPr>
        <w:t xml:space="preserve">(2), 133–161. </w:t>
      </w:r>
      <w:hyperlink r:id="rId22">
        <w:r w:rsidRPr="00A66138">
          <w:rPr>
            <w:rStyle w:val="Hyperlink"/>
            <w:rFonts w:ascii="Times New Roman" w:hAnsi="Times New Roman" w:cs="Times New Roman"/>
          </w:rPr>
          <w:t>https://doi.org/10.1111/j.1745-3984.1992.tb00371.x</w:t>
        </w:r>
      </w:hyperlink>
    </w:p>
    <w:p w14:paraId="374C8717" w14:textId="77777777" w:rsidR="00C32DDD" w:rsidRPr="00A66138" w:rsidRDefault="00000000">
      <w:pPr>
        <w:pStyle w:val="Bibliography"/>
        <w:rPr>
          <w:rFonts w:ascii="Times New Roman" w:hAnsi="Times New Roman" w:cs="Times New Roman"/>
        </w:rPr>
      </w:pPr>
      <w:bookmarkStart w:id="57" w:name="ref-robins1994"/>
      <w:bookmarkEnd w:id="56"/>
      <w:r w:rsidRPr="00A66138">
        <w:rPr>
          <w:rFonts w:ascii="Times New Roman" w:hAnsi="Times New Roman" w:cs="Times New Roman"/>
        </w:rPr>
        <w:lastRenderedPageBreak/>
        <w:t xml:space="preserve">Robins, J. M., Rotnitzky, A., &amp; Zhao, L. P. (1994). Estimation of regression coefficients when some regressors are not always observed. </w:t>
      </w:r>
      <w:r w:rsidRPr="00A66138">
        <w:rPr>
          <w:rFonts w:ascii="Times New Roman" w:hAnsi="Times New Roman" w:cs="Times New Roman"/>
          <w:i/>
          <w:iCs/>
        </w:rPr>
        <w:t>Journal of the American Statistical Association</w:t>
      </w:r>
      <w:r w:rsidRPr="00A66138">
        <w:rPr>
          <w:rFonts w:ascii="Times New Roman" w:hAnsi="Times New Roman" w:cs="Times New Roman"/>
        </w:rPr>
        <w:t xml:space="preserve">, </w:t>
      </w:r>
      <w:r w:rsidRPr="00A66138">
        <w:rPr>
          <w:rFonts w:ascii="Times New Roman" w:hAnsi="Times New Roman" w:cs="Times New Roman"/>
          <w:i/>
          <w:iCs/>
        </w:rPr>
        <w:t>89</w:t>
      </w:r>
      <w:r w:rsidRPr="00A66138">
        <w:rPr>
          <w:rFonts w:ascii="Times New Roman" w:hAnsi="Times New Roman" w:cs="Times New Roman"/>
        </w:rPr>
        <w:t xml:space="preserve">(427), 846–866. </w:t>
      </w:r>
      <w:hyperlink r:id="rId23">
        <w:r w:rsidRPr="00A66138">
          <w:rPr>
            <w:rStyle w:val="Hyperlink"/>
            <w:rFonts w:ascii="Times New Roman" w:hAnsi="Times New Roman" w:cs="Times New Roman"/>
          </w:rPr>
          <w:t>https://doi.org/10.1080/01621459.1994.10476818</w:t>
        </w:r>
      </w:hyperlink>
    </w:p>
    <w:p w14:paraId="0DE749B6" w14:textId="77777777" w:rsidR="00C32DDD" w:rsidRPr="00A66138" w:rsidRDefault="00000000">
      <w:pPr>
        <w:pStyle w:val="Bibliography"/>
        <w:rPr>
          <w:rFonts w:ascii="Times New Roman" w:hAnsi="Times New Roman" w:cs="Times New Roman"/>
        </w:rPr>
      </w:pPr>
      <w:bookmarkStart w:id="58" w:name="ref-rubin1987"/>
      <w:bookmarkEnd w:id="57"/>
      <w:r w:rsidRPr="00A66138">
        <w:rPr>
          <w:rFonts w:ascii="Times New Roman" w:hAnsi="Times New Roman" w:cs="Times New Roman"/>
        </w:rPr>
        <w:t xml:space="preserve">Rubin, D. B. (1987). </w:t>
      </w:r>
      <w:r w:rsidRPr="00A66138">
        <w:rPr>
          <w:rFonts w:ascii="Times New Roman" w:hAnsi="Times New Roman" w:cs="Times New Roman"/>
          <w:i/>
          <w:iCs/>
        </w:rPr>
        <w:t>Multiple imputation for nonresponse in surveys</w:t>
      </w:r>
      <w:r w:rsidRPr="00A66138">
        <w:rPr>
          <w:rFonts w:ascii="Times New Roman" w:hAnsi="Times New Roman" w:cs="Times New Roman"/>
        </w:rPr>
        <w:t xml:space="preserve">. John Wiley &amp; Sons. </w:t>
      </w:r>
      <w:hyperlink r:id="rId24">
        <w:r w:rsidRPr="00A66138">
          <w:rPr>
            <w:rStyle w:val="Hyperlink"/>
            <w:rFonts w:ascii="Times New Roman" w:hAnsi="Times New Roman" w:cs="Times New Roman"/>
          </w:rPr>
          <w:t>https://doi.org/10.1002/9780470316696</w:t>
        </w:r>
      </w:hyperlink>
    </w:p>
    <w:p w14:paraId="7D03821C" w14:textId="77777777" w:rsidR="00C32DDD" w:rsidRPr="00A66138" w:rsidRDefault="00000000">
      <w:pPr>
        <w:pStyle w:val="Bibliography"/>
        <w:rPr>
          <w:rFonts w:ascii="Times New Roman" w:hAnsi="Times New Roman" w:cs="Times New Roman"/>
        </w:rPr>
      </w:pPr>
      <w:bookmarkStart w:id="59" w:name="ref-rutkowski2010"/>
      <w:bookmarkEnd w:id="58"/>
      <w:r w:rsidRPr="00A66138">
        <w:rPr>
          <w:rFonts w:ascii="Times New Roman" w:hAnsi="Times New Roman" w:cs="Times New Roman"/>
        </w:rPr>
        <w:t xml:space="preserve">Rutkowski, L., Gonzalez, E., Joncas, M., &amp; Davier, M. von. (2010). International large-scale assessment data: Issues in secondary analysis and reporting. </w:t>
      </w:r>
      <w:r w:rsidRPr="00A66138">
        <w:rPr>
          <w:rFonts w:ascii="Times New Roman" w:hAnsi="Times New Roman" w:cs="Times New Roman"/>
          <w:i/>
          <w:iCs/>
        </w:rPr>
        <w:t>Educational Researcher</w:t>
      </w:r>
      <w:r w:rsidRPr="00A66138">
        <w:rPr>
          <w:rFonts w:ascii="Times New Roman" w:hAnsi="Times New Roman" w:cs="Times New Roman"/>
        </w:rPr>
        <w:t xml:space="preserve">, </w:t>
      </w:r>
      <w:r w:rsidRPr="00A66138">
        <w:rPr>
          <w:rFonts w:ascii="Times New Roman" w:hAnsi="Times New Roman" w:cs="Times New Roman"/>
          <w:i/>
          <w:iCs/>
        </w:rPr>
        <w:t>39</w:t>
      </w:r>
      <w:r w:rsidRPr="00A66138">
        <w:rPr>
          <w:rFonts w:ascii="Times New Roman" w:hAnsi="Times New Roman" w:cs="Times New Roman"/>
        </w:rPr>
        <w:t xml:space="preserve">(2), 142–151. </w:t>
      </w:r>
      <w:hyperlink r:id="rId25">
        <w:r w:rsidRPr="00A66138">
          <w:rPr>
            <w:rStyle w:val="Hyperlink"/>
            <w:rFonts w:ascii="Times New Roman" w:hAnsi="Times New Roman" w:cs="Times New Roman"/>
          </w:rPr>
          <w:t>https://doi.org/10.3102/0013189X10363170</w:t>
        </w:r>
      </w:hyperlink>
    </w:p>
    <w:p w14:paraId="0AA378D1" w14:textId="77777777" w:rsidR="00C32DDD" w:rsidRPr="00A66138" w:rsidRDefault="00000000">
      <w:pPr>
        <w:pStyle w:val="Bibliography"/>
        <w:rPr>
          <w:rFonts w:ascii="Times New Roman" w:hAnsi="Times New Roman" w:cs="Times New Roman"/>
        </w:rPr>
      </w:pPr>
      <w:bookmarkStart w:id="60" w:name="ref-seaman2013"/>
      <w:bookmarkEnd w:id="59"/>
      <w:r w:rsidRPr="00A66138">
        <w:rPr>
          <w:rFonts w:ascii="Times New Roman" w:hAnsi="Times New Roman" w:cs="Times New Roman"/>
        </w:rPr>
        <w:t xml:space="preserve">Seaman, S. R., &amp; White, I. R. (2013). Review of inverse probability weighting for dealing with missing data. </w:t>
      </w:r>
      <w:r w:rsidRPr="00A66138">
        <w:rPr>
          <w:rFonts w:ascii="Times New Roman" w:hAnsi="Times New Roman" w:cs="Times New Roman"/>
          <w:i/>
          <w:iCs/>
        </w:rPr>
        <w:t>Statistical Methods in Medical Research</w:t>
      </w:r>
      <w:r w:rsidRPr="00A66138">
        <w:rPr>
          <w:rFonts w:ascii="Times New Roman" w:hAnsi="Times New Roman" w:cs="Times New Roman"/>
        </w:rPr>
        <w:t xml:space="preserve">, </w:t>
      </w:r>
      <w:r w:rsidRPr="00A66138">
        <w:rPr>
          <w:rFonts w:ascii="Times New Roman" w:hAnsi="Times New Roman" w:cs="Times New Roman"/>
          <w:i/>
          <w:iCs/>
        </w:rPr>
        <w:t>22</w:t>
      </w:r>
      <w:r w:rsidRPr="00A66138">
        <w:rPr>
          <w:rFonts w:ascii="Times New Roman" w:hAnsi="Times New Roman" w:cs="Times New Roman"/>
        </w:rPr>
        <w:t xml:space="preserve">(3), 278–295. </w:t>
      </w:r>
      <w:hyperlink r:id="rId26">
        <w:r w:rsidRPr="00A66138">
          <w:rPr>
            <w:rStyle w:val="Hyperlink"/>
            <w:rFonts w:ascii="Times New Roman" w:hAnsi="Times New Roman" w:cs="Times New Roman"/>
          </w:rPr>
          <w:t>https://doi.org/10.1177/0962280210395740</w:t>
        </w:r>
      </w:hyperlink>
    </w:p>
    <w:p w14:paraId="3C5E9B27" w14:textId="77777777" w:rsidR="00C32DDD" w:rsidRPr="00A66138" w:rsidRDefault="00000000">
      <w:pPr>
        <w:pStyle w:val="Bibliography"/>
        <w:rPr>
          <w:rFonts w:ascii="Times New Roman" w:hAnsi="Times New Roman" w:cs="Times New Roman"/>
        </w:rPr>
      </w:pPr>
      <w:bookmarkStart w:id="61" w:name="ref-westreich2010"/>
      <w:bookmarkEnd w:id="60"/>
      <w:r w:rsidRPr="00A66138">
        <w:rPr>
          <w:rFonts w:ascii="Times New Roman" w:hAnsi="Times New Roman" w:cs="Times New Roman"/>
        </w:rPr>
        <w:t xml:space="preserve">Westreich, D., &amp; Cole, S. R. (2010). Invited commentary: Positivity in practice. </w:t>
      </w:r>
      <w:r w:rsidRPr="00A66138">
        <w:rPr>
          <w:rFonts w:ascii="Times New Roman" w:hAnsi="Times New Roman" w:cs="Times New Roman"/>
          <w:i/>
          <w:iCs/>
        </w:rPr>
        <w:t>American Journal of Epidemiology</w:t>
      </w:r>
      <w:r w:rsidRPr="00A66138">
        <w:rPr>
          <w:rFonts w:ascii="Times New Roman" w:hAnsi="Times New Roman" w:cs="Times New Roman"/>
        </w:rPr>
        <w:t xml:space="preserve">, </w:t>
      </w:r>
      <w:r w:rsidRPr="00A66138">
        <w:rPr>
          <w:rFonts w:ascii="Times New Roman" w:hAnsi="Times New Roman" w:cs="Times New Roman"/>
          <w:i/>
          <w:iCs/>
        </w:rPr>
        <w:t>171</w:t>
      </w:r>
      <w:r w:rsidRPr="00A66138">
        <w:rPr>
          <w:rFonts w:ascii="Times New Roman" w:hAnsi="Times New Roman" w:cs="Times New Roman"/>
        </w:rPr>
        <w:t xml:space="preserve">(6), 674–677. </w:t>
      </w:r>
      <w:hyperlink r:id="rId27">
        <w:r w:rsidRPr="00A66138">
          <w:rPr>
            <w:rStyle w:val="Hyperlink"/>
            <w:rFonts w:ascii="Times New Roman" w:hAnsi="Times New Roman" w:cs="Times New Roman"/>
          </w:rPr>
          <w:t>https://doi.org/10.1093/aje/kwp436</w:t>
        </w:r>
      </w:hyperlink>
    </w:p>
    <w:p w14:paraId="14730DF9" w14:textId="77777777" w:rsidR="00C32DDD" w:rsidRPr="00A66138" w:rsidRDefault="00000000">
      <w:pPr>
        <w:pStyle w:val="Bibliography"/>
        <w:rPr>
          <w:rFonts w:ascii="Times New Roman" w:hAnsi="Times New Roman" w:cs="Times New Roman"/>
        </w:rPr>
      </w:pPr>
      <w:bookmarkStart w:id="62" w:name="ref-wu2005"/>
      <w:bookmarkEnd w:id="61"/>
      <w:r w:rsidRPr="00A66138">
        <w:rPr>
          <w:rFonts w:ascii="Times New Roman" w:hAnsi="Times New Roman" w:cs="Times New Roman"/>
        </w:rPr>
        <w:t xml:space="preserve">Wu, M. (2005). The role of plausible values in large-scale surveys. </w:t>
      </w:r>
      <w:r w:rsidRPr="00A66138">
        <w:rPr>
          <w:rFonts w:ascii="Times New Roman" w:hAnsi="Times New Roman" w:cs="Times New Roman"/>
          <w:i/>
          <w:iCs/>
        </w:rPr>
        <w:t>Studies in Educational Evaluation</w:t>
      </w:r>
      <w:r w:rsidRPr="00A66138">
        <w:rPr>
          <w:rFonts w:ascii="Times New Roman" w:hAnsi="Times New Roman" w:cs="Times New Roman"/>
        </w:rPr>
        <w:t xml:space="preserve">, </w:t>
      </w:r>
      <w:r w:rsidRPr="00A66138">
        <w:rPr>
          <w:rFonts w:ascii="Times New Roman" w:hAnsi="Times New Roman" w:cs="Times New Roman"/>
          <w:i/>
          <w:iCs/>
        </w:rPr>
        <w:t>31</w:t>
      </w:r>
      <w:r w:rsidRPr="00A66138">
        <w:rPr>
          <w:rFonts w:ascii="Times New Roman" w:hAnsi="Times New Roman" w:cs="Times New Roman"/>
        </w:rPr>
        <w:t xml:space="preserve">(2–3), 114–128. </w:t>
      </w:r>
      <w:hyperlink r:id="rId28">
        <w:r w:rsidRPr="00A66138">
          <w:rPr>
            <w:rStyle w:val="Hyperlink"/>
            <w:rFonts w:ascii="Times New Roman" w:hAnsi="Times New Roman" w:cs="Times New Roman"/>
          </w:rPr>
          <w:t>https://doi.org/10.1016/j.stueduc.2005.05.005</w:t>
        </w:r>
      </w:hyperlink>
      <w:bookmarkEnd w:id="44"/>
      <w:bookmarkEnd w:id="47"/>
      <w:bookmarkEnd w:id="62"/>
    </w:p>
    <w:sectPr w:rsidR="00C32DDD" w:rsidRPr="00A66138">
      <w:footerReference w:type="default" r:id="rId29"/>
      <w:footnotePr>
        <w:numRestart w:val="eachSect"/>
      </w:footnotePr>
      <w:pgSz w:w="12240" w:h="15840"/>
      <w:pgMar w:top="1440" w:right="1440" w:bottom="1440" w:left="1440" w:header="720" w:footer="720" w:gutter="0"/>
      <w:lnNumType w:countBy="1" w:distance="360"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41ED92" w14:textId="77777777" w:rsidR="00244861" w:rsidRDefault="00244861">
      <w:pPr>
        <w:spacing w:after="0" w:line="240" w:lineRule="auto"/>
      </w:pPr>
      <w:r>
        <w:separator/>
      </w:r>
    </w:p>
  </w:endnote>
  <w:endnote w:type="continuationSeparator" w:id="0">
    <w:p w14:paraId="4B22559A" w14:textId="77777777" w:rsidR="00244861" w:rsidRDefault="00244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16F567" w14:textId="77777777" w:rsidR="00C32DDD" w:rsidRDefault="00000000">
    <w:pPr>
      <w:spacing w:line="240" w:lineRule="auto"/>
      <w:jc w:val="center"/>
    </w:pPr>
    <w:r>
      <w:fldChar w:fldCharType="begin"/>
    </w:r>
    <w:r>
      <w:instrText xml:space="preserve"> PAGE </w:instrText>
    </w:r>
    <w:r w:rsidR="00A66138">
      <w:fldChar w:fldCharType="separate"/>
    </w:r>
    <w:r w:rsidR="00A661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ABB32E" w14:textId="77777777" w:rsidR="00244861" w:rsidRDefault="00244861">
      <w:pPr>
        <w:spacing w:after="0" w:line="240" w:lineRule="auto"/>
      </w:pPr>
      <w:r>
        <w:separator/>
      </w:r>
    </w:p>
  </w:footnote>
  <w:footnote w:type="continuationSeparator" w:id="0">
    <w:p w14:paraId="5F24D0A0" w14:textId="77777777" w:rsidR="00244861" w:rsidRDefault="002448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2ED06C0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8B6750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6A2CB9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71978466">
    <w:abstractNumId w:val="0"/>
  </w:num>
  <w:num w:numId="2" w16cid:durableId="1035036706">
    <w:abstractNumId w:val="1"/>
  </w:num>
  <w:num w:numId="3" w16cid:durableId="1448570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43212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49540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318387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32DDD"/>
    <w:rsid w:val="00244861"/>
    <w:rsid w:val="00A66138"/>
    <w:rsid w:val="00C32DDD"/>
    <w:rsid w:val="00DE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B77D15"/>
  <w15:docId w15:val="{2A2159DF-4F08-2C4E-8D94-63DE5AF6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 w:eastAsia="zh-CN" w:bidi="ar-SA"/>
      </w:rPr>
    </w:rPrDefault>
    <w:pPrDefault>
      <w:pPr>
        <w:spacing w:after="200" w:line="480" w:lineRule="auto"/>
      </w:pPr>
    </w:pPrDefault>
  </w:docDefaults>
  <w:latentStyles w:defLockedState="0" w:defUIPriority="0" w:defSemiHidden="0" w:defUnhideWhenUsed="0" w:defQFormat="0" w:count="376">
    <w:lsdException w:name="toc 2" w:uiPriority="39"/>
    <w:lsdException w:name="toc 3" w:uiPriority="3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line="240" w:lineRule="auto"/>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 w:type="paragraph" w:styleId="TOC2">
    <w:name w:val="toc 2"/>
    <w:basedOn w:val="Normal"/>
    <w:next w:val="Normal"/>
    <w:autoRedefine/>
    <w:uiPriority w:val="39"/>
    <w:rsid w:val="00A66138"/>
    <w:pPr>
      <w:spacing w:after="100"/>
      <w:ind w:left="240"/>
    </w:pPr>
  </w:style>
  <w:style w:type="paragraph" w:styleId="TOC3">
    <w:name w:val="toc 3"/>
    <w:basedOn w:val="Normal"/>
    <w:next w:val="Normal"/>
    <w:autoRedefine/>
    <w:uiPriority w:val="39"/>
    <w:rsid w:val="00A66138"/>
    <w:pPr>
      <w:spacing w:after="100"/>
      <w:ind w:left="480"/>
    </w:pPr>
  </w:style>
  <w:style w:type="character" w:styleId="LineNumber">
    <w:name w:val="line number"/>
    <w:basedOn w:val="DefaultParagraphFont"/>
    <w:rsid w:val="00A66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93/ije/dyh299" TargetMode="External"/><Relationship Id="rId18" Type="http://schemas.openxmlformats.org/officeDocument/2006/relationships/hyperlink" Target="https://timss2023.org/wp-content/uploads/data/T23L_UG-International-Database.pdf" TargetMode="External"/><Relationship Id="rId26" Type="http://schemas.openxmlformats.org/officeDocument/2006/relationships/hyperlink" Target="https://doi.org/10.1177/0962280210395740" TargetMode="External"/><Relationship Id="rId3" Type="http://schemas.openxmlformats.org/officeDocument/2006/relationships/settings" Target="settings.xml"/><Relationship Id="rId21" Type="http://schemas.openxmlformats.org/officeDocument/2006/relationships/hyperlink" Target="https://doi.org/10.1002/9781119482260"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6017/lse.tpisc.timss.rs6950" TargetMode="External"/><Relationship Id="rId25" Type="http://schemas.openxmlformats.org/officeDocument/2006/relationships/hyperlink" Target="https://doi.org/10.3102/0013189X10363170" TargetMode="External"/><Relationship Id="rId2" Type="http://schemas.openxmlformats.org/officeDocument/2006/relationships/styles" Target="styles.xml"/><Relationship Id="rId16" Type="http://schemas.openxmlformats.org/officeDocument/2006/relationships/hyperlink" Target="https://doi.org/10.6017/lse.tpisc.timss.de4812" TargetMode="External"/><Relationship Id="rId20" Type="http://schemas.openxmlformats.org/officeDocument/2006/relationships/hyperlink" Target="https://doi.org/10.2307/2530043"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002/9780470316696" TargetMode="External"/><Relationship Id="rId5" Type="http://schemas.openxmlformats.org/officeDocument/2006/relationships/footnotes" Target="footnotes.xml"/><Relationship Id="rId15" Type="http://schemas.openxmlformats.org/officeDocument/2006/relationships/hyperlink" Target="https://doi.org/10.6017/lse.tpisc.timss.dn2487" TargetMode="External"/><Relationship Id="rId23" Type="http://schemas.openxmlformats.org/officeDocument/2006/relationships/hyperlink" Target="https://doi.org/10.1080/01621459.1994.10476818" TargetMode="External"/><Relationship Id="rId28" Type="http://schemas.openxmlformats.org/officeDocument/2006/relationships/hyperlink" Target="https://doi.org/10.1016/j.stueduc.2005.05.005" TargetMode="External"/><Relationship Id="rId10" Type="http://schemas.openxmlformats.org/officeDocument/2006/relationships/image" Target="media/image4.png"/><Relationship Id="rId19" Type="http://schemas.openxmlformats.org/officeDocument/2006/relationships/hyperlink" Target="https://doi.org/10.1214/13-STS45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201/9781420011180" TargetMode="External"/><Relationship Id="rId22" Type="http://schemas.openxmlformats.org/officeDocument/2006/relationships/hyperlink" Target="https://doi.org/10.1111/j.1745-3984.1992.tb00371.x" TargetMode="External"/><Relationship Id="rId27" Type="http://schemas.openxmlformats.org/officeDocument/2006/relationships/hyperlink" Target="https://doi.org/10.1093/aje/kwp436"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30</Pages>
  <Words>6273</Words>
  <Characters>35761</Characters>
  <Application>Microsoft Office Word</Application>
  <DocSecurity>0</DocSecurity>
  <Lines>298</Lines>
  <Paragraphs>83</Paragraphs>
  <ScaleCrop>false</ScaleCrop>
  <Company/>
  <LinksUpToDate>false</LinksUpToDate>
  <CharactersWithSpaces>41951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4-to-5 Joint Mathematics–Science Benchmark Transitions in Nine Systems: A Descriptive Common-Severity Analysis Using TIMSS 2023 Longitudinal Data</dc:title>
  <cp:keywords/>
  <cp:lastModifiedBy>GameDev</cp:lastModifiedBy>
  <cp:revision>2</cp:revision>
  <dcterms:created xsi:type="dcterms:W3CDTF">2026-08-12T18:50:00Z</dcterms:created>
  <dcterms:modified xsi:type="dcterms:W3CDTF">2026-08-12T18:51:00Z</dcterms:modified>
  <dc:language>en</dc:language>
</cp:coreProperties>
</file>