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Table 3. Fish-frequency associations with colorectal polyps in the complete dietary subset (n=16).</w:t>
      </w:r>
    </w:p>
    <w:p>
      <w:pPr/>
      <w:r>
        <w:t>*Original oily-fish categories were retained for the global Fisher-Freeman-Halton test; the source coding included a lowest-frequency label that overlapped conceptually with monthly categories. For interpretability, the post hoc weekly-versus-lower contrast is displayed separately. †Fisher-Freeman-Halton exact test across original ordinal categories. ‡Two-sided Fisher exact test for the post hoc dichotomy. FDR q values use Benjamini-Hochberg correction across eight marine-food comparisons. No adjusted q value was &lt;0.05.</w:t>
      </w:r>
    </w:p>
    <w:sectPr w:rsidR="00FC693F" w:rsidRPr="0006063C" w:rsidSect="00034616"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</w:tblPr>
      <w:tblGrid>
        <w:gridCol w:w="1858"/>
        <w:gridCol w:w="1858"/>
        <w:gridCol w:w="1858"/>
        <w:gridCol w:w="1858"/>
        <w:gridCol w:w="1858"/>
      </w:tblGrid>
      <w:tr>
        <w:trPr>
          <w:tblHeader w:val="true"/>
        </w:trPr>
        <w:tc>
          <w:tcPr>
            <w:tcW w:type="dxa" w:w="408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Exposure category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No polyps, n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Polyps, n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Exact P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/>
              <w:jc w:val="center"/>
            </w:pPr>
            <w:r>
              <w:rPr>
                <w:rFonts w:ascii="Arial" w:hAnsi="Arial"/>
                <w:b/>
                <w:sz w:val="18"/>
              </w:rPr>
              <w:t>FDR q</w:t>
            </w:r>
          </w:p>
        </w:tc>
      </w:tr>
      <w:tr>
        <w:tc>
          <w:tcPr>
            <w:tcW w:type="dxa" w:w="408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18"/>
              </w:rPr>
              <w:t>White fish: 2-3 times/month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c>
          <w:tcPr>
            <w:tcW w:type="dxa" w:w="408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18"/>
              </w:rPr>
              <w:t>White fish: once/week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0.030†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0.119</w:t>
            </w:r>
          </w:p>
        </w:tc>
      </w:tr>
      <w:tr>
        <w:tc>
          <w:tcPr>
            <w:tcW w:type="dxa" w:w="408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18"/>
              </w:rPr>
              <w:t>White fish: ≥2 times/week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c>
          <w:tcPr>
            <w:tcW w:type="dxa" w:w="408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18"/>
              </w:rPr>
              <w:t>Oily fish: original multi-category comparison*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0.010†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0.079</w:t>
            </w:r>
          </w:p>
        </w:tc>
      </w:tr>
      <w:tr>
        <w:tc>
          <w:tcPr>
            <w:tcW w:type="dxa" w:w="408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18"/>
              </w:rPr>
              <w:t>Oily fish: &lt;weekly (post hoc)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0.008‡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—</w:t>
            </w:r>
          </w:p>
        </w:tc>
      </w:tr>
      <w:tr>
        <w:tc>
          <w:tcPr>
            <w:tcW w:type="dxa" w:w="4082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</w:pPr>
            <w:r>
              <w:rPr>
                <w:rFonts w:ascii="Times New Roman" w:hAnsi="Times New Roman"/>
                <w:sz w:val="18"/>
              </w:rPr>
              <w:t>Oily fish: ≥weekly (post hoc)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0</w:t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type="dxa" w:w="1304"/>
            <w:vAlign w:val="cente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line="240" w:lineRule="auto" w:after="0"/>
              <w:jc w:val="center"/>
            </w:pPr>
            <w:r>
              <w:rPr>
                <w:rFonts w:ascii="Times New Roman" w:hAnsi="Times New Roman"/>
                <w:sz w:val="18"/>
              </w:rPr>
              <w:t>—</w:t>
            </w: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