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449D0">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b/>
          <w:i w:val="0"/>
          <w:sz w:val="28"/>
        </w:rPr>
        <w:t>Supplementary Materials</w:t>
      </w:r>
    </w:p>
    <w:p w14:paraId="214D055C">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bCs/>
          <w:sz w:val="21"/>
          <w:szCs w:val="21"/>
        </w:rPr>
      </w:pPr>
      <w:r>
        <w:rPr>
          <w:b/>
          <w:bCs/>
          <w:i w:val="0"/>
          <w:sz w:val="21"/>
          <w:szCs w:val="21"/>
        </w:rPr>
        <w:t>Title: Adult Children’s Stated Willingness to Use Professional Medical Accompaniment Services for Older Relatives: A Community-Based Cross-Sectional Study in China</w:t>
      </w:r>
    </w:p>
    <w:p w14:paraId="691F726B">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Corresponding author: Yan Peng, Department of Nursing, Fuyang Normal University, Anhui 236037, China. E-mail: pengyan@fynu.edu.cn</w:t>
      </w:r>
    </w:p>
    <w:p w14:paraId="1C117FF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Table of contents</w:t>
      </w:r>
    </w:p>
    <w:p w14:paraId="665D18BE">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Appendix A. English version of the structured questionnaire</w:t>
      </w:r>
    </w:p>
    <w:p w14:paraId="4A12D50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Appendix B. Variable-coding dictionary</w:t>
      </w:r>
    </w:p>
    <w:p w14:paraId="3918B01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Appendix C. Full output of the multivariable regression model</w:t>
      </w:r>
    </w:p>
    <w:p w14:paraId="2F52A66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Appendix D. Statistical analysis code and reproducibility notes</w:t>
      </w:r>
    </w:p>
    <w:p w14:paraId="2B27EEE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Appendix E. STROBE statement checklist for observational studies</w:t>
      </w:r>
    </w:p>
    <w:p w14:paraId="73E2A71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Appendix F. Post-hoc statistical power for every reported test</w:t>
      </w:r>
    </w:p>
    <w:p w14:paraId="0E71769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Appendix G. Topic guide for the semi-structured in-depth interviews</w:t>
      </w:r>
    </w:p>
    <w:p w14:paraId="2AD12DC0">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Appendix H. Written informed consent form (English template)</w:t>
      </w:r>
    </w:p>
    <w:p w14:paraId="2E2E7954">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val="0"/>
          <w:i w:val="0"/>
          <w:sz w:val="21"/>
          <w:szCs w:val="21"/>
        </w:rPr>
      </w:pPr>
      <w:r>
        <w:rPr>
          <w:b w:val="0"/>
          <w:i w:val="0"/>
          <w:sz w:val="21"/>
          <w:szCs w:val="21"/>
        </w:rPr>
        <w:t>Appendix I. Ethics-committee approval and data-management plan</w:t>
      </w:r>
    </w:p>
    <w:p w14:paraId="438209FB">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val="0"/>
          <w:i w:val="0"/>
          <w:sz w:val="21"/>
          <w:szCs w:val="21"/>
        </w:rPr>
      </w:pPr>
    </w:p>
    <w:p w14:paraId="1F6A6F7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 w:val="21"/>
          <w:szCs w:val="21"/>
        </w:rPr>
      </w:pPr>
      <w:r>
        <w:rPr>
          <w:b/>
          <w:sz w:val="21"/>
          <w:szCs w:val="21"/>
        </w:rPr>
        <w:t>Appendix A. English version of the structured questionnaire</w:t>
      </w:r>
    </w:p>
    <w:p w14:paraId="618C859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rFonts w:hint="eastAsia" w:eastAsia="宋体"/>
          <w:b w:val="0"/>
          <w:i w:val="0"/>
          <w:sz w:val="21"/>
          <w:szCs w:val="21"/>
          <w:lang w:val="en-US" w:eastAsia="zh-CN"/>
        </w:rPr>
        <w:t>T</w:t>
      </w:r>
      <w:r>
        <w:rPr>
          <w:b w:val="0"/>
          <w:i w:val="0"/>
          <w:sz w:val="21"/>
          <w:szCs w:val="21"/>
        </w:rPr>
        <w:t>he questionnaire used in the quantitative survey (June–July 2026). The original Chinese instrument was developed through systematic literature review, expert consultation (three senior geriatric-nursing and health-services faculty members), and pilot testing with 10 adult children. The questionnaire comprises five sections: (A1) socio-demographic characteristics, (A2) healthcare-seeking patterns of the older relative, (A3) willingness to use and recommend PMAS, (A4) expectations regarding escort role and qualifications, (A5) out-of-pocket willingness to pay. The English version below was back-translated by an independent translator and verified against the Chinese original before deployment. The questionnaire was administered in Chinese.</w:t>
      </w:r>
    </w:p>
    <w:p w14:paraId="44687FEF">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Section A1. Socio-demographic characteristics</w:t>
      </w:r>
    </w:p>
    <w:p w14:paraId="6C5F4E7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  Sex: ■ Male   ■ Female</w:t>
      </w:r>
    </w:p>
    <w:p w14:paraId="529491B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Q2.  Age (years, integer): ____</w:t>
      </w:r>
    </w:p>
    <w:p w14:paraId="20778CE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Q3.  Highest education completed: ■ Junior high or below   ■ Senior high or technical   ■ College or bachelor   ■ Postgraduate or above</w:t>
      </w:r>
    </w:p>
    <w:p w14:paraId="5E6DEB9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Q4.  Marital status: ■ Married   ■ Single / divorced / widowed</w:t>
      </w:r>
    </w:p>
    <w:p w14:paraId="02650E9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Q5.  Monthly personal income (CNY): ____</w:t>
      </w:r>
    </w:p>
    <w:p w14:paraId="666AAD0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Q6.  Do you currently live with the older relative? ■ Yes   ■ No</w:t>
      </w:r>
    </w:p>
    <w:p w14:paraId="6EFBEDA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Q7.  Do you have siblings who could share the caregiving responsibility? ■ Yes (specify number ____)   ■ No</w:t>
      </w:r>
    </w:p>
    <w:p w14:paraId="1EA709D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Section A2. Healthcare-seeking patterns of the older relative</w:t>
      </w:r>
    </w:p>
    <w:p w14:paraId="0E4C2A7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Q8.  Where does the older relative usually go when he/she feels unwell? ■ Pharmacy   ■ Private clinic   ■ Township / community hospital   ■ Tertiary (Class III) hospital</w:t>
      </w:r>
    </w:p>
    <w:p w14:paraId="61954EC7">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Q9.  Who typically accompanies the older relative to the medical appointment? ■ The older person alone or with his/her spouse   ■ Volunteer   ■ Other relatives   ■ Yourself</w:t>
      </w:r>
    </w:p>
    <w:p w14:paraId="2F5D9E7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Q10.  In the past 12 months, how many times did you personally accompany the older relative to a medical appointment? ____</w:t>
      </w:r>
    </w:p>
    <w:p w14:paraId="6915AF4B">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Section A3. Willingness to use and recommend PMAS</w:t>
      </w:r>
    </w:p>
    <w:p w14:paraId="7128BF65">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Q11.  Are you willing to use a professional medical accompaniment service for the older relative? ■ Yes   ■ No</w:t>
      </w:r>
    </w:p>
    <w:p w14:paraId="57AC0DE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Q12.  If professional medical accompaniment services become widely available, would you recommend them to friends and colleagues? ■ Yes   ■ No</w:t>
      </w:r>
    </w:p>
    <w:p w14:paraId="1299E60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Q13.  What is the maximum half-day fee (CNY) that you would be willing to pay out-of-pocket for a single accompaniment service? ■ &lt;100   ■ 100–200   ■ 201–400   ■ 401–600   ■ &gt;600</w:t>
      </w:r>
    </w:p>
    <w:p w14:paraId="0FDBF23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Q14.  What is the most important reason you would (or would not) use professional accompaniment services? ____</w:t>
      </w:r>
    </w:p>
    <w:p w14:paraId="5001B95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Section A4. Expectations regarding escort role and qualifications</w:t>
      </w:r>
    </w:p>
    <w:p w14:paraId="0F2139C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Q15.  Who do you think is most suited to serve as a medical escort? ■ A staff member familiar with hospital procedures   ■ A nursing student / intern   ■ A licensed nurse</w:t>
      </w:r>
    </w:p>
    <w:p w14:paraId="3D7B1C7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Q16.  Please indicate which of the following qualifications you consider essential (select all that apply): ■ Certification   ■ Regular training and assessment   ■ Tiered accompaniment by care needs</w:t>
      </w:r>
    </w:p>
    <w:p w14:paraId="649A4BF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Q17.  Please indicate which core competencies you expect of escorts (select all that apply): ■ Safety protection   ■ Humanistic care   ■ Emotional support</w:t>
      </w:r>
    </w:p>
    <w:p w14:paraId="2B8DB367">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Section A5. Open-ended reflection</w:t>
      </w:r>
    </w:p>
    <w:p w14:paraId="1D1B69E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Q18. Is there anything else you would like to share about your experience of accompanying the older relative, or about your expectations of professional accompaniment services? (free text, 1–3 sentences)</w:t>
      </w:r>
    </w:p>
    <w:p w14:paraId="1C121EE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val="0"/>
          <w:i/>
          <w:sz w:val="21"/>
          <w:szCs w:val="21"/>
        </w:rPr>
      </w:pPr>
      <w:r>
        <w:rPr>
          <w:b w:val="0"/>
          <w:i/>
          <w:sz w:val="21"/>
          <w:szCs w:val="21"/>
        </w:rPr>
        <w:t>Reliability note. Internal consistency of the multi-choice expectation items (Q16, Q17) was evaluated on the present sample using Kuder–Richardson formula 20 (KR-20), yielding KR-20 = 0.74 for Q16 and KR-20 = 0.78 for Q17, both exceeding the conventional 0.70 threshold for adequate reliability in newly developed instruments.</w:t>
      </w:r>
    </w:p>
    <w:p w14:paraId="394D307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val="0"/>
          <w:i/>
          <w:sz w:val="21"/>
          <w:szCs w:val="21"/>
        </w:rPr>
      </w:pPr>
    </w:p>
    <w:p w14:paraId="433981F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 w:val="21"/>
          <w:szCs w:val="21"/>
        </w:rPr>
      </w:pPr>
      <w:r>
        <w:rPr>
          <w:b/>
          <w:sz w:val="21"/>
          <w:szCs w:val="21"/>
        </w:rPr>
        <w:t>Appendix B. Variable-coding dictionary</w:t>
      </w:r>
    </w:p>
    <w:p w14:paraId="504C7723">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both"/>
        <w:textAlignment w:val="auto"/>
        <w:rPr>
          <w:sz w:val="21"/>
          <w:szCs w:val="21"/>
        </w:rPr>
      </w:pPr>
      <w:r>
        <w:rPr>
          <w:b w:val="0"/>
          <w:i w:val="0"/>
          <w:sz w:val="21"/>
          <w:szCs w:val="21"/>
        </w:rPr>
        <w:t>This appendix lists the variables used in the present analysis, their coding scheme and their type.</w:t>
      </w:r>
    </w:p>
    <w:tbl>
      <w:tblPr>
        <w:tblStyle w:val="33"/>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161"/>
        <w:gridCol w:w="1977"/>
        <w:gridCol w:w="4710"/>
        <w:gridCol w:w="1008"/>
      </w:tblGrid>
      <w:tr w14:paraId="6D92ABF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655" w:type="pct"/>
            <w:tcBorders>
              <w:top w:val="single" w:color="auto" w:sz="12" w:space="0"/>
              <w:left w:val="nil"/>
              <w:bottom w:val="nil"/>
              <w:right w:val="nil"/>
            </w:tcBorders>
            <w:noWrap w:val="0"/>
            <w:tcMar>
              <w:top w:w="-1" w:type="dxa"/>
              <w:left w:w="-1" w:type="dxa"/>
              <w:bottom w:w="-1" w:type="dxa"/>
              <w:right w:w="-1" w:type="dxa"/>
            </w:tcMar>
            <w:vAlign w:val="center"/>
          </w:tcPr>
          <w:p w14:paraId="6BC3F7E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Variable</w:t>
            </w:r>
          </w:p>
        </w:tc>
        <w:tc>
          <w:tcPr>
            <w:tcW w:w="1116" w:type="pct"/>
            <w:tcBorders>
              <w:top w:val="single" w:color="auto" w:sz="12" w:space="0"/>
              <w:left w:val="nil"/>
              <w:bottom w:val="nil"/>
              <w:right w:val="nil"/>
            </w:tcBorders>
            <w:noWrap w:val="0"/>
            <w:tcMar>
              <w:top w:w="-1" w:type="dxa"/>
              <w:left w:w="-1" w:type="dxa"/>
              <w:bottom w:w="-1" w:type="dxa"/>
              <w:right w:w="-1" w:type="dxa"/>
            </w:tcMar>
            <w:vAlign w:val="center"/>
          </w:tcPr>
          <w:p w14:paraId="7054C5E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Type</w:t>
            </w:r>
          </w:p>
        </w:tc>
        <w:tc>
          <w:tcPr>
            <w:tcW w:w="2658" w:type="pct"/>
            <w:tcBorders>
              <w:top w:val="single" w:color="auto" w:sz="12" w:space="0"/>
              <w:left w:val="nil"/>
              <w:bottom w:val="nil"/>
              <w:right w:val="nil"/>
            </w:tcBorders>
            <w:noWrap w:val="0"/>
            <w:tcMar>
              <w:top w:w="-1" w:type="dxa"/>
              <w:left w:w="-1" w:type="dxa"/>
              <w:bottom w:w="-1" w:type="dxa"/>
              <w:right w:w="-1" w:type="dxa"/>
            </w:tcMar>
            <w:vAlign w:val="center"/>
          </w:tcPr>
          <w:p w14:paraId="3E107E5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Coding</w:t>
            </w:r>
          </w:p>
        </w:tc>
        <w:tc>
          <w:tcPr>
            <w:tcW w:w="569" w:type="pct"/>
            <w:tcBorders>
              <w:top w:val="single" w:color="auto" w:sz="12" w:space="0"/>
              <w:left w:val="nil"/>
              <w:bottom w:val="nil"/>
              <w:right w:val="nil"/>
            </w:tcBorders>
            <w:noWrap w:val="0"/>
            <w:tcMar>
              <w:top w:w="-1" w:type="dxa"/>
              <w:left w:w="-1" w:type="dxa"/>
              <w:bottom w:w="-1" w:type="dxa"/>
              <w:right w:w="-1" w:type="dxa"/>
            </w:tcMar>
            <w:vAlign w:val="center"/>
          </w:tcPr>
          <w:p w14:paraId="7000F9B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Source item</w:t>
            </w:r>
          </w:p>
        </w:tc>
      </w:tr>
      <w:tr w14:paraId="121D517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single" w:color="auto" w:sz="4" w:space="0"/>
              <w:left w:val="nil"/>
              <w:bottom w:val="nil"/>
              <w:right w:val="nil"/>
            </w:tcBorders>
            <w:noWrap w:val="0"/>
            <w:tcMar>
              <w:top w:w="-1" w:type="dxa"/>
              <w:left w:w="-1" w:type="dxa"/>
              <w:bottom w:w="-1" w:type="dxa"/>
              <w:right w:w="-1" w:type="dxa"/>
            </w:tcMar>
            <w:vAlign w:val="center"/>
          </w:tcPr>
          <w:p w14:paraId="46184AD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willingness</w:t>
            </w:r>
          </w:p>
        </w:tc>
        <w:tc>
          <w:tcPr>
            <w:tcW w:w="1116" w:type="pct"/>
            <w:tcBorders>
              <w:top w:val="single" w:color="auto" w:sz="4" w:space="0"/>
              <w:left w:val="nil"/>
              <w:bottom w:val="nil"/>
              <w:right w:val="nil"/>
            </w:tcBorders>
            <w:noWrap w:val="0"/>
            <w:tcMar>
              <w:top w:w="-1" w:type="dxa"/>
              <w:left w:w="-1" w:type="dxa"/>
              <w:bottom w:w="-1" w:type="dxa"/>
              <w:right w:w="-1" w:type="dxa"/>
            </w:tcMar>
            <w:vAlign w:val="center"/>
          </w:tcPr>
          <w:p w14:paraId="49EE10C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Binary outcome</w:t>
            </w:r>
          </w:p>
        </w:tc>
        <w:tc>
          <w:tcPr>
            <w:tcW w:w="2658" w:type="pct"/>
            <w:tcBorders>
              <w:top w:val="single" w:color="auto" w:sz="4" w:space="0"/>
              <w:left w:val="nil"/>
              <w:bottom w:val="nil"/>
              <w:right w:val="nil"/>
            </w:tcBorders>
            <w:noWrap w:val="0"/>
            <w:tcMar>
              <w:top w:w="-1" w:type="dxa"/>
              <w:left w:w="-1" w:type="dxa"/>
              <w:bottom w:w="-1" w:type="dxa"/>
              <w:right w:w="-1" w:type="dxa"/>
            </w:tcMar>
            <w:vAlign w:val="center"/>
          </w:tcPr>
          <w:p w14:paraId="76AD095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 = unwilling, 1 = willing</w:t>
            </w:r>
          </w:p>
        </w:tc>
        <w:tc>
          <w:tcPr>
            <w:tcW w:w="569" w:type="pct"/>
            <w:tcBorders>
              <w:top w:val="single" w:color="auto" w:sz="4" w:space="0"/>
              <w:left w:val="nil"/>
              <w:bottom w:val="nil"/>
              <w:right w:val="nil"/>
            </w:tcBorders>
            <w:noWrap w:val="0"/>
            <w:tcMar>
              <w:top w:w="-1" w:type="dxa"/>
              <w:left w:w="-1" w:type="dxa"/>
              <w:bottom w:w="-1" w:type="dxa"/>
              <w:right w:w="-1" w:type="dxa"/>
            </w:tcMar>
            <w:vAlign w:val="center"/>
          </w:tcPr>
          <w:p w14:paraId="74F62CE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Q11</w:t>
            </w:r>
          </w:p>
        </w:tc>
      </w:tr>
      <w:tr w14:paraId="1A66CA4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noWrap w:val="0"/>
            <w:tcMar>
              <w:top w:w="-1" w:type="dxa"/>
              <w:left w:w="-1" w:type="dxa"/>
              <w:bottom w:w="-1" w:type="dxa"/>
              <w:right w:w="-1" w:type="dxa"/>
            </w:tcMar>
            <w:vAlign w:val="center"/>
          </w:tcPr>
          <w:p w14:paraId="1A4D59B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age</w:t>
            </w:r>
          </w:p>
        </w:tc>
        <w:tc>
          <w:tcPr>
            <w:tcW w:w="1116" w:type="pct"/>
            <w:tcBorders>
              <w:top w:val="nil"/>
              <w:left w:val="nil"/>
              <w:bottom w:val="nil"/>
              <w:right w:val="nil"/>
            </w:tcBorders>
            <w:noWrap w:val="0"/>
            <w:tcMar>
              <w:top w:w="-1" w:type="dxa"/>
              <w:left w:w="-1" w:type="dxa"/>
              <w:bottom w:w="-1" w:type="dxa"/>
              <w:right w:w="-1" w:type="dxa"/>
            </w:tcMar>
            <w:vAlign w:val="center"/>
          </w:tcPr>
          <w:p w14:paraId="77249F5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Continuous (years)</w:t>
            </w:r>
          </w:p>
        </w:tc>
        <w:tc>
          <w:tcPr>
            <w:tcW w:w="2658" w:type="pct"/>
            <w:tcBorders>
              <w:top w:val="nil"/>
              <w:left w:val="nil"/>
              <w:bottom w:val="nil"/>
              <w:right w:val="nil"/>
            </w:tcBorders>
            <w:noWrap w:val="0"/>
            <w:tcMar>
              <w:top w:w="-1" w:type="dxa"/>
              <w:left w:w="-1" w:type="dxa"/>
              <w:bottom w:w="-1" w:type="dxa"/>
              <w:right w:w="-1" w:type="dxa"/>
            </w:tcMar>
            <w:vAlign w:val="center"/>
          </w:tcPr>
          <w:p w14:paraId="376F9E9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integer 18–60</w:t>
            </w:r>
          </w:p>
        </w:tc>
        <w:tc>
          <w:tcPr>
            <w:tcW w:w="569" w:type="pct"/>
            <w:tcBorders>
              <w:top w:val="nil"/>
              <w:left w:val="nil"/>
              <w:bottom w:val="nil"/>
              <w:right w:val="nil"/>
            </w:tcBorders>
            <w:noWrap w:val="0"/>
            <w:tcMar>
              <w:top w:w="-1" w:type="dxa"/>
              <w:left w:w="-1" w:type="dxa"/>
              <w:bottom w:w="-1" w:type="dxa"/>
              <w:right w:w="-1" w:type="dxa"/>
            </w:tcMar>
            <w:vAlign w:val="center"/>
          </w:tcPr>
          <w:p w14:paraId="7096F56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Q2</w:t>
            </w:r>
          </w:p>
        </w:tc>
      </w:tr>
      <w:tr w14:paraId="5CAE589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noWrap w:val="0"/>
            <w:tcMar>
              <w:top w:w="-1" w:type="dxa"/>
              <w:left w:w="-1" w:type="dxa"/>
              <w:bottom w:w="-1" w:type="dxa"/>
              <w:right w:w="-1" w:type="dxa"/>
            </w:tcMar>
            <w:vAlign w:val="center"/>
          </w:tcPr>
          <w:p w14:paraId="5EFE789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income_k</w:t>
            </w:r>
          </w:p>
        </w:tc>
        <w:tc>
          <w:tcPr>
            <w:tcW w:w="1116" w:type="pct"/>
            <w:tcBorders>
              <w:top w:val="nil"/>
              <w:left w:val="nil"/>
              <w:bottom w:val="nil"/>
              <w:right w:val="nil"/>
            </w:tcBorders>
            <w:noWrap w:val="0"/>
            <w:tcMar>
              <w:top w:w="-1" w:type="dxa"/>
              <w:left w:w="-1" w:type="dxa"/>
              <w:bottom w:w="-1" w:type="dxa"/>
              <w:right w:w="-1" w:type="dxa"/>
            </w:tcMar>
            <w:vAlign w:val="center"/>
          </w:tcPr>
          <w:p w14:paraId="6320E99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Continuous (1000 CNY/month)</w:t>
            </w:r>
          </w:p>
        </w:tc>
        <w:tc>
          <w:tcPr>
            <w:tcW w:w="2658" w:type="pct"/>
            <w:tcBorders>
              <w:top w:val="nil"/>
              <w:left w:val="nil"/>
              <w:bottom w:val="nil"/>
              <w:right w:val="nil"/>
            </w:tcBorders>
            <w:noWrap w:val="0"/>
            <w:tcMar>
              <w:top w:w="-1" w:type="dxa"/>
              <w:left w:w="-1" w:type="dxa"/>
              <w:bottom w:w="-1" w:type="dxa"/>
              <w:right w:w="-1" w:type="dxa"/>
            </w:tcMar>
            <w:vAlign w:val="center"/>
          </w:tcPr>
          <w:p w14:paraId="5525A3B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real</w:t>
            </w:r>
          </w:p>
        </w:tc>
        <w:tc>
          <w:tcPr>
            <w:tcW w:w="569" w:type="pct"/>
            <w:tcBorders>
              <w:top w:val="nil"/>
              <w:left w:val="nil"/>
              <w:bottom w:val="nil"/>
              <w:right w:val="nil"/>
            </w:tcBorders>
            <w:noWrap w:val="0"/>
            <w:tcMar>
              <w:top w:w="-1" w:type="dxa"/>
              <w:left w:w="-1" w:type="dxa"/>
              <w:bottom w:w="-1" w:type="dxa"/>
              <w:right w:w="-1" w:type="dxa"/>
            </w:tcMar>
            <w:vAlign w:val="center"/>
          </w:tcPr>
          <w:p w14:paraId="184E199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Q5</w:t>
            </w:r>
          </w:p>
        </w:tc>
      </w:tr>
      <w:tr w14:paraId="632F30A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noWrap w:val="0"/>
            <w:tcMar>
              <w:top w:w="-1" w:type="dxa"/>
              <w:left w:w="-1" w:type="dxa"/>
              <w:bottom w:w="-1" w:type="dxa"/>
              <w:right w:w="-1" w:type="dxa"/>
            </w:tcMar>
            <w:vAlign w:val="center"/>
          </w:tcPr>
          <w:p w14:paraId="57A7F5F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female</w:t>
            </w:r>
          </w:p>
        </w:tc>
        <w:tc>
          <w:tcPr>
            <w:tcW w:w="1116" w:type="pct"/>
            <w:tcBorders>
              <w:top w:val="nil"/>
              <w:left w:val="nil"/>
              <w:bottom w:val="nil"/>
              <w:right w:val="nil"/>
            </w:tcBorders>
            <w:noWrap w:val="0"/>
            <w:tcMar>
              <w:top w:w="-1" w:type="dxa"/>
              <w:left w:w="-1" w:type="dxa"/>
              <w:bottom w:w="-1" w:type="dxa"/>
              <w:right w:w="-1" w:type="dxa"/>
            </w:tcMar>
            <w:vAlign w:val="center"/>
          </w:tcPr>
          <w:p w14:paraId="04ED659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Binary</w:t>
            </w:r>
          </w:p>
        </w:tc>
        <w:tc>
          <w:tcPr>
            <w:tcW w:w="2658" w:type="pct"/>
            <w:tcBorders>
              <w:top w:val="nil"/>
              <w:left w:val="nil"/>
              <w:bottom w:val="nil"/>
              <w:right w:val="nil"/>
            </w:tcBorders>
            <w:noWrap w:val="0"/>
            <w:tcMar>
              <w:top w:w="-1" w:type="dxa"/>
              <w:left w:w="-1" w:type="dxa"/>
              <w:bottom w:w="-1" w:type="dxa"/>
              <w:right w:w="-1" w:type="dxa"/>
            </w:tcMar>
            <w:vAlign w:val="center"/>
          </w:tcPr>
          <w:p w14:paraId="0A12152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 = female, 0 = male</w:t>
            </w:r>
          </w:p>
        </w:tc>
        <w:tc>
          <w:tcPr>
            <w:tcW w:w="569" w:type="pct"/>
            <w:tcBorders>
              <w:top w:val="nil"/>
              <w:left w:val="nil"/>
              <w:bottom w:val="nil"/>
              <w:right w:val="nil"/>
            </w:tcBorders>
            <w:noWrap w:val="0"/>
            <w:tcMar>
              <w:top w:w="-1" w:type="dxa"/>
              <w:left w:w="-1" w:type="dxa"/>
              <w:bottom w:w="-1" w:type="dxa"/>
              <w:right w:w="-1" w:type="dxa"/>
            </w:tcMar>
            <w:vAlign w:val="center"/>
          </w:tcPr>
          <w:p w14:paraId="5069268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Q1</w:t>
            </w:r>
          </w:p>
        </w:tc>
      </w:tr>
      <w:tr w14:paraId="44F7E4D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noWrap w:val="0"/>
            <w:tcMar>
              <w:top w:w="-1" w:type="dxa"/>
              <w:left w:w="-1" w:type="dxa"/>
              <w:bottom w:w="-1" w:type="dxa"/>
              <w:right w:w="-1" w:type="dxa"/>
            </w:tcMar>
            <w:vAlign w:val="center"/>
          </w:tcPr>
          <w:p w14:paraId="76E61DC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education</w:t>
            </w:r>
          </w:p>
        </w:tc>
        <w:tc>
          <w:tcPr>
            <w:tcW w:w="1116" w:type="pct"/>
            <w:tcBorders>
              <w:top w:val="nil"/>
              <w:left w:val="nil"/>
              <w:bottom w:val="nil"/>
              <w:right w:val="nil"/>
            </w:tcBorders>
            <w:noWrap w:val="0"/>
            <w:tcMar>
              <w:top w:w="-1" w:type="dxa"/>
              <w:left w:w="-1" w:type="dxa"/>
              <w:bottom w:w="-1" w:type="dxa"/>
              <w:right w:w="-1" w:type="dxa"/>
            </w:tcMar>
            <w:vAlign w:val="center"/>
          </w:tcPr>
          <w:p w14:paraId="5CEFA89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Ordinal 1–4</w:t>
            </w:r>
          </w:p>
        </w:tc>
        <w:tc>
          <w:tcPr>
            <w:tcW w:w="2658" w:type="pct"/>
            <w:tcBorders>
              <w:top w:val="nil"/>
              <w:left w:val="nil"/>
              <w:bottom w:val="nil"/>
              <w:right w:val="nil"/>
            </w:tcBorders>
            <w:noWrap w:val="0"/>
            <w:tcMar>
              <w:top w:w="-1" w:type="dxa"/>
              <w:left w:w="-1" w:type="dxa"/>
              <w:bottom w:w="-1" w:type="dxa"/>
              <w:right w:w="-1" w:type="dxa"/>
            </w:tcMar>
            <w:vAlign w:val="center"/>
          </w:tcPr>
          <w:p w14:paraId="57269B3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 = junior high or below, 2 = senior high / technical, 3 = college or bachelor, 4 = postgraduate or above</w:t>
            </w:r>
          </w:p>
        </w:tc>
        <w:tc>
          <w:tcPr>
            <w:tcW w:w="569" w:type="pct"/>
            <w:tcBorders>
              <w:top w:val="nil"/>
              <w:left w:val="nil"/>
              <w:bottom w:val="nil"/>
              <w:right w:val="nil"/>
            </w:tcBorders>
            <w:noWrap w:val="0"/>
            <w:tcMar>
              <w:top w:w="-1" w:type="dxa"/>
              <w:left w:w="-1" w:type="dxa"/>
              <w:bottom w:w="-1" w:type="dxa"/>
              <w:right w:w="-1" w:type="dxa"/>
            </w:tcMar>
            <w:vAlign w:val="center"/>
          </w:tcPr>
          <w:p w14:paraId="0519DBD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Q3</w:t>
            </w:r>
          </w:p>
        </w:tc>
      </w:tr>
      <w:tr w14:paraId="6946F9A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noWrap w:val="0"/>
            <w:tcMar>
              <w:top w:w="-1" w:type="dxa"/>
              <w:left w:w="-1" w:type="dxa"/>
              <w:bottom w:w="-1" w:type="dxa"/>
              <w:right w:w="-1" w:type="dxa"/>
            </w:tcMar>
            <w:vAlign w:val="center"/>
          </w:tcPr>
          <w:p w14:paraId="66A8DAF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coreside</w:t>
            </w:r>
          </w:p>
        </w:tc>
        <w:tc>
          <w:tcPr>
            <w:tcW w:w="1116" w:type="pct"/>
            <w:tcBorders>
              <w:top w:val="nil"/>
              <w:left w:val="nil"/>
              <w:bottom w:val="nil"/>
              <w:right w:val="nil"/>
            </w:tcBorders>
            <w:noWrap w:val="0"/>
            <w:tcMar>
              <w:top w:w="-1" w:type="dxa"/>
              <w:left w:w="-1" w:type="dxa"/>
              <w:bottom w:w="-1" w:type="dxa"/>
              <w:right w:w="-1" w:type="dxa"/>
            </w:tcMar>
            <w:vAlign w:val="center"/>
          </w:tcPr>
          <w:p w14:paraId="627F32A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Binary</w:t>
            </w:r>
          </w:p>
        </w:tc>
        <w:tc>
          <w:tcPr>
            <w:tcW w:w="2658" w:type="pct"/>
            <w:tcBorders>
              <w:top w:val="nil"/>
              <w:left w:val="nil"/>
              <w:bottom w:val="nil"/>
              <w:right w:val="nil"/>
            </w:tcBorders>
            <w:noWrap w:val="0"/>
            <w:tcMar>
              <w:top w:w="-1" w:type="dxa"/>
              <w:left w:w="-1" w:type="dxa"/>
              <w:bottom w:w="-1" w:type="dxa"/>
              <w:right w:w="-1" w:type="dxa"/>
            </w:tcMar>
            <w:vAlign w:val="center"/>
          </w:tcPr>
          <w:p w14:paraId="19AE0D0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 = coresiding, 0 = not</w:t>
            </w:r>
          </w:p>
        </w:tc>
        <w:tc>
          <w:tcPr>
            <w:tcW w:w="569" w:type="pct"/>
            <w:tcBorders>
              <w:top w:val="nil"/>
              <w:left w:val="nil"/>
              <w:bottom w:val="nil"/>
              <w:right w:val="nil"/>
            </w:tcBorders>
            <w:noWrap w:val="0"/>
            <w:tcMar>
              <w:top w:w="-1" w:type="dxa"/>
              <w:left w:w="-1" w:type="dxa"/>
              <w:bottom w:w="-1" w:type="dxa"/>
              <w:right w:w="-1" w:type="dxa"/>
            </w:tcMar>
            <w:vAlign w:val="center"/>
          </w:tcPr>
          <w:p w14:paraId="34FD98F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Q6</w:t>
            </w:r>
          </w:p>
        </w:tc>
      </w:tr>
      <w:tr w14:paraId="744EDD7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noWrap w:val="0"/>
            <w:tcMar>
              <w:top w:w="-1" w:type="dxa"/>
              <w:left w:w="-1" w:type="dxa"/>
              <w:bottom w:w="-1" w:type="dxa"/>
              <w:right w:w="-1" w:type="dxa"/>
            </w:tcMar>
            <w:vAlign w:val="center"/>
          </w:tcPr>
          <w:p w14:paraId="062A6CD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facility</w:t>
            </w:r>
          </w:p>
        </w:tc>
        <w:tc>
          <w:tcPr>
            <w:tcW w:w="1116" w:type="pct"/>
            <w:tcBorders>
              <w:top w:val="nil"/>
              <w:left w:val="nil"/>
              <w:bottom w:val="nil"/>
              <w:right w:val="nil"/>
            </w:tcBorders>
            <w:noWrap w:val="0"/>
            <w:tcMar>
              <w:top w:w="-1" w:type="dxa"/>
              <w:left w:w="-1" w:type="dxa"/>
              <w:bottom w:w="-1" w:type="dxa"/>
              <w:right w:w="-1" w:type="dxa"/>
            </w:tcMar>
            <w:vAlign w:val="center"/>
          </w:tcPr>
          <w:p w14:paraId="48281AE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Categorical 1–4</w:t>
            </w:r>
          </w:p>
        </w:tc>
        <w:tc>
          <w:tcPr>
            <w:tcW w:w="2658" w:type="pct"/>
            <w:tcBorders>
              <w:top w:val="nil"/>
              <w:left w:val="nil"/>
              <w:bottom w:val="nil"/>
              <w:right w:val="nil"/>
            </w:tcBorders>
            <w:noWrap w:val="0"/>
            <w:tcMar>
              <w:top w:w="-1" w:type="dxa"/>
              <w:left w:w="-1" w:type="dxa"/>
              <w:bottom w:w="-1" w:type="dxa"/>
              <w:right w:w="-1" w:type="dxa"/>
            </w:tcMar>
            <w:vAlign w:val="center"/>
          </w:tcPr>
          <w:p w14:paraId="593F45E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 = pharmacy, 2 = clinic, 3 = township / community, 4 = tertiary</w:t>
            </w:r>
          </w:p>
        </w:tc>
        <w:tc>
          <w:tcPr>
            <w:tcW w:w="569" w:type="pct"/>
            <w:tcBorders>
              <w:top w:val="nil"/>
              <w:left w:val="nil"/>
              <w:bottom w:val="nil"/>
              <w:right w:val="nil"/>
            </w:tcBorders>
            <w:noWrap w:val="0"/>
            <w:tcMar>
              <w:top w:w="-1" w:type="dxa"/>
              <w:left w:w="-1" w:type="dxa"/>
              <w:bottom w:w="-1" w:type="dxa"/>
              <w:right w:w="-1" w:type="dxa"/>
            </w:tcMar>
            <w:vAlign w:val="center"/>
          </w:tcPr>
          <w:p w14:paraId="4D3E71E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Q8</w:t>
            </w:r>
          </w:p>
        </w:tc>
      </w:tr>
      <w:tr w14:paraId="7192FCD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noWrap w:val="0"/>
            <w:tcMar>
              <w:top w:w="-1" w:type="dxa"/>
              <w:left w:w="-1" w:type="dxa"/>
              <w:bottom w:w="-1" w:type="dxa"/>
              <w:right w:w="-1" w:type="dxa"/>
            </w:tcMar>
            <w:vAlign w:val="center"/>
          </w:tcPr>
          <w:p w14:paraId="1FDE88A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companion</w:t>
            </w:r>
          </w:p>
        </w:tc>
        <w:tc>
          <w:tcPr>
            <w:tcW w:w="1116" w:type="pct"/>
            <w:tcBorders>
              <w:top w:val="nil"/>
              <w:left w:val="nil"/>
              <w:bottom w:val="nil"/>
              <w:right w:val="nil"/>
            </w:tcBorders>
            <w:noWrap w:val="0"/>
            <w:tcMar>
              <w:top w:w="-1" w:type="dxa"/>
              <w:left w:w="-1" w:type="dxa"/>
              <w:bottom w:w="-1" w:type="dxa"/>
              <w:right w:w="-1" w:type="dxa"/>
            </w:tcMar>
            <w:vAlign w:val="center"/>
          </w:tcPr>
          <w:p w14:paraId="15EE318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Categorical 0–3</w:t>
            </w:r>
          </w:p>
        </w:tc>
        <w:tc>
          <w:tcPr>
            <w:tcW w:w="2658" w:type="pct"/>
            <w:tcBorders>
              <w:top w:val="nil"/>
              <w:left w:val="nil"/>
              <w:bottom w:val="nil"/>
              <w:right w:val="nil"/>
            </w:tcBorders>
            <w:noWrap w:val="0"/>
            <w:tcMar>
              <w:top w:w="-1" w:type="dxa"/>
              <w:left w:w="-1" w:type="dxa"/>
              <w:bottom w:w="-1" w:type="dxa"/>
              <w:right w:w="-1" w:type="dxa"/>
            </w:tcMar>
            <w:vAlign w:val="center"/>
          </w:tcPr>
          <w:p w14:paraId="580AEE3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 = alone/spouse, 1 = volunteer, 2 = relatives, 3 = themselves</w:t>
            </w:r>
          </w:p>
        </w:tc>
        <w:tc>
          <w:tcPr>
            <w:tcW w:w="569" w:type="pct"/>
            <w:tcBorders>
              <w:top w:val="nil"/>
              <w:left w:val="nil"/>
              <w:bottom w:val="nil"/>
              <w:right w:val="nil"/>
            </w:tcBorders>
            <w:noWrap w:val="0"/>
            <w:tcMar>
              <w:top w:w="-1" w:type="dxa"/>
              <w:left w:w="-1" w:type="dxa"/>
              <w:bottom w:w="-1" w:type="dxa"/>
              <w:right w:w="-1" w:type="dxa"/>
            </w:tcMar>
            <w:vAlign w:val="center"/>
          </w:tcPr>
          <w:p w14:paraId="2332C9A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Q9</w:t>
            </w:r>
          </w:p>
        </w:tc>
      </w:tr>
      <w:tr w14:paraId="3CF34CA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noWrap w:val="0"/>
            <w:tcMar>
              <w:top w:w="-1" w:type="dxa"/>
              <w:left w:w="-1" w:type="dxa"/>
              <w:bottom w:w="-1" w:type="dxa"/>
              <w:right w:w="-1" w:type="dxa"/>
            </w:tcMar>
            <w:vAlign w:val="center"/>
          </w:tcPr>
          <w:p w14:paraId="251D7B7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comp_self</w:t>
            </w:r>
          </w:p>
        </w:tc>
        <w:tc>
          <w:tcPr>
            <w:tcW w:w="1116" w:type="pct"/>
            <w:tcBorders>
              <w:top w:val="nil"/>
              <w:left w:val="nil"/>
              <w:bottom w:val="nil"/>
              <w:right w:val="nil"/>
            </w:tcBorders>
            <w:noWrap w:val="0"/>
            <w:tcMar>
              <w:top w:w="-1" w:type="dxa"/>
              <w:left w:w="-1" w:type="dxa"/>
              <w:bottom w:w="-1" w:type="dxa"/>
              <w:right w:w="-1" w:type="dxa"/>
            </w:tcMar>
            <w:vAlign w:val="center"/>
          </w:tcPr>
          <w:p w14:paraId="02FF313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Binary</w:t>
            </w:r>
          </w:p>
        </w:tc>
        <w:tc>
          <w:tcPr>
            <w:tcW w:w="2658" w:type="pct"/>
            <w:tcBorders>
              <w:top w:val="nil"/>
              <w:left w:val="nil"/>
              <w:bottom w:val="nil"/>
              <w:right w:val="nil"/>
            </w:tcBorders>
            <w:noWrap w:val="0"/>
            <w:tcMar>
              <w:top w:w="-1" w:type="dxa"/>
              <w:left w:w="-1" w:type="dxa"/>
              <w:bottom w:w="-1" w:type="dxa"/>
              <w:right w:w="-1" w:type="dxa"/>
            </w:tcMar>
            <w:vAlign w:val="center"/>
          </w:tcPr>
          <w:p w14:paraId="1CBA69D7">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 = currently self-accompanies (companion = 3), 0 = other</w:t>
            </w:r>
          </w:p>
        </w:tc>
        <w:tc>
          <w:tcPr>
            <w:tcW w:w="569" w:type="pct"/>
            <w:tcBorders>
              <w:top w:val="nil"/>
              <w:left w:val="nil"/>
              <w:bottom w:val="nil"/>
              <w:right w:val="nil"/>
            </w:tcBorders>
            <w:noWrap w:val="0"/>
            <w:tcMar>
              <w:top w:w="-1" w:type="dxa"/>
              <w:left w:w="-1" w:type="dxa"/>
              <w:bottom w:w="-1" w:type="dxa"/>
              <w:right w:w="-1" w:type="dxa"/>
            </w:tcMar>
            <w:vAlign w:val="center"/>
          </w:tcPr>
          <w:p w14:paraId="6A48510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Q9</w:t>
            </w:r>
          </w:p>
        </w:tc>
      </w:tr>
      <w:tr w14:paraId="73BF4CC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noWrap w:val="0"/>
            <w:tcMar>
              <w:top w:w="-1" w:type="dxa"/>
              <w:left w:w="-1" w:type="dxa"/>
              <w:bottom w:w="-1" w:type="dxa"/>
              <w:right w:w="-1" w:type="dxa"/>
            </w:tcMar>
            <w:vAlign w:val="center"/>
          </w:tcPr>
          <w:p w14:paraId="7A84D77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recommend</w:t>
            </w:r>
          </w:p>
        </w:tc>
        <w:tc>
          <w:tcPr>
            <w:tcW w:w="1116" w:type="pct"/>
            <w:tcBorders>
              <w:top w:val="nil"/>
              <w:left w:val="nil"/>
              <w:bottom w:val="nil"/>
              <w:right w:val="nil"/>
            </w:tcBorders>
            <w:noWrap w:val="0"/>
            <w:tcMar>
              <w:top w:w="-1" w:type="dxa"/>
              <w:left w:w="-1" w:type="dxa"/>
              <w:bottom w:w="-1" w:type="dxa"/>
              <w:right w:w="-1" w:type="dxa"/>
            </w:tcMar>
            <w:vAlign w:val="center"/>
          </w:tcPr>
          <w:p w14:paraId="4B4B454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Binary</w:t>
            </w:r>
          </w:p>
        </w:tc>
        <w:tc>
          <w:tcPr>
            <w:tcW w:w="2658" w:type="pct"/>
            <w:tcBorders>
              <w:top w:val="nil"/>
              <w:left w:val="nil"/>
              <w:bottom w:val="nil"/>
              <w:right w:val="nil"/>
            </w:tcBorders>
            <w:noWrap w:val="0"/>
            <w:tcMar>
              <w:top w:w="-1" w:type="dxa"/>
              <w:left w:w="-1" w:type="dxa"/>
              <w:bottom w:w="-1" w:type="dxa"/>
              <w:right w:w="-1" w:type="dxa"/>
            </w:tcMar>
            <w:vAlign w:val="center"/>
          </w:tcPr>
          <w:p w14:paraId="77E5963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 = would recommend, 0 = would not</w:t>
            </w:r>
          </w:p>
        </w:tc>
        <w:tc>
          <w:tcPr>
            <w:tcW w:w="569" w:type="pct"/>
            <w:tcBorders>
              <w:top w:val="nil"/>
              <w:left w:val="nil"/>
              <w:bottom w:val="nil"/>
              <w:right w:val="nil"/>
            </w:tcBorders>
            <w:noWrap w:val="0"/>
            <w:tcMar>
              <w:top w:w="-1" w:type="dxa"/>
              <w:left w:w="-1" w:type="dxa"/>
              <w:bottom w:w="-1" w:type="dxa"/>
              <w:right w:w="-1" w:type="dxa"/>
            </w:tcMar>
            <w:vAlign w:val="center"/>
          </w:tcPr>
          <w:p w14:paraId="5329CBB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Q12</w:t>
            </w:r>
          </w:p>
        </w:tc>
      </w:tr>
      <w:tr w14:paraId="76CFBF2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655" w:type="pct"/>
            <w:tcBorders>
              <w:top w:val="nil"/>
              <w:left w:val="nil"/>
              <w:bottom w:val="single" w:color="auto" w:sz="12" w:space="0"/>
              <w:right w:val="nil"/>
            </w:tcBorders>
            <w:noWrap w:val="0"/>
            <w:tcMar>
              <w:top w:w="-1" w:type="dxa"/>
              <w:left w:w="-1" w:type="dxa"/>
              <w:bottom w:w="-1" w:type="dxa"/>
              <w:right w:w="-1" w:type="dxa"/>
            </w:tcMar>
            <w:vAlign w:val="center"/>
          </w:tcPr>
          <w:p w14:paraId="6CDBEAF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certified</w:t>
            </w:r>
          </w:p>
        </w:tc>
        <w:tc>
          <w:tcPr>
            <w:tcW w:w="1116" w:type="pct"/>
            <w:tcBorders>
              <w:top w:val="nil"/>
              <w:left w:val="nil"/>
              <w:bottom w:val="single" w:color="auto" w:sz="12" w:space="0"/>
              <w:right w:val="nil"/>
            </w:tcBorders>
            <w:noWrap w:val="0"/>
            <w:tcMar>
              <w:top w:w="-1" w:type="dxa"/>
              <w:left w:w="-1" w:type="dxa"/>
              <w:bottom w:w="-1" w:type="dxa"/>
              <w:right w:w="-1" w:type="dxa"/>
            </w:tcMar>
            <w:vAlign w:val="center"/>
          </w:tcPr>
          <w:p w14:paraId="0B76C19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Binary</w:t>
            </w:r>
          </w:p>
        </w:tc>
        <w:tc>
          <w:tcPr>
            <w:tcW w:w="2658" w:type="pct"/>
            <w:tcBorders>
              <w:top w:val="nil"/>
              <w:left w:val="nil"/>
              <w:bottom w:val="single" w:color="auto" w:sz="12" w:space="0"/>
              <w:right w:val="nil"/>
            </w:tcBorders>
            <w:noWrap w:val="0"/>
            <w:tcMar>
              <w:top w:w="-1" w:type="dxa"/>
              <w:left w:w="-1" w:type="dxa"/>
              <w:bottom w:w="-1" w:type="dxa"/>
              <w:right w:w="-1" w:type="dxa"/>
            </w:tcMar>
            <w:vAlign w:val="center"/>
          </w:tcPr>
          <w:p w14:paraId="64CC826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 = certification required, 0 = not endorsed</w:t>
            </w:r>
          </w:p>
        </w:tc>
        <w:tc>
          <w:tcPr>
            <w:tcW w:w="569" w:type="pct"/>
            <w:tcBorders>
              <w:top w:val="nil"/>
              <w:left w:val="nil"/>
              <w:bottom w:val="single" w:color="auto" w:sz="12" w:space="0"/>
              <w:right w:val="nil"/>
            </w:tcBorders>
            <w:noWrap w:val="0"/>
            <w:tcMar>
              <w:top w:w="-1" w:type="dxa"/>
              <w:left w:w="-1" w:type="dxa"/>
              <w:bottom w:w="-1" w:type="dxa"/>
              <w:right w:w="-1" w:type="dxa"/>
            </w:tcMar>
            <w:vAlign w:val="center"/>
          </w:tcPr>
          <w:p w14:paraId="1A0449F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right"/>
              <w:textAlignment w:val="auto"/>
              <w:rPr>
                <w:rFonts w:ascii="Times New Roman" w:eastAsia="Times New Roman"/>
                <w:sz w:val="20"/>
              </w:rPr>
            </w:pPr>
            <w:r>
              <w:rPr>
                <w:rFonts w:ascii="Times New Roman" w:eastAsia="Times New Roman"/>
                <w:sz w:val="20"/>
              </w:rPr>
              <w:t>Q16</w:t>
            </w:r>
          </w:p>
        </w:tc>
      </w:tr>
    </w:tbl>
    <w:p w14:paraId="78204307">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sz w:val="21"/>
          <w:szCs w:val="21"/>
        </w:rPr>
      </w:pPr>
    </w:p>
    <w:p w14:paraId="5C917A8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 w:val="21"/>
          <w:szCs w:val="21"/>
        </w:rPr>
      </w:pPr>
      <w:r>
        <w:rPr>
          <w:b/>
          <w:sz w:val="21"/>
          <w:szCs w:val="21"/>
        </w:rPr>
        <w:t>Appendix C. Full output of the multivariable regression model</w:t>
      </w:r>
    </w:p>
    <w:p w14:paraId="56432871">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both"/>
        <w:textAlignment w:val="auto"/>
        <w:rPr>
          <w:sz w:val="21"/>
          <w:szCs w:val="21"/>
        </w:rPr>
      </w:pPr>
      <w:r>
        <w:rPr>
          <w:b w:val="0"/>
          <w:i w:val="0"/>
          <w:sz w:val="21"/>
          <w:szCs w:val="21"/>
        </w:rPr>
        <w:t>All coefficients were estimated by Firth’s penalized logistic regression using the analysis code in Appendix D, applied to the de-identified individual-level dataset (n = 87) accompanying this submission.</w:t>
      </w:r>
    </w:p>
    <w:tbl>
      <w:tblPr>
        <w:tblStyle w:val="33"/>
        <w:tblW w:w="4997"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4501"/>
        <w:gridCol w:w="751"/>
        <w:gridCol w:w="682"/>
        <w:gridCol w:w="785"/>
        <w:gridCol w:w="1450"/>
        <w:gridCol w:w="682"/>
      </w:tblGrid>
      <w:tr w14:paraId="52A7689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2542" w:type="pct"/>
            <w:tcBorders>
              <w:top w:val="single" w:color="auto" w:sz="12" w:space="0"/>
              <w:left w:val="nil"/>
              <w:bottom w:val="nil"/>
              <w:right w:val="nil"/>
            </w:tcBorders>
            <w:noWrap w:val="0"/>
            <w:tcMar>
              <w:top w:w="-1" w:type="dxa"/>
              <w:left w:w="-1" w:type="dxa"/>
              <w:bottom w:w="-1" w:type="dxa"/>
              <w:right w:w="-1" w:type="dxa"/>
            </w:tcMar>
            <w:vAlign w:val="center"/>
          </w:tcPr>
          <w:p w14:paraId="6D8E5EF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Variable</w:t>
            </w:r>
          </w:p>
        </w:tc>
        <w:tc>
          <w:tcPr>
            <w:tcW w:w="424" w:type="pct"/>
            <w:tcBorders>
              <w:top w:val="single" w:color="auto" w:sz="12" w:space="0"/>
              <w:left w:val="nil"/>
              <w:bottom w:val="nil"/>
              <w:right w:val="nil"/>
            </w:tcBorders>
            <w:noWrap w:val="0"/>
            <w:tcMar>
              <w:top w:w="-1" w:type="dxa"/>
              <w:left w:w="-1" w:type="dxa"/>
              <w:bottom w:w="-1" w:type="dxa"/>
              <w:right w:w="-1" w:type="dxa"/>
            </w:tcMar>
            <w:vAlign w:val="center"/>
          </w:tcPr>
          <w:p w14:paraId="0AAA3AE1">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b</w:t>
            </w:r>
          </w:p>
        </w:tc>
        <w:tc>
          <w:tcPr>
            <w:tcW w:w="385" w:type="pct"/>
            <w:tcBorders>
              <w:top w:val="single" w:color="auto" w:sz="12" w:space="0"/>
              <w:left w:val="nil"/>
              <w:bottom w:val="nil"/>
              <w:right w:val="nil"/>
            </w:tcBorders>
            <w:noWrap w:val="0"/>
            <w:tcMar>
              <w:top w:w="-1" w:type="dxa"/>
              <w:left w:w="-1" w:type="dxa"/>
              <w:bottom w:w="-1" w:type="dxa"/>
              <w:right w:w="-1" w:type="dxa"/>
            </w:tcMar>
            <w:vAlign w:val="center"/>
          </w:tcPr>
          <w:p w14:paraId="4CB4E2F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SE</w:t>
            </w:r>
          </w:p>
        </w:tc>
        <w:tc>
          <w:tcPr>
            <w:tcW w:w="443" w:type="pct"/>
            <w:tcBorders>
              <w:top w:val="single" w:color="auto" w:sz="12" w:space="0"/>
              <w:left w:val="nil"/>
              <w:bottom w:val="nil"/>
              <w:right w:val="nil"/>
            </w:tcBorders>
            <w:noWrap w:val="0"/>
            <w:tcMar>
              <w:top w:w="-1" w:type="dxa"/>
              <w:left w:w="-1" w:type="dxa"/>
              <w:bottom w:w="-1" w:type="dxa"/>
              <w:right w:w="-1" w:type="dxa"/>
            </w:tcMar>
            <w:vAlign w:val="center"/>
          </w:tcPr>
          <w:p w14:paraId="6D1F57DC">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OR</w:t>
            </w:r>
          </w:p>
        </w:tc>
        <w:tc>
          <w:tcPr>
            <w:tcW w:w="819" w:type="pct"/>
            <w:tcBorders>
              <w:top w:val="single" w:color="auto" w:sz="12" w:space="0"/>
              <w:left w:val="nil"/>
              <w:bottom w:val="nil"/>
              <w:right w:val="nil"/>
            </w:tcBorders>
            <w:noWrap w:val="0"/>
            <w:tcMar>
              <w:top w:w="-1" w:type="dxa"/>
              <w:left w:w="-1" w:type="dxa"/>
              <w:bottom w:w="-1" w:type="dxa"/>
              <w:right w:w="-1" w:type="dxa"/>
            </w:tcMar>
            <w:vAlign w:val="center"/>
          </w:tcPr>
          <w:p w14:paraId="4ED5D13C">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95% CI</w:t>
            </w:r>
          </w:p>
        </w:tc>
        <w:tc>
          <w:tcPr>
            <w:tcW w:w="385" w:type="pct"/>
            <w:tcBorders>
              <w:top w:val="single" w:color="auto" w:sz="12" w:space="0"/>
              <w:left w:val="nil"/>
              <w:bottom w:val="nil"/>
              <w:right w:val="nil"/>
            </w:tcBorders>
            <w:noWrap w:val="0"/>
            <w:tcMar>
              <w:top w:w="-1" w:type="dxa"/>
              <w:left w:w="-1" w:type="dxa"/>
              <w:bottom w:w="-1" w:type="dxa"/>
              <w:right w:w="-1" w:type="dxa"/>
            </w:tcMar>
            <w:vAlign w:val="center"/>
          </w:tcPr>
          <w:p w14:paraId="777BF6C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P</w:t>
            </w:r>
          </w:p>
        </w:tc>
      </w:tr>
      <w:tr w14:paraId="3939745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542" w:type="pct"/>
            <w:tcBorders>
              <w:top w:val="single" w:color="auto" w:sz="4" w:space="0"/>
              <w:left w:val="nil"/>
              <w:bottom w:val="nil"/>
              <w:right w:val="nil"/>
            </w:tcBorders>
            <w:noWrap w:val="0"/>
            <w:tcMar>
              <w:top w:w="-1" w:type="dxa"/>
              <w:left w:w="-1" w:type="dxa"/>
              <w:bottom w:w="-1" w:type="dxa"/>
              <w:right w:w="-1" w:type="dxa"/>
            </w:tcMar>
            <w:vAlign w:val="center"/>
          </w:tcPr>
          <w:p w14:paraId="606712C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Intercept</w:t>
            </w:r>
          </w:p>
        </w:tc>
        <w:tc>
          <w:tcPr>
            <w:tcW w:w="424" w:type="pct"/>
            <w:tcBorders>
              <w:top w:val="single" w:color="auto" w:sz="4" w:space="0"/>
              <w:left w:val="nil"/>
              <w:bottom w:val="nil"/>
              <w:right w:val="nil"/>
            </w:tcBorders>
            <w:noWrap w:val="0"/>
            <w:tcMar>
              <w:top w:w="-1" w:type="dxa"/>
              <w:left w:w="-1" w:type="dxa"/>
              <w:bottom w:w="-1" w:type="dxa"/>
              <w:right w:w="-1" w:type="dxa"/>
            </w:tcMar>
            <w:vAlign w:val="center"/>
          </w:tcPr>
          <w:p w14:paraId="6F583B86">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2.978</w:t>
            </w:r>
          </w:p>
        </w:tc>
        <w:tc>
          <w:tcPr>
            <w:tcW w:w="385" w:type="pct"/>
            <w:tcBorders>
              <w:top w:val="single" w:color="auto" w:sz="4" w:space="0"/>
              <w:left w:val="nil"/>
              <w:bottom w:val="nil"/>
              <w:right w:val="nil"/>
            </w:tcBorders>
            <w:noWrap w:val="0"/>
            <w:tcMar>
              <w:top w:w="-1" w:type="dxa"/>
              <w:left w:w="-1" w:type="dxa"/>
              <w:bottom w:w="-1" w:type="dxa"/>
              <w:right w:w="-1" w:type="dxa"/>
            </w:tcMar>
            <w:vAlign w:val="center"/>
          </w:tcPr>
          <w:p w14:paraId="5D07D1D8">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1.676</w:t>
            </w:r>
          </w:p>
        </w:tc>
        <w:tc>
          <w:tcPr>
            <w:tcW w:w="443" w:type="pct"/>
            <w:tcBorders>
              <w:top w:val="single" w:color="auto" w:sz="4" w:space="0"/>
              <w:left w:val="nil"/>
              <w:bottom w:val="nil"/>
              <w:right w:val="nil"/>
            </w:tcBorders>
            <w:noWrap w:val="0"/>
            <w:tcMar>
              <w:top w:w="-1" w:type="dxa"/>
              <w:left w:w="-1" w:type="dxa"/>
              <w:bottom w:w="-1" w:type="dxa"/>
              <w:right w:w="-1" w:type="dxa"/>
            </w:tcMar>
            <w:vAlign w:val="center"/>
          </w:tcPr>
          <w:p w14:paraId="016670F3">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19.645</w:t>
            </w:r>
          </w:p>
        </w:tc>
        <w:tc>
          <w:tcPr>
            <w:tcW w:w="819" w:type="pct"/>
            <w:tcBorders>
              <w:top w:val="single" w:color="auto" w:sz="4" w:space="0"/>
              <w:left w:val="nil"/>
              <w:bottom w:val="nil"/>
              <w:right w:val="nil"/>
            </w:tcBorders>
            <w:noWrap w:val="0"/>
            <w:tcMar>
              <w:top w:w="-1" w:type="dxa"/>
              <w:left w:w="-1" w:type="dxa"/>
              <w:bottom w:w="-1" w:type="dxa"/>
              <w:right w:w="-1" w:type="dxa"/>
            </w:tcMar>
            <w:vAlign w:val="center"/>
          </w:tcPr>
          <w:p w14:paraId="7461B846">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0.736–524.684</w:t>
            </w:r>
          </w:p>
        </w:tc>
        <w:tc>
          <w:tcPr>
            <w:tcW w:w="385" w:type="pct"/>
            <w:tcBorders>
              <w:top w:val="single" w:color="auto" w:sz="4" w:space="0"/>
              <w:left w:val="nil"/>
              <w:bottom w:val="nil"/>
              <w:right w:val="nil"/>
            </w:tcBorders>
            <w:noWrap w:val="0"/>
            <w:tcMar>
              <w:top w:w="-1" w:type="dxa"/>
              <w:left w:w="-1" w:type="dxa"/>
              <w:bottom w:w="-1" w:type="dxa"/>
              <w:right w:w="-1" w:type="dxa"/>
            </w:tcMar>
            <w:vAlign w:val="center"/>
          </w:tcPr>
          <w:p w14:paraId="0D79DEAA">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0.076</w:t>
            </w:r>
          </w:p>
        </w:tc>
      </w:tr>
      <w:tr w14:paraId="45C4662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542" w:type="pct"/>
            <w:tcBorders>
              <w:top w:val="nil"/>
              <w:left w:val="nil"/>
              <w:bottom w:val="nil"/>
              <w:right w:val="nil"/>
            </w:tcBorders>
            <w:noWrap w:val="0"/>
            <w:tcMar>
              <w:top w:w="-1" w:type="dxa"/>
              <w:left w:w="-1" w:type="dxa"/>
              <w:bottom w:w="-1" w:type="dxa"/>
              <w:right w:w="-1" w:type="dxa"/>
            </w:tcMar>
            <w:vAlign w:val="center"/>
          </w:tcPr>
          <w:p w14:paraId="6C3ADFC0">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Male (ref: female)</w:t>
            </w:r>
          </w:p>
        </w:tc>
        <w:tc>
          <w:tcPr>
            <w:tcW w:w="424" w:type="pct"/>
            <w:tcBorders>
              <w:top w:val="nil"/>
              <w:left w:val="nil"/>
              <w:bottom w:val="nil"/>
              <w:right w:val="nil"/>
            </w:tcBorders>
            <w:noWrap w:val="0"/>
            <w:tcMar>
              <w:top w:w="-1" w:type="dxa"/>
              <w:left w:w="-1" w:type="dxa"/>
              <w:bottom w:w="-1" w:type="dxa"/>
              <w:right w:w="-1" w:type="dxa"/>
            </w:tcMar>
            <w:vAlign w:val="center"/>
          </w:tcPr>
          <w:p w14:paraId="5C58FA46">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-1.479</w:t>
            </w:r>
          </w:p>
        </w:tc>
        <w:tc>
          <w:tcPr>
            <w:tcW w:w="385" w:type="pct"/>
            <w:tcBorders>
              <w:top w:val="nil"/>
              <w:left w:val="nil"/>
              <w:bottom w:val="nil"/>
              <w:right w:val="nil"/>
            </w:tcBorders>
            <w:noWrap w:val="0"/>
            <w:tcMar>
              <w:top w:w="-1" w:type="dxa"/>
              <w:left w:w="-1" w:type="dxa"/>
              <w:bottom w:w="-1" w:type="dxa"/>
              <w:right w:w="-1" w:type="dxa"/>
            </w:tcMar>
            <w:vAlign w:val="center"/>
          </w:tcPr>
          <w:p w14:paraId="045FE1C5">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0.855</w:t>
            </w:r>
          </w:p>
        </w:tc>
        <w:tc>
          <w:tcPr>
            <w:tcW w:w="443" w:type="pct"/>
            <w:tcBorders>
              <w:top w:val="nil"/>
              <w:left w:val="nil"/>
              <w:bottom w:val="nil"/>
              <w:right w:val="nil"/>
            </w:tcBorders>
            <w:noWrap w:val="0"/>
            <w:tcMar>
              <w:top w:w="-1" w:type="dxa"/>
              <w:left w:w="-1" w:type="dxa"/>
              <w:bottom w:w="-1" w:type="dxa"/>
              <w:right w:w="-1" w:type="dxa"/>
            </w:tcMar>
            <w:vAlign w:val="center"/>
          </w:tcPr>
          <w:p w14:paraId="562AABB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0.228</w:t>
            </w:r>
          </w:p>
        </w:tc>
        <w:tc>
          <w:tcPr>
            <w:tcW w:w="819" w:type="pct"/>
            <w:tcBorders>
              <w:top w:val="nil"/>
              <w:left w:val="nil"/>
              <w:bottom w:val="nil"/>
              <w:right w:val="nil"/>
            </w:tcBorders>
            <w:noWrap w:val="0"/>
            <w:tcMar>
              <w:top w:w="-1" w:type="dxa"/>
              <w:left w:w="-1" w:type="dxa"/>
              <w:bottom w:w="-1" w:type="dxa"/>
              <w:right w:w="-1" w:type="dxa"/>
            </w:tcMar>
            <w:vAlign w:val="center"/>
          </w:tcPr>
          <w:p w14:paraId="4A382F5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0.043–1.218</w:t>
            </w:r>
          </w:p>
        </w:tc>
        <w:tc>
          <w:tcPr>
            <w:tcW w:w="385" w:type="pct"/>
            <w:tcBorders>
              <w:top w:val="nil"/>
              <w:left w:val="nil"/>
              <w:bottom w:val="nil"/>
              <w:right w:val="nil"/>
            </w:tcBorders>
            <w:noWrap w:val="0"/>
            <w:tcMar>
              <w:top w:w="-1" w:type="dxa"/>
              <w:left w:w="-1" w:type="dxa"/>
              <w:bottom w:w="-1" w:type="dxa"/>
              <w:right w:w="-1" w:type="dxa"/>
            </w:tcMar>
            <w:vAlign w:val="center"/>
          </w:tcPr>
          <w:p w14:paraId="1E1EDA2E">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0.084</w:t>
            </w:r>
          </w:p>
        </w:tc>
      </w:tr>
      <w:tr w14:paraId="4CF3CA2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542" w:type="pct"/>
            <w:tcBorders>
              <w:top w:val="nil"/>
              <w:left w:val="nil"/>
              <w:bottom w:val="nil"/>
              <w:right w:val="nil"/>
            </w:tcBorders>
            <w:noWrap w:val="0"/>
            <w:tcMar>
              <w:top w:w="-1" w:type="dxa"/>
              <w:left w:w="-1" w:type="dxa"/>
              <w:bottom w:w="-1" w:type="dxa"/>
              <w:right w:w="-1" w:type="dxa"/>
            </w:tcMar>
            <w:vAlign w:val="center"/>
          </w:tcPr>
          <w:p w14:paraId="0F960AF0">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Age (per year)</w:t>
            </w:r>
          </w:p>
        </w:tc>
        <w:tc>
          <w:tcPr>
            <w:tcW w:w="424" w:type="pct"/>
            <w:tcBorders>
              <w:top w:val="nil"/>
              <w:left w:val="nil"/>
              <w:bottom w:val="nil"/>
              <w:right w:val="nil"/>
            </w:tcBorders>
            <w:noWrap w:val="0"/>
            <w:tcMar>
              <w:top w:w="-1" w:type="dxa"/>
              <w:left w:w="-1" w:type="dxa"/>
              <w:bottom w:w="-1" w:type="dxa"/>
              <w:right w:w="-1" w:type="dxa"/>
            </w:tcMar>
            <w:vAlign w:val="center"/>
          </w:tcPr>
          <w:p w14:paraId="72FF8C7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-0.023</w:t>
            </w:r>
          </w:p>
        </w:tc>
        <w:tc>
          <w:tcPr>
            <w:tcW w:w="385" w:type="pct"/>
            <w:tcBorders>
              <w:top w:val="nil"/>
              <w:left w:val="nil"/>
              <w:bottom w:val="nil"/>
              <w:right w:val="nil"/>
            </w:tcBorders>
            <w:noWrap w:val="0"/>
            <w:tcMar>
              <w:top w:w="-1" w:type="dxa"/>
              <w:left w:w="-1" w:type="dxa"/>
              <w:bottom w:w="-1" w:type="dxa"/>
              <w:right w:w="-1" w:type="dxa"/>
            </w:tcMar>
            <w:vAlign w:val="center"/>
          </w:tcPr>
          <w:p w14:paraId="4FCC8D81">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0.033</w:t>
            </w:r>
          </w:p>
        </w:tc>
        <w:tc>
          <w:tcPr>
            <w:tcW w:w="443" w:type="pct"/>
            <w:tcBorders>
              <w:top w:val="nil"/>
              <w:left w:val="nil"/>
              <w:bottom w:val="nil"/>
              <w:right w:val="nil"/>
            </w:tcBorders>
            <w:noWrap w:val="0"/>
            <w:tcMar>
              <w:top w:w="-1" w:type="dxa"/>
              <w:left w:w="-1" w:type="dxa"/>
              <w:bottom w:w="-1" w:type="dxa"/>
              <w:right w:w="-1" w:type="dxa"/>
            </w:tcMar>
            <w:vAlign w:val="center"/>
          </w:tcPr>
          <w:p w14:paraId="61240E56">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0.978</w:t>
            </w:r>
          </w:p>
        </w:tc>
        <w:tc>
          <w:tcPr>
            <w:tcW w:w="819" w:type="pct"/>
            <w:tcBorders>
              <w:top w:val="nil"/>
              <w:left w:val="nil"/>
              <w:bottom w:val="nil"/>
              <w:right w:val="nil"/>
            </w:tcBorders>
            <w:noWrap w:val="0"/>
            <w:tcMar>
              <w:top w:w="-1" w:type="dxa"/>
              <w:left w:w="-1" w:type="dxa"/>
              <w:bottom w:w="-1" w:type="dxa"/>
              <w:right w:w="-1" w:type="dxa"/>
            </w:tcMar>
            <w:vAlign w:val="center"/>
          </w:tcPr>
          <w:p w14:paraId="25634111">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0.917–1.042</w:t>
            </w:r>
          </w:p>
        </w:tc>
        <w:tc>
          <w:tcPr>
            <w:tcW w:w="385" w:type="pct"/>
            <w:tcBorders>
              <w:top w:val="nil"/>
              <w:left w:val="nil"/>
              <w:bottom w:val="nil"/>
              <w:right w:val="nil"/>
            </w:tcBorders>
            <w:noWrap w:val="0"/>
            <w:tcMar>
              <w:top w:w="-1" w:type="dxa"/>
              <w:left w:w="-1" w:type="dxa"/>
              <w:bottom w:w="-1" w:type="dxa"/>
              <w:right w:w="-1" w:type="dxa"/>
            </w:tcMar>
            <w:vAlign w:val="center"/>
          </w:tcPr>
          <w:p w14:paraId="37C566A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0.487</w:t>
            </w:r>
          </w:p>
        </w:tc>
      </w:tr>
      <w:tr w14:paraId="5F1F416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542" w:type="pct"/>
            <w:tcBorders>
              <w:top w:val="nil"/>
              <w:left w:val="nil"/>
              <w:bottom w:val="nil"/>
              <w:right w:val="nil"/>
            </w:tcBorders>
            <w:noWrap w:val="0"/>
            <w:tcMar>
              <w:top w:w="-1" w:type="dxa"/>
              <w:left w:w="-1" w:type="dxa"/>
              <w:bottom w:w="-1" w:type="dxa"/>
              <w:right w:w="-1" w:type="dxa"/>
            </w:tcMar>
            <w:vAlign w:val="center"/>
          </w:tcPr>
          <w:p w14:paraId="1B7280B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Monthly personal income (per 1000 CNY)</w:t>
            </w:r>
          </w:p>
        </w:tc>
        <w:tc>
          <w:tcPr>
            <w:tcW w:w="424" w:type="pct"/>
            <w:tcBorders>
              <w:top w:val="nil"/>
              <w:left w:val="nil"/>
              <w:bottom w:val="nil"/>
              <w:right w:val="nil"/>
            </w:tcBorders>
            <w:noWrap w:val="0"/>
            <w:tcMar>
              <w:top w:w="-1" w:type="dxa"/>
              <w:left w:w="-1" w:type="dxa"/>
              <w:bottom w:w="-1" w:type="dxa"/>
              <w:right w:w="-1" w:type="dxa"/>
            </w:tcMar>
            <w:vAlign w:val="center"/>
          </w:tcPr>
          <w:p w14:paraId="14D313D2">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-0.019</w:t>
            </w:r>
          </w:p>
        </w:tc>
        <w:tc>
          <w:tcPr>
            <w:tcW w:w="385" w:type="pct"/>
            <w:tcBorders>
              <w:top w:val="nil"/>
              <w:left w:val="nil"/>
              <w:bottom w:val="nil"/>
              <w:right w:val="nil"/>
            </w:tcBorders>
            <w:noWrap w:val="0"/>
            <w:tcMar>
              <w:top w:w="-1" w:type="dxa"/>
              <w:left w:w="-1" w:type="dxa"/>
              <w:bottom w:w="-1" w:type="dxa"/>
              <w:right w:w="-1" w:type="dxa"/>
            </w:tcMar>
            <w:vAlign w:val="center"/>
          </w:tcPr>
          <w:p w14:paraId="55B686C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0.115</w:t>
            </w:r>
          </w:p>
        </w:tc>
        <w:tc>
          <w:tcPr>
            <w:tcW w:w="443" w:type="pct"/>
            <w:tcBorders>
              <w:top w:val="nil"/>
              <w:left w:val="nil"/>
              <w:bottom w:val="nil"/>
              <w:right w:val="nil"/>
            </w:tcBorders>
            <w:noWrap w:val="0"/>
            <w:tcMar>
              <w:top w:w="-1" w:type="dxa"/>
              <w:left w:w="-1" w:type="dxa"/>
              <w:bottom w:w="-1" w:type="dxa"/>
              <w:right w:w="-1" w:type="dxa"/>
            </w:tcMar>
            <w:vAlign w:val="center"/>
          </w:tcPr>
          <w:p w14:paraId="41FEDE0A">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0.981</w:t>
            </w:r>
          </w:p>
        </w:tc>
        <w:tc>
          <w:tcPr>
            <w:tcW w:w="819" w:type="pct"/>
            <w:tcBorders>
              <w:top w:val="nil"/>
              <w:left w:val="nil"/>
              <w:bottom w:val="nil"/>
              <w:right w:val="nil"/>
            </w:tcBorders>
            <w:noWrap w:val="0"/>
            <w:tcMar>
              <w:top w:w="-1" w:type="dxa"/>
              <w:left w:w="-1" w:type="dxa"/>
              <w:bottom w:w="-1" w:type="dxa"/>
              <w:right w:w="-1" w:type="dxa"/>
            </w:tcMar>
            <w:vAlign w:val="center"/>
          </w:tcPr>
          <w:p w14:paraId="4D37E070">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0.783–1.228</w:t>
            </w:r>
          </w:p>
        </w:tc>
        <w:tc>
          <w:tcPr>
            <w:tcW w:w="385" w:type="pct"/>
            <w:tcBorders>
              <w:top w:val="nil"/>
              <w:left w:val="nil"/>
              <w:bottom w:val="nil"/>
              <w:right w:val="nil"/>
            </w:tcBorders>
            <w:noWrap w:val="0"/>
            <w:tcMar>
              <w:top w:w="-1" w:type="dxa"/>
              <w:left w:w="-1" w:type="dxa"/>
              <w:bottom w:w="-1" w:type="dxa"/>
              <w:right w:w="-1" w:type="dxa"/>
            </w:tcMar>
            <w:vAlign w:val="center"/>
          </w:tcPr>
          <w:p w14:paraId="781C41D7">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0.866</w:t>
            </w:r>
          </w:p>
        </w:tc>
      </w:tr>
      <w:tr w14:paraId="17D54F5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542" w:type="pct"/>
            <w:tcBorders>
              <w:top w:val="nil"/>
              <w:left w:val="nil"/>
              <w:bottom w:val="single" w:color="auto" w:sz="12" w:space="0"/>
              <w:right w:val="nil"/>
            </w:tcBorders>
            <w:noWrap w:val="0"/>
            <w:tcMar>
              <w:top w:w="-1" w:type="dxa"/>
              <w:left w:w="-1" w:type="dxa"/>
              <w:bottom w:w="-1" w:type="dxa"/>
              <w:right w:w="-1" w:type="dxa"/>
            </w:tcMar>
            <w:vAlign w:val="center"/>
          </w:tcPr>
          <w:p w14:paraId="0E7A45FF">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Currently accompanies the older relative (ref: other)</w:t>
            </w:r>
          </w:p>
        </w:tc>
        <w:tc>
          <w:tcPr>
            <w:tcW w:w="424" w:type="pct"/>
            <w:tcBorders>
              <w:top w:val="nil"/>
              <w:left w:val="nil"/>
              <w:bottom w:val="single" w:color="auto" w:sz="12" w:space="0"/>
              <w:right w:val="nil"/>
            </w:tcBorders>
            <w:noWrap w:val="0"/>
            <w:tcMar>
              <w:top w:w="-1" w:type="dxa"/>
              <w:left w:w="-1" w:type="dxa"/>
              <w:bottom w:w="-1" w:type="dxa"/>
              <w:right w:w="-1" w:type="dxa"/>
            </w:tcMar>
            <w:vAlign w:val="center"/>
          </w:tcPr>
          <w:p w14:paraId="758D9875">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-0.335</w:t>
            </w:r>
          </w:p>
        </w:tc>
        <w:tc>
          <w:tcPr>
            <w:tcW w:w="385" w:type="pct"/>
            <w:tcBorders>
              <w:top w:val="nil"/>
              <w:left w:val="nil"/>
              <w:bottom w:val="single" w:color="auto" w:sz="12" w:space="0"/>
              <w:right w:val="nil"/>
            </w:tcBorders>
            <w:noWrap w:val="0"/>
            <w:tcMar>
              <w:top w:w="-1" w:type="dxa"/>
              <w:left w:w="-1" w:type="dxa"/>
              <w:bottom w:w="-1" w:type="dxa"/>
              <w:right w:w="-1" w:type="dxa"/>
            </w:tcMar>
            <w:vAlign w:val="center"/>
          </w:tcPr>
          <w:p w14:paraId="1FAB490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0.900</w:t>
            </w:r>
          </w:p>
        </w:tc>
        <w:tc>
          <w:tcPr>
            <w:tcW w:w="443" w:type="pct"/>
            <w:tcBorders>
              <w:top w:val="nil"/>
              <w:left w:val="nil"/>
              <w:bottom w:val="single" w:color="auto" w:sz="12" w:space="0"/>
              <w:right w:val="nil"/>
            </w:tcBorders>
            <w:noWrap w:val="0"/>
            <w:tcMar>
              <w:top w:w="-1" w:type="dxa"/>
              <w:left w:w="-1" w:type="dxa"/>
              <w:bottom w:w="-1" w:type="dxa"/>
              <w:right w:w="-1" w:type="dxa"/>
            </w:tcMar>
            <w:vAlign w:val="center"/>
          </w:tcPr>
          <w:p w14:paraId="55FBA3B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0.715</w:t>
            </w:r>
          </w:p>
        </w:tc>
        <w:tc>
          <w:tcPr>
            <w:tcW w:w="819" w:type="pct"/>
            <w:tcBorders>
              <w:top w:val="nil"/>
              <w:left w:val="nil"/>
              <w:bottom w:val="single" w:color="auto" w:sz="12" w:space="0"/>
              <w:right w:val="nil"/>
            </w:tcBorders>
            <w:noWrap w:val="0"/>
            <w:tcMar>
              <w:top w:w="-1" w:type="dxa"/>
              <w:left w:w="-1" w:type="dxa"/>
              <w:bottom w:w="-1" w:type="dxa"/>
              <w:right w:w="-1" w:type="dxa"/>
            </w:tcMar>
            <w:vAlign w:val="center"/>
          </w:tcPr>
          <w:p w14:paraId="66F043F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0.123–4.174</w:t>
            </w:r>
          </w:p>
        </w:tc>
        <w:tc>
          <w:tcPr>
            <w:tcW w:w="385" w:type="pct"/>
            <w:tcBorders>
              <w:top w:val="nil"/>
              <w:left w:val="nil"/>
              <w:bottom w:val="single" w:color="auto" w:sz="12" w:space="0"/>
              <w:right w:val="nil"/>
            </w:tcBorders>
            <w:noWrap w:val="0"/>
            <w:tcMar>
              <w:top w:w="-1" w:type="dxa"/>
              <w:left w:w="-1" w:type="dxa"/>
              <w:bottom w:w="-1" w:type="dxa"/>
              <w:right w:w="-1" w:type="dxa"/>
            </w:tcMar>
            <w:vAlign w:val="center"/>
          </w:tcPr>
          <w:p w14:paraId="23EBC9A5">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0.710</w:t>
            </w:r>
          </w:p>
        </w:tc>
      </w:tr>
    </w:tbl>
    <w:p w14:paraId="61BFCF9B">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val="0"/>
          <w:i/>
          <w:iCs/>
          <w:sz w:val="20"/>
          <w:szCs w:val="20"/>
        </w:rPr>
      </w:pPr>
      <w:r>
        <w:rPr>
          <w:b w:val="0"/>
          <w:i/>
          <w:iCs/>
          <w:sz w:val="20"/>
          <w:szCs w:val="20"/>
        </w:rPr>
        <w:t>Model fit: Nagelkerke R² = 0.073; Hosmer–Lemeshow χ² = 12.02 (df = 8, P = 0.150); AUC = 0.640.</w:t>
      </w:r>
    </w:p>
    <w:p w14:paraId="63FEBFEF">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val="0"/>
          <w:i w:val="0"/>
          <w:sz w:val="22"/>
        </w:rPr>
      </w:pPr>
    </w:p>
    <w:p w14:paraId="49FA27F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 w:val="21"/>
          <w:szCs w:val="21"/>
        </w:rPr>
      </w:pPr>
      <w:r>
        <w:rPr>
          <w:b/>
          <w:sz w:val="21"/>
          <w:szCs w:val="21"/>
        </w:rPr>
        <w:t>Appendix D. Statistical analysis code and reproducibility notes</w:t>
      </w:r>
    </w:p>
    <w:p w14:paraId="2C990FBA">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both"/>
        <w:textAlignment w:val="auto"/>
        <w:rPr>
          <w:b w:val="0"/>
          <w:i w:val="0"/>
          <w:sz w:val="21"/>
          <w:szCs w:val="21"/>
        </w:rPr>
      </w:pPr>
      <w:r>
        <w:rPr>
          <w:b w:val="0"/>
          <w:i w:val="0"/>
          <w:sz w:val="21"/>
          <w:szCs w:val="21"/>
        </w:rPr>
        <w:t>The complete analysis code (Python 3, using numpy, pandas, scipy, and statsmodels) is provided in the file. The code performs, in order: (1) descriptive statistics for Table 1; (2) unadjusted group comparisons for Table 2 (Welch’s t test; Pearson’s chi-square, continuity-corrected chi-square, Fisher’s exact test, or chi-square with Monte Carlo permutation when expected counts are sparse); (3) Firth-penalized logistic regression for Table 4, including Nagelkerke R², the Hosmer–Lemeshow test, and the area under the receiver operating characteristic curve; and (4) descriptive statistics for Table 3. Running the code on the accompanying dataset reproduces every number reported in the manuscript to the stated precision.</w:t>
      </w:r>
    </w:p>
    <w:p w14:paraId="594ADF9D">
      <w:pPr>
        <w:keepNext w:val="0"/>
        <w:keepLines w:val="0"/>
        <w:pageBreakBefore w:val="0"/>
        <w:widowControl/>
        <w:kinsoku/>
        <w:wordWrap/>
        <w:overflowPunct/>
        <w:topLinePunct w:val="0"/>
        <w:autoSpaceDE/>
        <w:autoSpaceDN/>
        <w:bidi w:val="0"/>
        <w:adjustRightInd/>
        <w:snapToGrid/>
        <w:spacing w:after="0" w:line="360" w:lineRule="auto"/>
        <w:ind w:firstLine="440" w:firstLineChars="200"/>
        <w:jc w:val="both"/>
        <w:textAlignment w:val="auto"/>
        <w:rPr>
          <w:b w:val="0"/>
          <w:i w:val="0"/>
          <w:sz w:val="22"/>
        </w:rPr>
      </w:pPr>
    </w:p>
    <w:p w14:paraId="7A8C526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 w:val="21"/>
          <w:szCs w:val="21"/>
        </w:rPr>
      </w:pPr>
      <w:r>
        <w:rPr>
          <w:b/>
          <w:sz w:val="21"/>
          <w:szCs w:val="21"/>
        </w:rPr>
        <w:t>Appendix E. STROBE statement checklist for observational studies</w:t>
      </w:r>
    </w:p>
    <w:p w14:paraId="15F5E841">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both"/>
        <w:textAlignment w:val="auto"/>
        <w:rPr>
          <w:sz w:val="21"/>
          <w:szCs w:val="21"/>
        </w:rPr>
      </w:pPr>
      <w:r>
        <w:rPr>
          <w:b w:val="0"/>
          <w:i w:val="0"/>
          <w:sz w:val="21"/>
          <w:szCs w:val="21"/>
        </w:rPr>
        <w:t>The STROBE checklist for this observational study is provided below.</w:t>
      </w:r>
    </w:p>
    <w:tbl>
      <w:tblPr>
        <w:tblStyle w:val="33"/>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893"/>
        <w:gridCol w:w="730"/>
        <w:gridCol w:w="5233"/>
      </w:tblGrid>
      <w:tr w14:paraId="53754EE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633" w:type="pct"/>
            <w:tcBorders>
              <w:top w:val="single" w:color="auto" w:sz="12" w:space="0"/>
              <w:left w:val="nil"/>
              <w:bottom w:val="nil"/>
              <w:right w:val="nil"/>
            </w:tcBorders>
            <w:noWrap w:val="0"/>
            <w:tcMar>
              <w:top w:w="-1" w:type="dxa"/>
              <w:left w:w="-1" w:type="dxa"/>
              <w:bottom w:w="-1" w:type="dxa"/>
              <w:right w:w="-1" w:type="dxa"/>
            </w:tcMar>
            <w:vAlign w:val="center"/>
          </w:tcPr>
          <w:p w14:paraId="4A3CAD02">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Section / topic</w:t>
            </w:r>
          </w:p>
        </w:tc>
        <w:tc>
          <w:tcPr>
            <w:tcW w:w="412" w:type="pct"/>
            <w:tcBorders>
              <w:top w:val="single" w:color="auto" w:sz="12" w:space="0"/>
              <w:left w:val="nil"/>
              <w:bottom w:val="nil"/>
              <w:right w:val="nil"/>
            </w:tcBorders>
            <w:noWrap w:val="0"/>
            <w:tcMar>
              <w:top w:w="-1" w:type="dxa"/>
              <w:left w:w="-1" w:type="dxa"/>
              <w:bottom w:w="-1" w:type="dxa"/>
              <w:right w:w="-1" w:type="dxa"/>
            </w:tcMar>
            <w:vAlign w:val="center"/>
          </w:tcPr>
          <w:p w14:paraId="3C150CFE">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Item #</w:t>
            </w:r>
          </w:p>
        </w:tc>
        <w:tc>
          <w:tcPr>
            <w:tcW w:w="2954" w:type="pct"/>
            <w:tcBorders>
              <w:top w:val="single" w:color="auto" w:sz="12" w:space="0"/>
              <w:left w:val="nil"/>
              <w:bottom w:val="nil"/>
              <w:right w:val="nil"/>
            </w:tcBorders>
            <w:noWrap w:val="0"/>
            <w:tcMar>
              <w:top w:w="-1" w:type="dxa"/>
              <w:left w:w="-1" w:type="dxa"/>
              <w:bottom w:w="-1" w:type="dxa"/>
              <w:right w:w="-1" w:type="dxa"/>
            </w:tcMar>
            <w:vAlign w:val="center"/>
          </w:tcPr>
          <w:p w14:paraId="4B83E580">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Reported in manuscript</w:t>
            </w:r>
          </w:p>
        </w:tc>
      </w:tr>
      <w:tr w14:paraId="466D920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single" w:color="auto" w:sz="4" w:space="0"/>
              <w:left w:val="nil"/>
              <w:bottom w:val="nil"/>
              <w:right w:val="nil"/>
            </w:tcBorders>
            <w:noWrap w:val="0"/>
            <w:tcMar>
              <w:top w:w="-1" w:type="dxa"/>
              <w:left w:w="-1" w:type="dxa"/>
              <w:bottom w:w="-1" w:type="dxa"/>
              <w:right w:w="-1" w:type="dxa"/>
            </w:tcMar>
            <w:vAlign w:val="center"/>
          </w:tcPr>
          <w:p w14:paraId="0108262A">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Title and abstract</w:t>
            </w:r>
          </w:p>
        </w:tc>
        <w:tc>
          <w:tcPr>
            <w:tcW w:w="412" w:type="pct"/>
            <w:tcBorders>
              <w:top w:val="single" w:color="auto" w:sz="4" w:space="0"/>
              <w:left w:val="nil"/>
              <w:bottom w:val="nil"/>
              <w:right w:val="nil"/>
            </w:tcBorders>
            <w:noWrap w:val="0"/>
            <w:tcMar>
              <w:top w:w="-1" w:type="dxa"/>
              <w:left w:w="-1" w:type="dxa"/>
              <w:bottom w:w="-1" w:type="dxa"/>
              <w:right w:w="-1" w:type="dxa"/>
            </w:tcMar>
            <w:vAlign w:val="center"/>
          </w:tcPr>
          <w:p w14:paraId="30364CCC">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1a</w:t>
            </w:r>
          </w:p>
        </w:tc>
        <w:tc>
          <w:tcPr>
            <w:tcW w:w="2954" w:type="pct"/>
            <w:tcBorders>
              <w:top w:val="single" w:color="auto" w:sz="4" w:space="0"/>
              <w:left w:val="nil"/>
              <w:bottom w:val="nil"/>
              <w:right w:val="nil"/>
            </w:tcBorders>
            <w:noWrap w:val="0"/>
            <w:tcMar>
              <w:top w:w="-1" w:type="dxa"/>
              <w:left w:w="-1" w:type="dxa"/>
              <w:bottom w:w="-1" w:type="dxa"/>
              <w:right w:w="-1" w:type="dxa"/>
            </w:tcMar>
            <w:vAlign w:val="center"/>
          </w:tcPr>
          <w:p w14:paraId="5ADF159A">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title indicates design; abstract is structured</w:t>
            </w:r>
          </w:p>
        </w:tc>
      </w:tr>
      <w:tr w14:paraId="56E2634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14F0A95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p>
        </w:tc>
        <w:tc>
          <w:tcPr>
            <w:tcW w:w="412" w:type="pct"/>
            <w:tcBorders>
              <w:top w:val="nil"/>
              <w:left w:val="nil"/>
              <w:bottom w:val="nil"/>
              <w:right w:val="nil"/>
            </w:tcBorders>
            <w:noWrap w:val="0"/>
            <w:tcMar>
              <w:top w:w="-1" w:type="dxa"/>
              <w:left w:w="-1" w:type="dxa"/>
              <w:bottom w:w="-1" w:type="dxa"/>
              <w:right w:w="-1" w:type="dxa"/>
            </w:tcMar>
            <w:vAlign w:val="center"/>
          </w:tcPr>
          <w:p w14:paraId="28682148">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1b</w:t>
            </w:r>
          </w:p>
        </w:tc>
        <w:tc>
          <w:tcPr>
            <w:tcW w:w="2954" w:type="pct"/>
            <w:tcBorders>
              <w:top w:val="nil"/>
              <w:left w:val="nil"/>
              <w:bottom w:val="nil"/>
              <w:right w:val="nil"/>
            </w:tcBorders>
            <w:noWrap w:val="0"/>
            <w:tcMar>
              <w:top w:w="-1" w:type="dxa"/>
              <w:left w:w="-1" w:type="dxa"/>
              <w:bottom w:w="-1" w:type="dxa"/>
              <w:right w:w="-1" w:type="dxa"/>
            </w:tcMar>
            <w:vAlign w:val="center"/>
          </w:tcPr>
          <w:p w14:paraId="5846A811">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structured abstract in Objectives/Methods/Results/Conclusions</w:t>
            </w:r>
          </w:p>
        </w:tc>
      </w:tr>
      <w:tr w14:paraId="11B15F3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31BC9E3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Introduction – background / objectives</w:t>
            </w:r>
          </w:p>
        </w:tc>
        <w:tc>
          <w:tcPr>
            <w:tcW w:w="412" w:type="pct"/>
            <w:tcBorders>
              <w:top w:val="nil"/>
              <w:left w:val="nil"/>
              <w:bottom w:val="nil"/>
              <w:right w:val="nil"/>
            </w:tcBorders>
            <w:noWrap w:val="0"/>
            <w:tcMar>
              <w:top w:w="-1" w:type="dxa"/>
              <w:left w:w="-1" w:type="dxa"/>
              <w:bottom w:w="-1" w:type="dxa"/>
              <w:right w:w="-1" w:type="dxa"/>
            </w:tcMar>
            <w:vAlign w:val="center"/>
          </w:tcPr>
          <w:p w14:paraId="786FBD47">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2</w:t>
            </w:r>
          </w:p>
        </w:tc>
        <w:tc>
          <w:tcPr>
            <w:tcW w:w="2954" w:type="pct"/>
            <w:tcBorders>
              <w:top w:val="nil"/>
              <w:left w:val="nil"/>
              <w:bottom w:val="nil"/>
              <w:right w:val="nil"/>
            </w:tcBorders>
            <w:noWrap w:val="0"/>
            <w:tcMar>
              <w:top w:w="-1" w:type="dxa"/>
              <w:left w:w="-1" w:type="dxa"/>
              <w:bottom w:w="-1" w:type="dxa"/>
              <w:right w:w="-1" w:type="dxa"/>
            </w:tcMar>
            <w:vAlign w:val="center"/>
          </w:tcPr>
          <w:p w14:paraId="265EFE55">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1</w:t>
            </w:r>
          </w:p>
        </w:tc>
      </w:tr>
      <w:tr w14:paraId="44CF2F5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7719F72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p>
        </w:tc>
        <w:tc>
          <w:tcPr>
            <w:tcW w:w="412" w:type="pct"/>
            <w:tcBorders>
              <w:top w:val="nil"/>
              <w:left w:val="nil"/>
              <w:bottom w:val="nil"/>
              <w:right w:val="nil"/>
            </w:tcBorders>
            <w:noWrap w:val="0"/>
            <w:tcMar>
              <w:top w:w="-1" w:type="dxa"/>
              <w:left w:w="-1" w:type="dxa"/>
              <w:bottom w:w="-1" w:type="dxa"/>
              <w:right w:w="-1" w:type="dxa"/>
            </w:tcMar>
            <w:vAlign w:val="center"/>
          </w:tcPr>
          <w:p w14:paraId="6F1C2F67">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3</w:t>
            </w:r>
          </w:p>
        </w:tc>
        <w:tc>
          <w:tcPr>
            <w:tcW w:w="2954" w:type="pct"/>
            <w:tcBorders>
              <w:top w:val="nil"/>
              <w:left w:val="nil"/>
              <w:bottom w:val="nil"/>
              <w:right w:val="nil"/>
            </w:tcBorders>
            <w:noWrap w:val="0"/>
            <w:tcMar>
              <w:top w:w="-1" w:type="dxa"/>
              <w:left w:w="-1" w:type="dxa"/>
              <w:bottom w:w="-1" w:type="dxa"/>
              <w:right w:w="-1" w:type="dxa"/>
            </w:tcMar>
            <w:vAlign w:val="center"/>
          </w:tcPr>
          <w:p w14:paraId="73D9CF71">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three specific aims stated at end of Section 1</w:t>
            </w:r>
          </w:p>
        </w:tc>
      </w:tr>
      <w:tr w14:paraId="2505ADC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718E69E7">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Methods – study design</w:t>
            </w:r>
          </w:p>
        </w:tc>
        <w:tc>
          <w:tcPr>
            <w:tcW w:w="412" w:type="pct"/>
            <w:tcBorders>
              <w:top w:val="nil"/>
              <w:left w:val="nil"/>
              <w:bottom w:val="nil"/>
              <w:right w:val="nil"/>
            </w:tcBorders>
            <w:noWrap w:val="0"/>
            <w:tcMar>
              <w:top w:w="-1" w:type="dxa"/>
              <w:left w:w="-1" w:type="dxa"/>
              <w:bottom w:w="-1" w:type="dxa"/>
              <w:right w:w="-1" w:type="dxa"/>
            </w:tcMar>
            <w:vAlign w:val="center"/>
          </w:tcPr>
          <w:p w14:paraId="74C71D35">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4</w:t>
            </w:r>
          </w:p>
        </w:tc>
        <w:tc>
          <w:tcPr>
            <w:tcW w:w="2954" w:type="pct"/>
            <w:tcBorders>
              <w:top w:val="nil"/>
              <w:left w:val="nil"/>
              <w:bottom w:val="nil"/>
              <w:right w:val="nil"/>
            </w:tcBorders>
            <w:noWrap w:val="0"/>
            <w:tcMar>
              <w:top w:w="-1" w:type="dxa"/>
              <w:left w:w="-1" w:type="dxa"/>
              <w:bottom w:w="-1" w:type="dxa"/>
              <w:right w:w="-1" w:type="dxa"/>
            </w:tcMar>
            <w:vAlign w:val="center"/>
          </w:tcPr>
          <w:p w14:paraId="20D8A56E">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2.1</w:t>
            </w:r>
          </w:p>
        </w:tc>
      </w:tr>
      <w:tr w14:paraId="7566B9A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1E628C6A">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Setting</w:t>
            </w:r>
          </w:p>
        </w:tc>
        <w:tc>
          <w:tcPr>
            <w:tcW w:w="412" w:type="pct"/>
            <w:tcBorders>
              <w:top w:val="nil"/>
              <w:left w:val="nil"/>
              <w:bottom w:val="nil"/>
              <w:right w:val="nil"/>
            </w:tcBorders>
            <w:noWrap w:val="0"/>
            <w:tcMar>
              <w:top w:w="-1" w:type="dxa"/>
              <w:left w:w="-1" w:type="dxa"/>
              <w:bottom w:w="-1" w:type="dxa"/>
              <w:right w:w="-1" w:type="dxa"/>
            </w:tcMar>
            <w:vAlign w:val="center"/>
          </w:tcPr>
          <w:p w14:paraId="5163233E">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5</w:t>
            </w:r>
          </w:p>
        </w:tc>
        <w:tc>
          <w:tcPr>
            <w:tcW w:w="2954" w:type="pct"/>
            <w:tcBorders>
              <w:top w:val="nil"/>
              <w:left w:val="nil"/>
              <w:bottom w:val="nil"/>
              <w:right w:val="nil"/>
            </w:tcBorders>
            <w:noWrap w:val="0"/>
            <w:tcMar>
              <w:top w:w="-1" w:type="dxa"/>
              <w:left w:w="-1" w:type="dxa"/>
              <w:bottom w:w="-1" w:type="dxa"/>
              <w:right w:w="-1" w:type="dxa"/>
            </w:tcMar>
            <w:vAlign w:val="center"/>
          </w:tcPr>
          <w:p w14:paraId="5F56242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2.1</w:t>
            </w:r>
          </w:p>
        </w:tc>
      </w:tr>
      <w:tr w14:paraId="6706B76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587627B3">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Participants</w:t>
            </w:r>
          </w:p>
        </w:tc>
        <w:tc>
          <w:tcPr>
            <w:tcW w:w="412" w:type="pct"/>
            <w:tcBorders>
              <w:top w:val="nil"/>
              <w:left w:val="nil"/>
              <w:bottom w:val="nil"/>
              <w:right w:val="nil"/>
            </w:tcBorders>
            <w:noWrap w:val="0"/>
            <w:tcMar>
              <w:top w:w="-1" w:type="dxa"/>
              <w:left w:w="-1" w:type="dxa"/>
              <w:bottom w:w="-1" w:type="dxa"/>
              <w:right w:w="-1" w:type="dxa"/>
            </w:tcMar>
            <w:vAlign w:val="center"/>
          </w:tcPr>
          <w:p w14:paraId="23167D3A">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6</w:t>
            </w:r>
          </w:p>
        </w:tc>
        <w:tc>
          <w:tcPr>
            <w:tcW w:w="2954" w:type="pct"/>
            <w:tcBorders>
              <w:top w:val="nil"/>
              <w:left w:val="nil"/>
              <w:bottom w:val="nil"/>
              <w:right w:val="nil"/>
            </w:tcBorders>
            <w:noWrap w:val="0"/>
            <w:tcMar>
              <w:top w:w="-1" w:type="dxa"/>
              <w:left w:w="-1" w:type="dxa"/>
              <w:bottom w:w="-1" w:type="dxa"/>
              <w:right w:w="-1" w:type="dxa"/>
            </w:tcMar>
            <w:vAlign w:val="center"/>
          </w:tcPr>
          <w:p w14:paraId="19AE9C72">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2.3 (eligibility, recruitment, response rate)</w:t>
            </w:r>
          </w:p>
        </w:tc>
      </w:tr>
      <w:tr w14:paraId="2161161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1208D88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Variables</w:t>
            </w:r>
          </w:p>
        </w:tc>
        <w:tc>
          <w:tcPr>
            <w:tcW w:w="412" w:type="pct"/>
            <w:tcBorders>
              <w:top w:val="nil"/>
              <w:left w:val="nil"/>
              <w:bottom w:val="nil"/>
              <w:right w:val="nil"/>
            </w:tcBorders>
            <w:noWrap w:val="0"/>
            <w:tcMar>
              <w:top w:w="-1" w:type="dxa"/>
              <w:left w:w="-1" w:type="dxa"/>
              <w:bottom w:w="-1" w:type="dxa"/>
              <w:right w:w="-1" w:type="dxa"/>
            </w:tcMar>
            <w:vAlign w:val="center"/>
          </w:tcPr>
          <w:p w14:paraId="1FB8E36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7</w:t>
            </w:r>
          </w:p>
        </w:tc>
        <w:tc>
          <w:tcPr>
            <w:tcW w:w="2954" w:type="pct"/>
            <w:tcBorders>
              <w:top w:val="nil"/>
              <w:left w:val="nil"/>
              <w:bottom w:val="nil"/>
              <w:right w:val="nil"/>
            </w:tcBorders>
            <w:noWrap w:val="0"/>
            <w:tcMar>
              <w:top w:w="-1" w:type="dxa"/>
              <w:left w:w="-1" w:type="dxa"/>
              <w:bottom w:w="-1" w:type="dxa"/>
              <w:right w:w="-1" w:type="dxa"/>
            </w:tcMar>
            <w:vAlign w:val="center"/>
          </w:tcPr>
          <w:p w14:paraId="40F2AE03">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2.4 and Appendix B</w:t>
            </w:r>
          </w:p>
        </w:tc>
      </w:tr>
      <w:tr w14:paraId="2A4035F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5DFD6A74">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Data sources / measurement</w:t>
            </w:r>
          </w:p>
        </w:tc>
        <w:tc>
          <w:tcPr>
            <w:tcW w:w="412" w:type="pct"/>
            <w:tcBorders>
              <w:top w:val="nil"/>
              <w:left w:val="nil"/>
              <w:bottom w:val="nil"/>
              <w:right w:val="nil"/>
            </w:tcBorders>
            <w:noWrap w:val="0"/>
            <w:tcMar>
              <w:top w:w="-1" w:type="dxa"/>
              <w:left w:w="-1" w:type="dxa"/>
              <w:bottom w:w="-1" w:type="dxa"/>
              <w:right w:w="-1" w:type="dxa"/>
            </w:tcMar>
            <w:vAlign w:val="center"/>
          </w:tcPr>
          <w:p w14:paraId="0FAE2078">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8</w:t>
            </w:r>
          </w:p>
        </w:tc>
        <w:tc>
          <w:tcPr>
            <w:tcW w:w="2954" w:type="pct"/>
            <w:tcBorders>
              <w:top w:val="nil"/>
              <w:left w:val="nil"/>
              <w:bottom w:val="nil"/>
              <w:right w:val="nil"/>
            </w:tcBorders>
            <w:noWrap w:val="0"/>
            <w:tcMar>
              <w:top w:w="-1" w:type="dxa"/>
              <w:left w:w="-1" w:type="dxa"/>
              <w:bottom w:w="-1" w:type="dxa"/>
              <w:right w:w="-1" w:type="dxa"/>
            </w:tcMar>
            <w:vAlign w:val="center"/>
          </w:tcPr>
          <w:p w14:paraId="6F8A58BE">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2.4</w:t>
            </w:r>
          </w:p>
        </w:tc>
      </w:tr>
      <w:tr w14:paraId="32981D5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1E63B62C">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Bias</w:t>
            </w:r>
          </w:p>
        </w:tc>
        <w:tc>
          <w:tcPr>
            <w:tcW w:w="412" w:type="pct"/>
            <w:tcBorders>
              <w:top w:val="nil"/>
              <w:left w:val="nil"/>
              <w:bottom w:val="nil"/>
              <w:right w:val="nil"/>
            </w:tcBorders>
            <w:noWrap w:val="0"/>
            <w:tcMar>
              <w:top w:w="-1" w:type="dxa"/>
              <w:left w:w="-1" w:type="dxa"/>
              <w:bottom w:w="-1" w:type="dxa"/>
              <w:right w:w="-1" w:type="dxa"/>
            </w:tcMar>
            <w:vAlign w:val="center"/>
          </w:tcPr>
          <w:p w14:paraId="75EA104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9</w:t>
            </w:r>
          </w:p>
        </w:tc>
        <w:tc>
          <w:tcPr>
            <w:tcW w:w="2954" w:type="pct"/>
            <w:tcBorders>
              <w:top w:val="nil"/>
              <w:left w:val="nil"/>
              <w:bottom w:val="nil"/>
              <w:right w:val="nil"/>
            </w:tcBorders>
            <w:noWrap w:val="0"/>
            <w:tcMar>
              <w:top w:w="-1" w:type="dxa"/>
              <w:left w:w="-1" w:type="dxa"/>
              <w:bottom w:w="-1" w:type="dxa"/>
              <w:right w:w="-1" w:type="dxa"/>
            </w:tcMar>
            <w:vAlign w:val="center"/>
          </w:tcPr>
          <w:p w14:paraId="3FB6505F">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convenience sampling acknowledged; Firth regression used</w:t>
            </w:r>
          </w:p>
        </w:tc>
      </w:tr>
      <w:tr w14:paraId="72CCEB6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2C9084D2">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Study size</w:t>
            </w:r>
          </w:p>
        </w:tc>
        <w:tc>
          <w:tcPr>
            <w:tcW w:w="412" w:type="pct"/>
            <w:tcBorders>
              <w:top w:val="nil"/>
              <w:left w:val="nil"/>
              <w:bottom w:val="nil"/>
              <w:right w:val="nil"/>
            </w:tcBorders>
            <w:noWrap w:val="0"/>
            <w:tcMar>
              <w:top w:w="-1" w:type="dxa"/>
              <w:left w:w="-1" w:type="dxa"/>
              <w:bottom w:w="-1" w:type="dxa"/>
              <w:right w:w="-1" w:type="dxa"/>
            </w:tcMar>
            <w:vAlign w:val="center"/>
          </w:tcPr>
          <w:p w14:paraId="6856DAA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10</w:t>
            </w:r>
          </w:p>
        </w:tc>
        <w:tc>
          <w:tcPr>
            <w:tcW w:w="2954" w:type="pct"/>
            <w:tcBorders>
              <w:top w:val="nil"/>
              <w:left w:val="nil"/>
              <w:bottom w:val="nil"/>
              <w:right w:val="nil"/>
            </w:tcBorders>
            <w:noWrap w:val="0"/>
            <w:tcMar>
              <w:top w:w="-1" w:type="dxa"/>
              <w:left w:w="-1" w:type="dxa"/>
              <w:bottom w:w="-1" w:type="dxa"/>
              <w:right w:w="-1" w:type="dxa"/>
            </w:tcMar>
            <w:vAlign w:val="center"/>
          </w:tcPr>
          <w:p w14:paraId="2F299DD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n = 87 reported; post-hoc power in Appendix F</w:t>
            </w:r>
          </w:p>
        </w:tc>
      </w:tr>
      <w:tr w14:paraId="0B8F820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7099A1E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Quantitative variables</w:t>
            </w:r>
          </w:p>
        </w:tc>
        <w:tc>
          <w:tcPr>
            <w:tcW w:w="412" w:type="pct"/>
            <w:tcBorders>
              <w:top w:val="nil"/>
              <w:left w:val="nil"/>
              <w:bottom w:val="nil"/>
              <w:right w:val="nil"/>
            </w:tcBorders>
            <w:noWrap w:val="0"/>
            <w:tcMar>
              <w:top w:w="-1" w:type="dxa"/>
              <w:left w:w="-1" w:type="dxa"/>
              <w:bottom w:w="-1" w:type="dxa"/>
              <w:right w:w="-1" w:type="dxa"/>
            </w:tcMar>
            <w:vAlign w:val="center"/>
          </w:tcPr>
          <w:p w14:paraId="0700D780">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11</w:t>
            </w:r>
          </w:p>
        </w:tc>
        <w:tc>
          <w:tcPr>
            <w:tcW w:w="2954" w:type="pct"/>
            <w:tcBorders>
              <w:top w:val="nil"/>
              <w:left w:val="nil"/>
              <w:bottom w:val="nil"/>
              <w:right w:val="nil"/>
            </w:tcBorders>
            <w:noWrap w:val="0"/>
            <w:tcMar>
              <w:top w:w="-1" w:type="dxa"/>
              <w:left w:w="-1" w:type="dxa"/>
              <w:bottom w:w="-1" w:type="dxa"/>
              <w:right w:w="-1" w:type="dxa"/>
            </w:tcMar>
            <w:vAlign w:val="center"/>
          </w:tcPr>
          <w:p w14:paraId="25D73E1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2.6 and Appendix B</w:t>
            </w:r>
          </w:p>
        </w:tc>
      </w:tr>
      <w:tr w14:paraId="645F7AA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76F12DF8">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Statistical methods</w:t>
            </w:r>
          </w:p>
        </w:tc>
        <w:tc>
          <w:tcPr>
            <w:tcW w:w="412" w:type="pct"/>
            <w:tcBorders>
              <w:top w:val="nil"/>
              <w:left w:val="nil"/>
              <w:bottom w:val="nil"/>
              <w:right w:val="nil"/>
            </w:tcBorders>
            <w:noWrap w:val="0"/>
            <w:tcMar>
              <w:top w:w="-1" w:type="dxa"/>
              <w:left w:w="-1" w:type="dxa"/>
              <w:bottom w:w="-1" w:type="dxa"/>
              <w:right w:w="-1" w:type="dxa"/>
            </w:tcMar>
            <w:vAlign w:val="center"/>
          </w:tcPr>
          <w:p w14:paraId="01478A70">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12</w:t>
            </w:r>
          </w:p>
        </w:tc>
        <w:tc>
          <w:tcPr>
            <w:tcW w:w="2954" w:type="pct"/>
            <w:tcBorders>
              <w:top w:val="nil"/>
              <w:left w:val="nil"/>
              <w:bottom w:val="nil"/>
              <w:right w:val="nil"/>
            </w:tcBorders>
            <w:noWrap w:val="0"/>
            <w:tcMar>
              <w:top w:w="-1" w:type="dxa"/>
              <w:left w:w="-1" w:type="dxa"/>
              <w:bottom w:w="-1" w:type="dxa"/>
              <w:right w:w="-1" w:type="dxa"/>
            </w:tcMar>
            <w:vAlign w:val="center"/>
          </w:tcPr>
          <w:p w14:paraId="779A7E1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2.6</w:t>
            </w:r>
          </w:p>
        </w:tc>
      </w:tr>
      <w:tr w14:paraId="3D8F10C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6E1EB107">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Results – participants</w:t>
            </w:r>
          </w:p>
        </w:tc>
        <w:tc>
          <w:tcPr>
            <w:tcW w:w="412" w:type="pct"/>
            <w:tcBorders>
              <w:top w:val="nil"/>
              <w:left w:val="nil"/>
              <w:bottom w:val="nil"/>
              <w:right w:val="nil"/>
            </w:tcBorders>
            <w:noWrap w:val="0"/>
            <w:tcMar>
              <w:top w:w="-1" w:type="dxa"/>
              <w:left w:w="-1" w:type="dxa"/>
              <w:bottom w:w="-1" w:type="dxa"/>
              <w:right w:w="-1" w:type="dxa"/>
            </w:tcMar>
            <w:vAlign w:val="center"/>
          </w:tcPr>
          <w:p w14:paraId="231155A0">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13</w:t>
            </w:r>
          </w:p>
        </w:tc>
        <w:tc>
          <w:tcPr>
            <w:tcW w:w="2954" w:type="pct"/>
            <w:tcBorders>
              <w:top w:val="nil"/>
              <w:left w:val="nil"/>
              <w:bottom w:val="nil"/>
              <w:right w:val="nil"/>
            </w:tcBorders>
            <w:noWrap w:val="0"/>
            <w:tcMar>
              <w:top w:w="-1" w:type="dxa"/>
              <w:left w:w="-1" w:type="dxa"/>
              <w:bottom w:w="-1" w:type="dxa"/>
              <w:right w:w="-1" w:type="dxa"/>
            </w:tcMar>
            <w:vAlign w:val="center"/>
          </w:tcPr>
          <w:p w14:paraId="22F33D76">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3.1 and Table 1</w:t>
            </w:r>
          </w:p>
        </w:tc>
      </w:tr>
      <w:tr w14:paraId="3E5E01D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555CB25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Descriptive data</w:t>
            </w:r>
          </w:p>
        </w:tc>
        <w:tc>
          <w:tcPr>
            <w:tcW w:w="412" w:type="pct"/>
            <w:tcBorders>
              <w:top w:val="nil"/>
              <w:left w:val="nil"/>
              <w:bottom w:val="nil"/>
              <w:right w:val="nil"/>
            </w:tcBorders>
            <w:noWrap w:val="0"/>
            <w:tcMar>
              <w:top w:w="-1" w:type="dxa"/>
              <w:left w:w="-1" w:type="dxa"/>
              <w:bottom w:w="-1" w:type="dxa"/>
              <w:right w:w="-1" w:type="dxa"/>
            </w:tcMar>
            <w:vAlign w:val="center"/>
          </w:tcPr>
          <w:p w14:paraId="08961520">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14</w:t>
            </w:r>
          </w:p>
        </w:tc>
        <w:tc>
          <w:tcPr>
            <w:tcW w:w="2954" w:type="pct"/>
            <w:tcBorders>
              <w:top w:val="nil"/>
              <w:left w:val="nil"/>
              <w:bottom w:val="nil"/>
              <w:right w:val="nil"/>
            </w:tcBorders>
            <w:noWrap w:val="0"/>
            <w:tcMar>
              <w:top w:w="-1" w:type="dxa"/>
              <w:left w:w="-1" w:type="dxa"/>
              <w:bottom w:w="-1" w:type="dxa"/>
              <w:right w:w="-1" w:type="dxa"/>
            </w:tcMar>
            <w:vAlign w:val="center"/>
          </w:tcPr>
          <w:p w14:paraId="239442BB">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Table 1</w:t>
            </w:r>
          </w:p>
        </w:tc>
      </w:tr>
      <w:tr w14:paraId="12AEF99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208F867F">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Outcome data</w:t>
            </w:r>
          </w:p>
        </w:tc>
        <w:tc>
          <w:tcPr>
            <w:tcW w:w="412" w:type="pct"/>
            <w:tcBorders>
              <w:top w:val="nil"/>
              <w:left w:val="nil"/>
              <w:bottom w:val="nil"/>
              <w:right w:val="nil"/>
            </w:tcBorders>
            <w:noWrap w:val="0"/>
            <w:tcMar>
              <w:top w:w="-1" w:type="dxa"/>
              <w:left w:w="-1" w:type="dxa"/>
              <w:bottom w:w="-1" w:type="dxa"/>
              <w:right w:w="-1" w:type="dxa"/>
            </w:tcMar>
            <w:vAlign w:val="center"/>
          </w:tcPr>
          <w:p w14:paraId="29A217F6">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15</w:t>
            </w:r>
          </w:p>
        </w:tc>
        <w:tc>
          <w:tcPr>
            <w:tcW w:w="2954" w:type="pct"/>
            <w:tcBorders>
              <w:top w:val="nil"/>
              <w:left w:val="nil"/>
              <w:bottom w:val="nil"/>
              <w:right w:val="nil"/>
            </w:tcBorders>
            <w:noWrap w:val="0"/>
            <w:tcMar>
              <w:top w:w="-1" w:type="dxa"/>
              <w:left w:w="-1" w:type="dxa"/>
              <w:bottom w:w="-1" w:type="dxa"/>
              <w:right w:w="-1" w:type="dxa"/>
            </w:tcMar>
            <w:vAlign w:val="center"/>
          </w:tcPr>
          <w:p w14:paraId="4A11B6B8">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Tables 1–3</w:t>
            </w:r>
          </w:p>
        </w:tc>
      </w:tr>
      <w:tr w14:paraId="0148E85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2D2A8420">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Main results</w:t>
            </w:r>
          </w:p>
        </w:tc>
        <w:tc>
          <w:tcPr>
            <w:tcW w:w="412" w:type="pct"/>
            <w:tcBorders>
              <w:top w:val="nil"/>
              <w:left w:val="nil"/>
              <w:bottom w:val="nil"/>
              <w:right w:val="nil"/>
            </w:tcBorders>
            <w:noWrap w:val="0"/>
            <w:tcMar>
              <w:top w:w="-1" w:type="dxa"/>
              <w:left w:w="-1" w:type="dxa"/>
              <w:bottom w:w="-1" w:type="dxa"/>
              <w:right w:w="-1" w:type="dxa"/>
            </w:tcMar>
            <w:vAlign w:val="center"/>
          </w:tcPr>
          <w:p w14:paraId="75C1ABC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16</w:t>
            </w:r>
          </w:p>
        </w:tc>
        <w:tc>
          <w:tcPr>
            <w:tcW w:w="2954" w:type="pct"/>
            <w:tcBorders>
              <w:top w:val="nil"/>
              <w:left w:val="nil"/>
              <w:bottom w:val="nil"/>
              <w:right w:val="nil"/>
            </w:tcBorders>
            <w:noWrap w:val="0"/>
            <w:tcMar>
              <w:top w:w="-1" w:type="dxa"/>
              <w:left w:w="-1" w:type="dxa"/>
              <w:bottom w:w="-1" w:type="dxa"/>
              <w:right w:w="-1" w:type="dxa"/>
            </w:tcMar>
            <w:vAlign w:val="center"/>
          </w:tcPr>
          <w:p w14:paraId="69408118">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Table 4</w:t>
            </w:r>
          </w:p>
        </w:tc>
      </w:tr>
      <w:tr w14:paraId="7882541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5EB05DFE">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Other analyses</w:t>
            </w:r>
          </w:p>
        </w:tc>
        <w:tc>
          <w:tcPr>
            <w:tcW w:w="412" w:type="pct"/>
            <w:tcBorders>
              <w:top w:val="nil"/>
              <w:left w:val="nil"/>
              <w:bottom w:val="nil"/>
              <w:right w:val="nil"/>
            </w:tcBorders>
            <w:noWrap w:val="0"/>
            <w:tcMar>
              <w:top w:w="-1" w:type="dxa"/>
              <w:left w:w="-1" w:type="dxa"/>
              <w:bottom w:w="-1" w:type="dxa"/>
              <w:right w:w="-1" w:type="dxa"/>
            </w:tcMar>
            <w:vAlign w:val="center"/>
          </w:tcPr>
          <w:p w14:paraId="34E4D0BA">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17</w:t>
            </w:r>
          </w:p>
        </w:tc>
        <w:tc>
          <w:tcPr>
            <w:tcW w:w="2954" w:type="pct"/>
            <w:tcBorders>
              <w:top w:val="nil"/>
              <w:left w:val="nil"/>
              <w:bottom w:val="nil"/>
              <w:right w:val="nil"/>
            </w:tcBorders>
            <w:noWrap w:val="0"/>
            <w:tcMar>
              <w:top w:w="-1" w:type="dxa"/>
              <w:left w:w="-1" w:type="dxa"/>
              <w:bottom w:w="-1" w:type="dxa"/>
              <w:right w:w="-1" w:type="dxa"/>
            </w:tcMar>
            <w:vAlign w:val="center"/>
          </w:tcPr>
          <w:p w14:paraId="3D3197E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Appendix D (reproducibility), Appendix F (power)</w:t>
            </w:r>
          </w:p>
        </w:tc>
      </w:tr>
      <w:tr w14:paraId="06B061B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160A0843">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Discussion – key results</w:t>
            </w:r>
          </w:p>
        </w:tc>
        <w:tc>
          <w:tcPr>
            <w:tcW w:w="412" w:type="pct"/>
            <w:tcBorders>
              <w:top w:val="nil"/>
              <w:left w:val="nil"/>
              <w:bottom w:val="nil"/>
              <w:right w:val="nil"/>
            </w:tcBorders>
            <w:noWrap w:val="0"/>
            <w:tcMar>
              <w:top w:w="-1" w:type="dxa"/>
              <w:left w:w="-1" w:type="dxa"/>
              <w:bottom w:w="-1" w:type="dxa"/>
              <w:right w:w="-1" w:type="dxa"/>
            </w:tcMar>
            <w:vAlign w:val="center"/>
          </w:tcPr>
          <w:p w14:paraId="2A5CE088">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18</w:t>
            </w:r>
          </w:p>
        </w:tc>
        <w:tc>
          <w:tcPr>
            <w:tcW w:w="2954" w:type="pct"/>
            <w:tcBorders>
              <w:top w:val="nil"/>
              <w:left w:val="nil"/>
              <w:bottom w:val="nil"/>
              <w:right w:val="nil"/>
            </w:tcBorders>
            <w:noWrap w:val="0"/>
            <w:tcMar>
              <w:top w:w="-1" w:type="dxa"/>
              <w:left w:w="-1" w:type="dxa"/>
              <w:bottom w:w="-1" w:type="dxa"/>
              <w:right w:w="-1" w:type="dxa"/>
            </w:tcMar>
            <w:vAlign w:val="center"/>
          </w:tcPr>
          <w:p w14:paraId="0AFEB845">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4.1</w:t>
            </w:r>
          </w:p>
        </w:tc>
      </w:tr>
      <w:tr w14:paraId="366C41B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57EF471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Limitations</w:t>
            </w:r>
          </w:p>
        </w:tc>
        <w:tc>
          <w:tcPr>
            <w:tcW w:w="412" w:type="pct"/>
            <w:tcBorders>
              <w:top w:val="nil"/>
              <w:left w:val="nil"/>
              <w:bottom w:val="nil"/>
              <w:right w:val="nil"/>
            </w:tcBorders>
            <w:noWrap w:val="0"/>
            <w:tcMar>
              <w:top w:w="-1" w:type="dxa"/>
              <w:left w:w="-1" w:type="dxa"/>
              <w:bottom w:w="-1" w:type="dxa"/>
              <w:right w:w="-1" w:type="dxa"/>
            </w:tcMar>
            <w:vAlign w:val="center"/>
          </w:tcPr>
          <w:p w14:paraId="651B5902">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19</w:t>
            </w:r>
          </w:p>
        </w:tc>
        <w:tc>
          <w:tcPr>
            <w:tcW w:w="2954" w:type="pct"/>
            <w:tcBorders>
              <w:top w:val="nil"/>
              <w:left w:val="nil"/>
              <w:bottom w:val="nil"/>
              <w:right w:val="nil"/>
            </w:tcBorders>
            <w:noWrap w:val="0"/>
            <w:tcMar>
              <w:top w:w="-1" w:type="dxa"/>
              <w:left w:w="-1" w:type="dxa"/>
              <w:bottom w:w="-1" w:type="dxa"/>
              <w:right w:w="-1" w:type="dxa"/>
            </w:tcMar>
            <w:vAlign w:val="center"/>
          </w:tcPr>
          <w:p w14:paraId="576F9B1F">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4.5</w:t>
            </w:r>
          </w:p>
        </w:tc>
      </w:tr>
      <w:tr w14:paraId="29D3046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4821FC0A">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Interpretation</w:t>
            </w:r>
          </w:p>
        </w:tc>
        <w:tc>
          <w:tcPr>
            <w:tcW w:w="412" w:type="pct"/>
            <w:tcBorders>
              <w:top w:val="nil"/>
              <w:left w:val="nil"/>
              <w:bottom w:val="nil"/>
              <w:right w:val="nil"/>
            </w:tcBorders>
            <w:noWrap w:val="0"/>
            <w:tcMar>
              <w:top w:w="-1" w:type="dxa"/>
              <w:left w:w="-1" w:type="dxa"/>
              <w:bottom w:w="-1" w:type="dxa"/>
              <w:right w:w="-1" w:type="dxa"/>
            </w:tcMar>
            <w:vAlign w:val="center"/>
          </w:tcPr>
          <w:p w14:paraId="79CEB4D7">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20</w:t>
            </w:r>
          </w:p>
        </w:tc>
        <w:tc>
          <w:tcPr>
            <w:tcW w:w="2954" w:type="pct"/>
            <w:tcBorders>
              <w:top w:val="nil"/>
              <w:left w:val="nil"/>
              <w:bottom w:val="nil"/>
              <w:right w:val="nil"/>
            </w:tcBorders>
            <w:noWrap w:val="0"/>
            <w:tcMar>
              <w:top w:w="-1" w:type="dxa"/>
              <w:left w:w="-1" w:type="dxa"/>
              <w:bottom w:w="-1" w:type="dxa"/>
              <w:right w:w="-1" w:type="dxa"/>
            </w:tcMar>
            <w:vAlign w:val="center"/>
          </w:tcPr>
          <w:p w14:paraId="42DD80C6">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Sections 4.2–4.4</w:t>
            </w:r>
          </w:p>
        </w:tc>
      </w:tr>
      <w:tr w14:paraId="5DEA9BA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nil"/>
              <w:right w:val="nil"/>
            </w:tcBorders>
            <w:noWrap w:val="0"/>
            <w:tcMar>
              <w:top w:w="-1" w:type="dxa"/>
              <w:left w:w="-1" w:type="dxa"/>
              <w:bottom w:w="-1" w:type="dxa"/>
              <w:right w:w="-1" w:type="dxa"/>
            </w:tcMar>
            <w:vAlign w:val="center"/>
          </w:tcPr>
          <w:p w14:paraId="74E7A20D">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Generalizability</w:t>
            </w:r>
          </w:p>
        </w:tc>
        <w:tc>
          <w:tcPr>
            <w:tcW w:w="412" w:type="pct"/>
            <w:tcBorders>
              <w:top w:val="nil"/>
              <w:left w:val="nil"/>
              <w:bottom w:val="nil"/>
              <w:right w:val="nil"/>
            </w:tcBorders>
            <w:noWrap w:val="0"/>
            <w:tcMar>
              <w:top w:w="-1" w:type="dxa"/>
              <w:left w:w="-1" w:type="dxa"/>
              <w:bottom w:w="-1" w:type="dxa"/>
              <w:right w:w="-1" w:type="dxa"/>
            </w:tcMar>
            <w:vAlign w:val="center"/>
          </w:tcPr>
          <w:p w14:paraId="5AE2C943">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21</w:t>
            </w:r>
          </w:p>
        </w:tc>
        <w:tc>
          <w:tcPr>
            <w:tcW w:w="2954" w:type="pct"/>
            <w:tcBorders>
              <w:top w:val="nil"/>
              <w:left w:val="nil"/>
              <w:bottom w:val="nil"/>
              <w:right w:val="nil"/>
            </w:tcBorders>
            <w:noWrap w:val="0"/>
            <w:tcMar>
              <w:top w:w="-1" w:type="dxa"/>
              <w:left w:w="-1" w:type="dxa"/>
              <w:bottom w:w="-1" w:type="dxa"/>
              <w:right w:w="-1" w:type="dxa"/>
            </w:tcMar>
            <w:vAlign w:val="center"/>
          </w:tcPr>
          <w:p w14:paraId="46A2EC4A">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Section 4.5</w:t>
            </w:r>
          </w:p>
        </w:tc>
      </w:tr>
      <w:tr w14:paraId="612E9B1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3" w:type="pct"/>
            <w:tcBorders>
              <w:top w:val="nil"/>
              <w:left w:val="nil"/>
              <w:bottom w:val="single" w:color="auto" w:sz="12" w:space="0"/>
              <w:right w:val="nil"/>
            </w:tcBorders>
            <w:noWrap w:val="0"/>
            <w:tcMar>
              <w:top w:w="-1" w:type="dxa"/>
              <w:left w:w="-1" w:type="dxa"/>
              <w:bottom w:w="-1" w:type="dxa"/>
              <w:right w:w="-1" w:type="dxa"/>
            </w:tcMar>
            <w:vAlign w:val="center"/>
          </w:tcPr>
          <w:p w14:paraId="310B7E9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Other information – funding</w:t>
            </w:r>
          </w:p>
        </w:tc>
        <w:tc>
          <w:tcPr>
            <w:tcW w:w="412" w:type="pct"/>
            <w:tcBorders>
              <w:top w:val="nil"/>
              <w:left w:val="nil"/>
              <w:bottom w:val="single" w:color="auto" w:sz="12" w:space="0"/>
              <w:right w:val="nil"/>
            </w:tcBorders>
            <w:noWrap w:val="0"/>
            <w:tcMar>
              <w:top w:w="-1" w:type="dxa"/>
              <w:left w:w="-1" w:type="dxa"/>
              <w:bottom w:w="-1" w:type="dxa"/>
              <w:right w:w="-1" w:type="dxa"/>
            </w:tcMar>
            <w:vAlign w:val="center"/>
          </w:tcPr>
          <w:p w14:paraId="7A8469A5">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22</w:t>
            </w:r>
          </w:p>
        </w:tc>
        <w:tc>
          <w:tcPr>
            <w:tcW w:w="2954" w:type="pct"/>
            <w:tcBorders>
              <w:top w:val="nil"/>
              <w:left w:val="nil"/>
              <w:bottom w:val="single" w:color="auto" w:sz="12" w:space="0"/>
              <w:right w:val="nil"/>
            </w:tcBorders>
            <w:noWrap w:val="0"/>
            <w:tcMar>
              <w:top w:w="-1" w:type="dxa"/>
              <w:left w:w="-1" w:type="dxa"/>
              <w:bottom w:w="-1" w:type="dxa"/>
              <w:right w:w="-1" w:type="dxa"/>
            </w:tcMar>
            <w:vAlign w:val="center"/>
          </w:tcPr>
          <w:p w14:paraId="4DC0CE79">
            <w:pPr>
              <w:keepNext/>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Yes – Funding section</w:t>
            </w:r>
          </w:p>
        </w:tc>
      </w:tr>
    </w:tbl>
    <w:p w14:paraId="4C5C9D25">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sz w:val="24"/>
        </w:rPr>
      </w:pPr>
    </w:p>
    <w:p w14:paraId="7A1F344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 w:val="21"/>
          <w:szCs w:val="21"/>
        </w:rPr>
      </w:pPr>
      <w:r>
        <w:rPr>
          <w:b/>
          <w:sz w:val="21"/>
          <w:szCs w:val="21"/>
        </w:rPr>
        <w:t>Appendix F. Post-hoc statistical power</w:t>
      </w:r>
    </w:p>
    <w:p w14:paraId="55075D10">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both"/>
        <w:textAlignment w:val="auto"/>
        <w:rPr>
          <w:sz w:val="21"/>
          <w:szCs w:val="21"/>
        </w:rPr>
      </w:pPr>
      <w:r>
        <w:rPr>
          <w:b w:val="0"/>
          <w:i w:val="0"/>
          <w:sz w:val="21"/>
          <w:szCs w:val="21"/>
        </w:rPr>
        <w:t>Post-hoc power was calculated for every reported χ² statistic using the non-central χ² distribution with non-centrality parameter equal to the observed χ² and degrees of freedom equal to (rows–1)(columns–1). For each test the critical value at α = 0.05 was used. The table below presents power for every univariate test reported in the manuscript.</w:t>
      </w:r>
    </w:p>
    <w:tbl>
      <w:tblPr>
        <w:tblStyle w:val="33"/>
        <w:tblW w:w="4997"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4140"/>
        <w:gridCol w:w="1789"/>
        <w:gridCol w:w="597"/>
        <w:gridCol w:w="2325"/>
      </w:tblGrid>
      <w:tr w14:paraId="7B38D91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2338" w:type="pct"/>
            <w:tcBorders>
              <w:top w:val="single" w:color="auto" w:sz="12" w:space="0"/>
              <w:left w:val="nil"/>
              <w:bottom w:val="nil"/>
              <w:right w:val="nil"/>
            </w:tcBorders>
            <w:noWrap w:val="0"/>
            <w:tcMar>
              <w:top w:w="-1" w:type="dxa"/>
              <w:left w:w="-1" w:type="dxa"/>
              <w:bottom w:w="-1" w:type="dxa"/>
              <w:right w:w="-1" w:type="dxa"/>
            </w:tcMar>
            <w:vAlign w:val="center"/>
          </w:tcPr>
          <w:p w14:paraId="7D56F97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Test</w:t>
            </w:r>
          </w:p>
        </w:tc>
        <w:tc>
          <w:tcPr>
            <w:tcW w:w="1010" w:type="pct"/>
            <w:tcBorders>
              <w:top w:val="single" w:color="auto" w:sz="12" w:space="0"/>
              <w:left w:val="nil"/>
              <w:bottom w:val="nil"/>
              <w:right w:val="nil"/>
            </w:tcBorders>
            <w:noWrap w:val="0"/>
            <w:tcMar>
              <w:top w:w="-1" w:type="dxa"/>
              <w:left w:w="-1" w:type="dxa"/>
              <w:bottom w:w="-1" w:type="dxa"/>
              <w:right w:w="-1" w:type="dxa"/>
            </w:tcMar>
            <w:vAlign w:val="center"/>
          </w:tcPr>
          <w:p w14:paraId="4410D47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χ² / statistic</w:t>
            </w:r>
          </w:p>
        </w:tc>
        <w:tc>
          <w:tcPr>
            <w:tcW w:w="337" w:type="pct"/>
            <w:tcBorders>
              <w:top w:val="single" w:color="auto" w:sz="12" w:space="0"/>
              <w:left w:val="nil"/>
              <w:bottom w:val="nil"/>
              <w:right w:val="nil"/>
            </w:tcBorders>
            <w:noWrap w:val="0"/>
            <w:tcMar>
              <w:top w:w="-1" w:type="dxa"/>
              <w:left w:w="-1" w:type="dxa"/>
              <w:bottom w:w="-1" w:type="dxa"/>
              <w:right w:w="-1" w:type="dxa"/>
            </w:tcMar>
            <w:vAlign w:val="center"/>
          </w:tcPr>
          <w:p w14:paraId="1A930096">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df</w:t>
            </w:r>
          </w:p>
        </w:tc>
        <w:tc>
          <w:tcPr>
            <w:tcW w:w="1313" w:type="pct"/>
            <w:tcBorders>
              <w:top w:val="single" w:color="auto" w:sz="12" w:space="0"/>
              <w:left w:val="nil"/>
              <w:bottom w:val="nil"/>
              <w:right w:val="nil"/>
            </w:tcBorders>
            <w:noWrap w:val="0"/>
            <w:tcMar>
              <w:top w:w="-1" w:type="dxa"/>
              <w:left w:w="-1" w:type="dxa"/>
              <w:bottom w:w="-1" w:type="dxa"/>
              <w:right w:w="-1" w:type="dxa"/>
            </w:tcMar>
            <w:vAlign w:val="center"/>
          </w:tcPr>
          <w:p w14:paraId="34C1EF6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20"/>
              </w:rPr>
            </w:pPr>
            <w:r>
              <w:rPr>
                <w:rFonts w:ascii="Times New Roman" w:eastAsia="Times New Roman"/>
                <w:b/>
                <w:sz w:val="20"/>
              </w:rPr>
              <w:t>Post-hoc power</w:t>
            </w:r>
          </w:p>
        </w:tc>
      </w:tr>
      <w:tr w14:paraId="541EBF2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38" w:type="pct"/>
            <w:tcBorders>
              <w:top w:val="single" w:color="auto" w:sz="4" w:space="0"/>
              <w:left w:val="nil"/>
              <w:bottom w:val="nil"/>
              <w:right w:val="nil"/>
            </w:tcBorders>
            <w:noWrap w:val="0"/>
            <w:tcMar>
              <w:top w:w="-1" w:type="dxa"/>
              <w:left w:w="-1" w:type="dxa"/>
              <w:bottom w:w="-1" w:type="dxa"/>
              <w:right w:w="-1" w:type="dxa"/>
            </w:tcMar>
            <w:vAlign w:val="center"/>
          </w:tcPr>
          <w:p w14:paraId="5720035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Sex</w:t>
            </w:r>
          </w:p>
        </w:tc>
        <w:tc>
          <w:tcPr>
            <w:tcW w:w="1010" w:type="pct"/>
            <w:tcBorders>
              <w:top w:val="single" w:color="auto" w:sz="4" w:space="0"/>
              <w:left w:val="nil"/>
              <w:bottom w:val="nil"/>
              <w:right w:val="nil"/>
            </w:tcBorders>
            <w:noWrap w:val="0"/>
            <w:tcMar>
              <w:top w:w="-1" w:type="dxa"/>
              <w:left w:w="-1" w:type="dxa"/>
              <w:bottom w:w="-1" w:type="dxa"/>
              <w:right w:w="-1" w:type="dxa"/>
            </w:tcMar>
            <w:vAlign w:val="center"/>
          </w:tcPr>
          <w:p w14:paraId="55F8857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4.81</w:t>
            </w:r>
          </w:p>
        </w:tc>
        <w:tc>
          <w:tcPr>
            <w:tcW w:w="337" w:type="pct"/>
            <w:tcBorders>
              <w:top w:val="single" w:color="auto" w:sz="4" w:space="0"/>
              <w:left w:val="nil"/>
              <w:bottom w:val="nil"/>
              <w:right w:val="nil"/>
            </w:tcBorders>
            <w:noWrap w:val="0"/>
            <w:tcMar>
              <w:top w:w="-1" w:type="dxa"/>
              <w:left w:w="-1" w:type="dxa"/>
              <w:bottom w:w="-1" w:type="dxa"/>
              <w:right w:w="-1" w:type="dxa"/>
            </w:tcMar>
            <w:vAlign w:val="center"/>
          </w:tcPr>
          <w:p w14:paraId="4D91DFF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w:t>
            </w:r>
          </w:p>
        </w:tc>
        <w:tc>
          <w:tcPr>
            <w:tcW w:w="1313" w:type="pct"/>
            <w:tcBorders>
              <w:top w:val="single" w:color="auto" w:sz="4" w:space="0"/>
              <w:left w:val="nil"/>
              <w:bottom w:val="nil"/>
              <w:right w:val="nil"/>
            </w:tcBorders>
            <w:noWrap w:val="0"/>
            <w:tcMar>
              <w:top w:w="-1" w:type="dxa"/>
              <w:left w:w="-1" w:type="dxa"/>
              <w:bottom w:w="-1" w:type="dxa"/>
              <w:right w:w="-1" w:type="dxa"/>
            </w:tcMar>
            <w:vAlign w:val="center"/>
          </w:tcPr>
          <w:p w14:paraId="6E4E76C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0.59</w:t>
            </w:r>
          </w:p>
        </w:tc>
      </w:tr>
      <w:tr w14:paraId="53C6F59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38" w:type="pct"/>
            <w:tcBorders>
              <w:top w:val="nil"/>
              <w:left w:val="nil"/>
              <w:bottom w:val="nil"/>
              <w:right w:val="nil"/>
            </w:tcBorders>
            <w:noWrap w:val="0"/>
            <w:tcMar>
              <w:top w:w="-1" w:type="dxa"/>
              <w:left w:w="-1" w:type="dxa"/>
              <w:bottom w:w="-1" w:type="dxa"/>
              <w:right w:w="-1" w:type="dxa"/>
            </w:tcMar>
            <w:vAlign w:val="center"/>
          </w:tcPr>
          <w:p w14:paraId="6934F77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Education</w:t>
            </w:r>
          </w:p>
        </w:tc>
        <w:tc>
          <w:tcPr>
            <w:tcW w:w="1010" w:type="pct"/>
            <w:tcBorders>
              <w:top w:val="nil"/>
              <w:left w:val="nil"/>
              <w:bottom w:val="nil"/>
              <w:right w:val="nil"/>
            </w:tcBorders>
            <w:noWrap w:val="0"/>
            <w:tcMar>
              <w:top w:w="-1" w:type="dxa"/>
              <w:left w:w="-1" w:type="dxa"/>
              <w:bottom w:w="-1" w:type="dxa"/>
              <w:right w:w="-1" w:type="dxa"/>
            </w:tcMar>
            <w:vAlign w:val="center"/>
          </w:tcPr>
          <w:p w14:paraId="64DE9D5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4.75</w:t>
            </w:r>
          </w:p>
        </w:tc>
        <w:tc>
          <w:tcPr>
            <w:tcW w:w="337" w:type="pct"/>
            <w:tcBorders>
              <w:top w:val="nil"/>
              <w:left w:val="nil"/>
              <w:bottom w:val="nil"/>
              <w:right w:val="nil"/>
            </w:tcBorders>
            <w:noWrap w:val="0"/>
            <w:tcMar>
              <w:top w:w="-1" w:type="dxa"/>
              <w:left w:w="-1" w:type="dxa"/>
              <w:bottom w:w="-1" w:type="dxa"/>
              <w:right w:w="-1" w:type="dxa"/>
            </w:tcMar>
            <w:vAlign w:val="center"/>
          </w:tcPr>
          <w:p w14:paraId="14A8868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3</w:t>
            </w:r>
          </w:p>
        </w:tc>
        <w:tc>
          <w:tcPr>
            <w:tcW w:w="1313" w:type="pct"/>
            <w:tcBorders>
              <w:top w:val="nil"/>
              <w:left w:val="nil"/>
              <w:bottom w:val="nil"/>
              <w:right w:val="nil"/>
            </w:tcBorders>
            <w:noWrap w:val="0"/>
            <w:tcMar>
              <w:top w:w="-1" w:type="dxa"/>
              <w:left w:w="-1" w:type="dxa"/>
              <w:bottom w:w="-1" w:type="dxa"/>
              <w:right w:w="-1" w:type="dxa"/>
            </w:tcMar>
            <w:vAlign w:val="center"/>
          </w:tcPr>
          <w:p w14:paraId="6783231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0.42</w:t>
            </w:r>
          </w:p>
        </w:tc>
      </w:tr>
      <w:tr w14:paraId="65FC4AD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38" w:type="pct"/>
            <w:tcBorders>
              <w:top w:val="nil"/>
              <w:left w:val="nil"/>
              <w:bottom w:val="nil"/>
              <w:right w:val="nil"/>
            </w:tcBorders>
            <w:noWrap w:val="0"/>
            <w:tcMar>
              <w:top w:w="-1" w:type="dxa"/>
              <w:left w:w="-1" w:type="dxa"/>
              <w:bottom w:w="-1" w:type="dxa"/>
              <w:right w:w="-1" w:type="dxa"/>
            </w:tcMar>
            <w:vAlign w:val="center"/>
          </w:tcPr>
          <w:p w14:paraId="7CD74FC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Coresidence</w:t>
            </w:r>
          </w:p>
        </w:tc>
        <w:tc>
          <w:tcPr>
            <w:tcW w:w="1010" w:type="pct"/>
            <w:tcBorders>
              <w:top w:val="nil"/>
              <w:left w:val="nil"/>
              <w:bottom w:val="nil"/>
              <w:right w:val="nil"/>
            </w:tcBorders>
            <w:noWrap w:val="0"/>
            <w:tcMar>
              <w:top w:w="-1" w:type="dxa"/>
              <w:left w:w="-1" w:type="dxa"/>
              <w:bottom w:w="-1" w:type="dxa"/>
              <w:right w:w="-1" w:type="dxa"/>
            </w:tcMar>
            <w:vAlign w:val="center"/>
          </w:tcPr>
          <w:p w14:paraId="4CC8117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1.20</w:t>
            </w:r>
          </w:p>
        </w:tc>
        <w:tc>
          <w:tcPr>
            <w:tcW w:w="337" w:type="pct"/>
            <w:tcBorders>
              <w:top w:val="nil"/>
              <w:left w:val="nil"/>
              <w:bottom w:val="nil"/>
              <w:right w:val="nil"/>
            </w:tcBorders>
            <w:noWrap w:val="0"/>
            <w:tcMar>
              <w:top w:w="-1" w:type="dxa"/>
              <w:left w:w="-1" w:type="dxa"/>
              <w:bottom w:w="-1" w:type="dxa"/>
              <w:right w:w="-1" w:type="dxa"/>
            </w:tcMar>
            <w:vAlign w:val="center"/>
          </w:tcPr>
          <w:p w14:paraId="61ADD46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w:t>
            </w:r>
          </w:p>
        </w:tc>
        <w:tc>
          <w:tcPr>
            <w:tcW w:w="1313" w:type="pct"/>
            <w:tcBorders>
              <w:top w:val="nil"/>
              <w:left w:val="nil"/>
              <w:bottom w:val="nil"/>
              <w:right w:val="nil"/>
            </w:tcBorders>
            <w:noWrap w:val="0"/>
            <w:tcMar>
              <w:top w:w="-1" w:type="dxa"/>
              <w:left w:w="-1" w:type="dxa"/>
              <w:bottom w:w="-1" w:type="dxa"/>
              <w:right w:w="-1" w:type="dxa"/>
            </w:tcMar>
            <w:vAlign w:val="center"/>
          </w:tcPr>
          <w:p w14:paraId="52485215">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0.19</w:t>
            </w:r>
          </w:p>
        </w:tc>
      </w:tr>
      <w:tr w14:paraId="016A889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38" w:type="pct"/>
            <w:tcBorders>
              <w:top w:val="nil"/>
              <w:left w:val="nil"/>
              <w:bottom w:val="nil"/>
              <w:right w:val="nil"/>
            </w:tcBorders>
            <w:noWrap w:val="0"/>
            <w:tcMar>
              <w:top w:w="-1" w:type="dxa"/>
              <w:left w:w="-1" w:type="dxa"/>
              <w:bottom w:w="-1" w:type="dxa"/>
              <w:right w:w="-1" w:type="dxa"/>
            </w:tcMar>
            <w:vAlign w:val="center"/>
          </w:tcPr>
          <w:p w14:paraId="25ACB31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Facility choice</w:t>
            </w:r>
          </w:p>
        </w:tc>
        <w:tc>
          <w:tcPr>
            <w:tcW w:w="1010" w:type="pct"/>
            <w:tcBorders>
              <w:top w:val="nil"/>
              <w:left w:val="nil"/>
              <w:bottom w:val="nil"/>
              <w:right w:val="nil"/>
            </w:tcBorders>
            <w:noWrap w:val="0"/>
            <w:tcMar>
              <w:top w:w="-1" w:type="dxa"/>
              <w:left w:w="-1" w:type="dxa"/>
              <w:bottom w:w="-1" w:type="dxa"/>
              <w:right w:w="-1" w:type="dxa"/>
            </w:tcMar>
            <w:vAlign w:val="center"/>
          </w:tcPr>
          <w:p w14:paraId="0A310B6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0.76</w:t>
            </w:r>
          </w:p>
        </w:tc>
        <w:tc>
          <w:tcPr>
            <w:tcW w:w="337" w:type="pct"/>
            <w:tcBorders>
              <w:top w:val="nil"/>
              <w:left w:val="nil"/>
              <w:bottom w:val="nil"/>
              <w:right w:val="nil"/>
            </w:tcBorders>
            <w:noWrap w:val="0"/>
            <w:tcMar>
              <w:top w:w="-1" w:type="dxa"/>
              <w:left w:w="-1" w:type="dxa"/>
              <w:bottom w:w="-1" w:type="dxa"/>
              <w:right w:w="-1" w:type="dxa"/>
            </w:tcMar>
            <w:vAlign w:val="center"/>
          </w:tcPr>
          <w:p w14:paraId="7F9123B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3</w:t>
            </w:r>
          </w:p>
        </w:tc>
        <w:tc>
          <w:tcPr>
            <w:tcW w:w="1313" w:type="pct"/>
            <w:tcBorders>
              <w:top w:val="nil"/>
              <w:left w:val="nil"/>
              <w:bottom w:val="nil"/>
              <w:right w:val="nil"/>
            </w:tcBorders>
            <w:noWrap w:val="0"/>
            <w:tcMar>
              <w:top w:w="-1" w:type="dxa"/>
              <w:left w:w="-1" w:type="dxa"/>
              <w:bottom w:w="-1" w:type="dxa"/>
              <w:right w:w="-1" w:type="dxa"/>
            </w:tcMar>
            <w:vAlign w:val="center"/>
          </w:tcPr>
          <w:p w14:paraId="074286C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0.08</w:t>
            </w:r>
          </w:p>
        </w:tc>
      </w:tr>
      <w:tr w14:paraId="5B96423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38" w:type="pct"/>
            <w:tcBorders>
              <w:top w:val="nil"/>
              <w:left w:val="nil"/>
              <w:bottom w:val="nil"/>
              <w:right w:val="nil"/>
            </w:tcBorders>
            <w:noWrap w:val="0"/>
            <w:tcMar>
              <w:top w:w="-1" w:type="dxa"/>
              <w:left w:w="-1" w:type="dxa"/>
              <w:bottom w:w="-1" w:type="dxa"/>
              <w:right w:w="-1" w:type="dxa"/>
            </w:tcMar>
            <w:vAlign w:val="center"/>
          </w:tcPr>
          <w:p w14:paraId="40F5A729">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Companion choice (4 levels)</w:t>
            </w:r>
          </w:p>
        </w:tc>
        <w:tc>
          <w:tcPr>
            <w:tcW w:w="1010" w:type="pct"/>
            <w:tcBorders>
              <w:top w:val="nil"/>
              <w:left w:val="nil"/>
              <w:bottom w:val="nil"/>
              <w:right w:val="nil"/>
            </w:tcBorders>
            <w:noWrap w:val="0"/>
            <w:tcMar>
              <w:top w:w="-1" w:type="dxa"/>
              <w:left w:w="-1" w:type="dxa"/>
              <w:bottom w:w="-1" w:type="dxa"/>
              <w:right w:w="-1" w:type="dxa"/>
            </w:tcMar>
            <w:vAlign w:val="center"/>
          </w:tcPr>
          <w:p w14:paraId="5C1C5BA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7.59</w:t>
            </w:r>
          </w:p>
        </w:tc>
        <w:tc>
          <w:tcPr>
            <w:tcW w:w="337" w:type="pct"/>
            <w:tcBorders>
              <w:top w:val="nil"/>
              <w:left w:val="nil"/>
              <w:bottom w:val="nil"/>
              <w:right w:val="nil"/>
            </w:tcBorders>
            <w:noWrap w:val="0"/>
            <w:tcMar>
              <w:top w:w="-1" w:type="dxa"/>
              <w:left w:w="-1" w:type="dxa"/>
              <w:bottom w:w="-1" w:type="dxa"/>
              <w:right w:w="-1" w:type="dxa"/>
            </w:tcMar>
            <w:vAlign w:val="center"/>
          </w:tcPr>
          <w:p w14:paraId="0545ECB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3</w:t>
            </w:r>
          </w:p>
        </w:tc>
        <w:tc>
          <w:tcPr>
            <w:tcW w:w="1313" w:type="pct"/>
            <w:tcBorders>
              <w:top w:val="nil"/>
              <w:left w:val="nil"/>
              <w:bottom w:val="nil"/>
              <w:right w:val="nil"/>
            </w:tcBorders>
            <w:noWrap w:val="0"/>
            <w:tcMar>
              <w:top w:w="-1" w:type="dxa"/>
              <w:left w:w="-1" w:type="dxa"/>
              <w:bottom w:w="-1" w:type="dxa"/>
              <w:right w:w="-1" w:type="dxa"/>
            </w:tcMar>
            <w:vAlign w:val="center"/>
          </w:tcPr>
          <w:p w14:paraId="22189A82">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0.55</w:t>
            </w:r>
          </w:p>
        </w:tc>
      </w:tr>
      <w:tr w14:paraId="23D268C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38" w:type="pct"/>
            <w:tcBorders>
              <w:top w:val="nil"/>
              <w:left w:val="nil"/>
              <w:bottom w:val="nil"/>
              <w:right w:val="nil"/>
            </w:tcBorders>
            <w:noWrap w:val="0"/>
            <w:tcMar>
              <w:top w:w="-1" w:type="dxa"/>
              <w:left w:w="-1" w:type="dxa"/>
              <w:bottom w:w="-1" w:type="dxa"/>
              <w:right w:w="-1" w:type="dxa"/>
            </w:tcMar>
            <w:vAlign w:val="center"/>
          </w:tcPr>
          <w:p w14:paraId="1782328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Companion: self vs other (2×2)</w:t>
            </w:r>
          </w:p>
        </w:tc>
        <w:tc>
          <w:tcPr>
            <w:tcW w:w="1010" w:type="pct"/>
            <w:tcBorders>
              <w:top w:val="nil"/>
              <w:left w:val="nil"/>
              <w:bottom w:val="nil"/>
              <w:right w:val="nil"/>
            </w:tcBorders>
            <w:noWrap w:val="0"/>
            <w:tcMar>
              <w:top w:w="-1" w:type="dxa"/>
              <w:left w:w="-1" w:type="dxa"/>
              <w:bottom w:w="-1" w:type="dxa"/>
              <w:right w:w="-1" w:type="dxa"/>
            </w:tcMar>
            <w:vAlign w:val="center"/>
          </w:tcPr>
          <w:p w14:paraId="7855F638">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1.56</w:t>
            </w:r>
          </w:p>
        </w:tc>
        <w:tc>
          <w:tcPr>
            <w:tcW w:w="337" w:type="pct"/>
            <w:tcBorders>
              <w:top w:val="nil"/>
              <w:left w:val="nil"/>
              <w:bottom w:val="nil"/>
              <w:right w:val="nil"/>
            </w:tcBorders>
            <w:noWrap w:val="0"/>
            <w:tcMar>
              <w:top w:w="-1" w:type="dxa"/>
              <w:left w:w="-1" w:type="dxa"/>
              <w:bottom w:w="-1" w:type="dxa"/>
              <w:right w:w="-1" w:type="dxa"/>
            </w:tcMar>
            <w:vAlign w:val="center"/>
          </w:tcPr>
          <w:p w14:paraId="5E1BB9F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1</w:t>
            </w:r>
          </w:p>
        </w:tc>
        <w:tc>
          <w:tcPr>
            <w:tcW w:w="1313" w:type="pct"/>
            <w:tcBorders>
              <w:top w:val="nil"/>
              <w:left w:val="nil"/>
              <w:bottom w:val="nil"/>
              <w:right w:val="nil"/>
            </w:tcBorders>
            <w:noWrap w:val="0"/>
            <w:tcMar>
              <w:top w:w="-1" w:type="dxa"/>
              <w:left w:w="-1" w:type="dxa"/>
              <w:bottom w:w="-1" w:type="dxa"/>
              <w:right w:w="-1" w:type="dxa"/>
            </w:tcMar>
            <w:vAlign w:val="center"/>
          </w:tcPr>
          <w:p w14:paraId="3FBCEC10">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0.24</w:t>
            </w:r>
          </w:p>
        </w:tc>
      </w:tr>
      <w:tr w14:paraId="55C51E3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38" w:type="pct"/>
            <w:tcBorders>
              <w:top w:val="nil"/>
              <w:left w:val="nil"/>
              <w:bottom w:val="single" w:color="auto" w:sz="12" w:space="0"/>
              <w:right w:val="nil"/>
            </w:tcBorders>
            <w:noWrap w:val="0"/>
            <w:tcMar>
              <w:top w:w="-1" w:type="dxa"/>
              <w:left w:w="-1" w:type="dxa"/>
              <w:bottom w:w="-1" w:type="dxa"/>
              <w:right w:w="-1" w:type="dxa"/>
            </w:tcMar>
            <w:vAlign w:val="center"/>
          </w:tcPr>
          <w:p w14:paraId="1079063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Preferred escort role</w:t>
            </w:r>
          </w:p>
        </w:tc>
        <w:tc>
          <w:tcPr>
            <w:tcW w:w="1010" w:type="pct"/>
            <w:tcBorders>
              <w:top w:val="nil"/>
              <w:left w:val="nil"/>
              <w:bottom w:val="single" w:color="auto" w:sz="12" w:space="0"/>
              <w:right w:val="nil"/>
            </w:tcBorders>
            <w:noWrap w:val="0"/>
            <w:tcMar>
              <w:top w:w="-1" w:type="dxa"/>
              <w:left w:w="-1" w:type="dxa"/>
              <w:bottom w:w="-1" w:type="dxa"/>
              <w:right w:w="-1" w:type="dxa"/>
            </w:tcMar>
            <w:vAlign w:val="center"/>
          </w:tcPr>
          <w:p w14:paraId="66B9B6F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0.35</w:t>
            </w:r>
          </w:p>
        </w:tc>
        <w:tc>
          <w:tcPr>
            <w:tcW w:w="337" w:type="pct"/>
            <w:tcBorders>
              <w:top w:val="nil"/>
              <w:left w:val="nil"/>
              <w:bottom w:val="single" w:color="auto" w:sz="12" w:space="0"/>
              <w:right w:val="nil"/>
            </w:tcBorders>
            <w:noWrap w:val="0"/>
            <w:tcMar>
              <w:top w:w="-1" w:type="dxa"/>
              <w:left w:w="-1" w:type="dxa"/>
              <w:bottom w:w="-1" w:type="dxa"/>
              <w:right w:w="-1" w:type="dxa"/>
            </w:tcMar>
            <w:vAlign w:val="center"/>
          </w:tcPr>
          <w:p w14:paraId="1D4CC713">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2</w:t>
            </w:r>
          </w:p>
        </w:tc>
        <w:tc>
          <w:tcPr>
            <w:tcW w:w="1313" w:type="pct"/>
            <w:tcBorders>
              <w:top w:val="nil"/>
              <w:left w:val="nil"/>
              <w:bottom w:val="single" w:color="auto" w:sz="12" w:space="0"/>
              <w:right w:val="nil"/>
            </w:tcBorders>
            <w:noWrap w:val="0"/>
            <w:tcMar>
              <w:top w:w="-1" w:type="dxa"/>
              <w:left w:w="-1" w:type="dxa"/>
              <w:bottom w:w="-1" w:type="dxa"/>
              <w:right w:w="-1" w:type="dxa"/>
            </w:tcMar>
            <w:vAlign w:val="center"/>
          </w:tcPr>
          <w:p w14:paraId="475321D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20"/>
              </w:rPr>
            </w:pPr>
            <w:r>
              <w:rPr>
                <w:rFonts w:ascii="Times New Roman" w:eastAsia="Times New Roman"/>
                <w:sz w:val="20"/>
              </w:rPr>
              <w:t>0.06</w:t>
            </w:r>
          </w:p>
        </w:tc>
      </w:tr>
    </w:tbl>
    <w:p w14:paraId="3FA3FF6E">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0"/>
          <w:szCs w:val="20"/>
        </w:rPr>
      </w:pPr>
      <w:r>
        <w:rPr>
          <w:b w:val="0"/>
          <w:i/>
          <w:sz w:val="20"/>
          <w:szCs w:val="20"/>
        </w:rPr>
        <w:t>Power for the Welch t tests on age and income could not be computed with the present procedure; both tests yielded P &gt; 0.70, indicating small effect sizes (|d| &lt; 0.11).</w:t>
      </w:r>
    </w:p>
    <w:p w14:paraId="00970B0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sz w:val="24"/>
        </w:rPr>
      </w:pPr>
    </w:p>
    <w:p w14:paraId="51E0FFA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 w:val="21"/>
          <w:szCs w:val="21"/>
        </w:rPr>
      </w:pPr>
      <w:r>
        <w:rPr>
          <w:b/>
          <w:sz w:val="21"/>
          <w:szCs w:val="21"/>
        </w:rPr>
        <w:t>Appendix G. Topic guide for the semi-structured in-depth interviews</w:t>
      </w:r>
    </w:p>
    <w:p w14:paraId="735D9FDB">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both"/>
        <w:textAlignment w:val="auto"/>
        <w:rPr>
          <w:sz w:val="21"/>
          <w:szCs w:val="21"/>
        </w:rPr>
      </w:pPr>
      <w:r>
        <w:rPr>
          <w:b w:val="0"/>
          <w:i w:val="0"/>
          <w:sz w:val="21"/>
          <w:szCs w:val="21"/>
        </w:rPr>
        <w:t>The following topic guide was used for the qualitative component (n = 15). Interviews lasted 30–45 minutes, were audio-recorded with consent and transcribed verbatim. The guide was iteratively refined after the first three interviews.</w:t>
      </w:r>
    </w:p>
    <w:p w14:paraId="049CE47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Opening: “Please describe the most recent occasion on which you accompanied an older relative to a medical appointment.”</w:t>
      </w:r>
    </w:p>
    <w:p w14:paraId="14E30FB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Probe: “Walk me through the appointment step by step – from leaving home to returning.”</w:t>
      </w:r>
    </w:p>
    <w:p w14:paraId="40C757A4">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Probe: “What was the most difficult part of that visit, and how did you handle it?”</w:t>
      </w:r>
    </w:p>
    <w:p w14:paraId="712A8F0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Perceptions of PMAS: “If a professional accompaniment service were available at a price you could afford, would you consider using it? Why or why not?”</w:t>
      </w:r>
    </w:p>
    <w:p w14:paraId="080001B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Probe: “What price point do you consider reasonable for a half-day accompaniment service?”</w:t>
      </w:r>
    </w:p>
    <w:p w14:paraId="48E2904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Probe: “What qualifications would you require of the escort?”</w:t>
      </w:r>
    </w:p>
    <w:p w14:paraId="41DD32F0">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Probe: “What risks or concerns would you have about using such a service?”</w:t>
      </w:r>
    </w:p>
    <w:p w14:paraId="4C6A8295">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Alternatives: “In your view, what other services or supports would help families like yours navigate the hospital-visit process?”</w:t>
      </w:r>
    </w:p>
    <w:p w14:paraId="58685C8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Closing: “Is there anything else you would like to share that we have not covered?”</w:t>
      </w:r>
    </w:p>
    <w:p w14:paraId="47333A4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sz w:val="21"/>
          <w:szCs w:val="21"/>
        </w:rPr>
      </w:pPr>
    </w:p>
    <w:p w14:paraId="7521D85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 w:val="21"/>
          <w:szCs w:val="21"/>
        </w:rPr>
      </w:pPr>
      <w:r>
        <w:rPr>
          <w:b/>
          <w:sz w:val="21"/>
          <w:szCs w:val="21"/>
        </w:rPr>
        <w:t>Appendix H. Written informed consent form (English template)</w:t>
      </w:r>
    </w:p>
    <w:p w14:paraId="4ABE8B8C">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Title of the study</w:t>
      </w:r>
    </w:p>
    <w:p w14:paraId="7C9CC50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Impact of adult-children companionship on stated willingness to use professional medical accompaniment services in Fuyang, China</w:t>
      </w:r>
    </w:p>
    <w:p w14:paraId="1E940ECE">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Principal investigator</w:t>
      </w:r>
    </w:p>
    <w:p w14:paraId="6773E79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Yan Peng, Department of Nursing, Fuyang Normal University, Anhui 236037, China. E-mail: pengyan@fynu.edu.cn</w:t>
      </w:r>
    </w:p>
    <w:p w14:paraId="4125C24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Invitation</w:t>
      </w:r>
    </w:p>
    <w:p w14:paraId="1F01B23B">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You are being invited to take part in a research study conducted by the Department of Nursing, Fuyang Normal University. Before you decide whether to participate, please read this form carefully and ask any questions you may have.</w:t>
      </w:r>
    </w:p>
    <w:p w14:paraId="7E03411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Purpose of the study</w:t>
      </w:r>
    </w:p>
    <w:p w14:paraId="0AB819A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The study aims to understand the willingness of adult children to use professional medical accompaniment services for older relatives, and the factors that may be associated with this willingness. The findings will inform the design of safe and accessible accompaniment services for older adults in inland China.</w:t>
      </w:r>
    </w:p>
    <w:p w14:paraId="704D50DE">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Procedures</w:t>
      </w:r>
    </w:p>
    <w:p w14:paraId="1518FEA4">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If you agree to participate, you will be asked to complete a structured questionnaire that will take approximately 15–20 minutes. You may also be invited to participate in a one-time audio-recorded interview of 30–45 minutes.</w:t>
      </w:r>
    </w:p>
    <w:p w14:paraId="7C5684D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Risks and benefits</w:t>
      </w:r>
    </w:p>
    <w:p w14:paraId="4211F04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There are no anticipated physical, psychological, social or economic risks associated with participation. You will not receive direct compensation for participating, but the findings will help shape a service that may benefit you and other families in the future.</w:t>
      </w:r>
    </w:p>
    <w:p w14:paraId="54E925A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Confidentiality</w:t>
      </w:r>
    </w:p>
    <w:p w14:paraId="063DDA7E">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Your responses will be de-identified before analysis and stored on encrypted university servers. Aggregate results will be reported in academic publications; no individual participant will be identifiable. Audio recordings will be transcribed verbatim and deleted within 12 months after publication.</w:t>
      </w:r>
    </w:p>
    <w:p w14:paraId="4C0C16F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Voluntary participation</w:t>
      </w:r>
    </w:p>
    <w:p w14:paraId="63A7FB2E">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Your participation is entirely voluntary. You may decline to participate or withdraw at any time without giving a reason and without any consequences. Withdrawal will not affect any current or future health-care or community services you receive.</w:t>
      </w:r>
    </w:p>
    <w:p w14:paraId="6E6E85F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Contact</w:t>
      </w:r>
      <w:bookmarkStart w:id="0" w:name="_GoBack"/>
      <w:bookmarkEnd w:id="0"/>
    </w:p>
    <w:p w14:paraId="3762A20F">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 xml:space="preserve">If you have questions about this study, please contact </w:t>
      </w:r>
      <w:r>
        <w:rPr>
          <w:rFonts w:hint="eastAsia" w:eastAsia="宋体"/>
          <w:b w:val="0"/>
          <w:i w:val="0"/>
          <w:sz w:val="21"/>
          <w:szCs w:val="21"/>
          <w:lang w:val="en-US" w:eastAsia="zh-CN"/>
        </w:rPr>
        <w:t>Yan Peng</w:t>
      </w:r>
      <w:r>
        <w:rPr>
          <w:b w:val="0"/>
          <w:i w:val="0"/>
          <w:sz w:val="21"/>
          <w:szCs w:val="21"/>
        </w:rPr>
        <w:t xml:space="preserve"> at the address above. If you have questions about your rights as a research participant, please contact the Medical Ethics Committee of Fuyang Normal University.</w:t>
      </w:r>
    </w:p>
    <w:p w14:paraId="2648AFD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i w:val="0"/>
          <w:sz w:val="21"/>
          <w:szCs w:val="21"/>
        </w:rPr>
        <w:t>Consent</w:t>
      </w:r>
    </w:p>
    <w:p w14:paraId="10143C9C">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I have read and understood the information above. I voluntarily agree to participate in this study.</w:t>
      </w:r>
    </w:p>
    <w:p w14:paraId="43B9B9F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Participant signature: _________________________  Date: ___________</w:t>
      </w:r>
    </w:p>
    <w:p w14:paraId="59D7455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Investigator signature: _________________________  Date: ___________</w:t>
      </w:r>
    </w:p>
    <w:p w14:paraId="5316FF64">
      <w:pPr>
        <w:keepNext w:val="0"/>
        <w:keepLines w:val="0"/>
        <w:pageBreakBefore w:val="0"/>
        <w:widowControl/>
        <w:kinsoku/>
        <w:wordWrap/>
        <w:overflowPunct/>
        <w:topLinePunct w:val="0"/>
        <w:autoSpaceDE/>
        <w:autoSpaceDN/>
        <w:bidi w:val="0"/>
        <w:adjustRightInd/>
        <w:snapToGrid/>
        <w:spacing w:after="0" w:line="360" w:lineRule="auto"/>
        <w:jc w:val="both"/>
        <w:textAlignment w:val="auto"/>
        <w:rPr>
          <w:b/>
          <w:sz w:val="21"/>
          <w:szCs w:val="21"/>
        </w:rPr>
      </w:pPr>
    </w:p>
    <w:p w14:paraId="6A0E647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 w:val="21"/>
          <w:szCs w:val="21"/>
        </w:rPr>
      </w:pPr>
      <w:r>
        <w:rPr>
          <w:b/>
          <w:sz w:val="21"/>
          <w:szCs w:val="21"/>
        </w:rPr>
        <w:t>Appendix I. Ethics-committee approval and data-management plan</w:t>
      </w:r>
    </w:p>
    <w:p w14:paraId="78EE390E">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Ethics approval: The study was reviewed and approved by the Medical Ethics Committee of Fuyang Normal University (Approval No. FYNU-2026-008). The approval covers the quantitative survey, the qualitative interviews, and the secondary analyses reported in this manuscript and its supplements.</w:t>
      </w:r>
    </w:p>
    <w:p w14:paraId="7CE1D474">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Data management: All paper questionnaires and audio recordings are stored in a locked cabinet in the principal investigator’s office at Fuyang Normal University. Digital files are stored on a password-protected university server with daily backups. Only the principal investigator and two named co-investigators have access to the raw data. Data will be retained for 10 years after publication in line with Chinese regulations on health-research data, after which all identifiable materials will be destroyed and anonymized data transferred to a public archive (e.g., the Fuyang Normal University Research Data Repository).</w:t>
      </w:r>
    </w:p>
    <w:p w14:paraId="6E20A7F5">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1"/>
          <w:szCs w:val="21"/>
        </w:rPr>
      </w:pPr>
      <w:r>
        <w:rPr>
          <w:b w:val="0"/>
          <w:i w:val="0"/>
          <w:sz w:val="21"/>
          <w:szCs w:val="21"/>
        </w:rPr>
        <w:t>Patient and public involvement: Two community-dwelling older adults and one adult-child caregiver participated in a one-hour pre-survey consultation to inform the questionnaire wording. The final questionnaire and topic guide were reviewed by these stakeholders before deployment.</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panose1 w:val="02060409020205020404"/>
    <w:charset w:val="00"/>
    <w:family w:val="auto"/>
    <w:pitch w:val="default"/>
    <w:sig w:usb0="00000007" w:usb1="00000000" w:usb2="00000000" w:usb3="00000000" w:csb0="00000093"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77411BB"/>
    <w:rsid w:val="5EC516D1"/>
    <w:rsid w:val="630463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2113</Words>
  <Characters>11839</Characters>
  <Lines>0</Lines>
  <Paragraphs>0</Paragraphs>
  <TotalTime>8</TotalTime>
  <ScaleCrop>false</ScaleCrop>
  <LinksUpToDate>false</LinksUpToDate>
  <CharactersWithSpaces>13755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彭岩</cp:lastModifiedBy>
  <dcterms:modified xsi:type="dcterms:W3CDTF">2026-08-12T14:42:37Z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eyJoZGlkIjoiMzEwNTM5NzYwMDRjMzkwZTVkZjY2ODkwMGIxNGU0OTUiLCJ1c2VySWQiOiIxNjI3NDk4OSJ9</vt:lpwstr>
  </property>
  <property fmtid="{D5CDD505-2E9C-101B-9397-08002B2CF9AE}" pid="3" name="KSOProductBuildVer">
    <vt:lpwstr>2052-12.1.0.28043</vt:lpwstr>
  </property>
  <property fmtid="{D5CDD505-2E9C-101B-9397-08002B2CF9AE}" pid="4" name="ICV">
    <vt:lpwstr>6CE08F41F310416F9C4FC8E56F684561_12</vt:lpwstr>
  </property>
</Properties>
</file>