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E8FC3" w14:textId="74C8C00D" w:rsidR="00DD768F" w:rsidRDefault="00DD768F" w:rsidP="000E5601">
      <w:pPr>
        <w:rPr>
          <w:rFonts w:ascii="Times New Roman" w:hAnsi="Times New Roman" w:cs="Times New Roman"/>
          <w:noProof/>
          <w:color w:val="000000" w:themeColor="text1"/>
          <w:sz w:val="20"/>
          <w:szCs w:val="20"/>
        </w:rPr>
      </w:pPr>
    </w:p>
    <w:p w14:paraId="63062D13" w14:textId="21ACBCBE" w:rsidR="00DD768F" w:rsidRDefault="002232E9" w:rsidP="00DD768F">
      <w:pPr>
        <w:rPr>
          <w:rFonts w:ascii="Times New Roman" w:hAnsi="Times New Roman" w:cs="Times New Roman"/>
          <w:noProof/>
          <w:color w:val="000000" w:themeColor="text1"/>
          <w:sz w:val="20"/>
          <w:szCs w:val="20"/>
        </w:rPr>
      </w:pPr>
      <w:r>
        <w:rPr>
          <w:rFonts w:ascii="Times New Roman" w:hAnsi="Times New Roman" w:cs="Times New Roman"/>
          <w:noProof/>
          <w:color w:val="000000" w:themeColor="text1"/>
          <w:sz w:val="20"/>
          <w:szCs w:val="20"/>
        </w:rPr>
        <w:drawing>
          <wp:inline distT="0" distB="0" distL="0" distR="0" wp14:anchorId="7AD180E3" wp14:editId="78A80C9E">
            <wp:extent cx="5730240" cy="6233160"/>
            <wp:effectExtent l="0" t="0" r="3810" b="0"/>
            <wp:docPr id="12858447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0240" cy="6233160"/>
                    </a:xfrm>
                    <a:prstGeom prst="rect">
                      <a:avLst/>
                    </a:prstGeom>
                    <a:noFill/>
                    <a:ln>
                      <a:noFill/>
                    </a:ln>
                  </pic:spPr>
                </pic:pic>
              </a:graphicData>
            </a:graphic>
          </wp:inline>
        </w:drawing>
      </w:r>
    </w:p>
    <w:p w14:paraId="2DD27F21" w14:textId="42C65B92" w:rsidR="00DD768F" w:rsidRDefault="00DD768F" w:rsidP="006C56A2">
      <w:pPr>
        <w:jc w:val="both"/>
        <w:rPr>
          <w:rFonts w:ascii="Times New Roman" w:hAnsi="Times New Roman" w:cs="Times New Roman"/>
          <w:color w:val="000000" w:themeColor="text1"/>
          <w:sz w:val="20"/>
          <w:szCs w:val="20"/>
        </w:rPr>
      </w:pPr>
      <w:r>
        <w:rPr>
          <w:rFonts w:ascii="Times New Roman" w:hAnsi="Times New Roman" w:cs="Times New Roman"/>
          <w:b/>
          <w:bCs/>
          <w:color w:val="000000" w:themeColor="text1"/>
          <w:sz w:val="20"/>
          <w:szCs w:val="20"/>
        </w:rPr>
        <w:t xml:space="preserve">Supplementary Figure 1: </w:t>
      </w:r>
      <w:r w:rsidRPr="7F788D3D">
        <w:rPr>
          <w:rFonts w:ascii="Times New Roman" w:hAnsi="Times New Roman" w:cs="Times New Roman"/>
          <w:b/>
          <w:bCs/>
          <w:color w:val="000000" w:themeColor="text1"/>
          <w:sz w:val="20"/>
          <w:szCs w:val="20"/>
        </w:rPr>
        <w:t xml:space="preserve">AMR governance structure of </w:t>
      </w:r>
      <w:r w:rsidRPr="7F788D3D">
        <w:rPr>
          <w:rFonts w:ascii="Times New Roman" w:hAnsi="Times New Roman" w:cs="Times New Roman"/>
          <w:b/>
          <w:bCs/>
          <w:noProof/>
          <w:color w:val="000000" w:themeColor="text1"/>
          <w:sz w:val="20"/>
          <w:szCs w:val="20"/>
        </w:rPr>
        <w:t>Ghana</w:t>
      </w:r>
      <w:r w:rsidRPr="7F788D3D">
        <w:rPr>
          <w:rFonts w:ascii="Times New Roman" w:hAnsi="Times New Roman" w:cs="Times New Roman"/>
          <w:noProof/>
          <w:color w:val="000000" w:themeColor="text1"/>
          <w:sz w:val="20"/>
          <w:szCs w:val="20"/>
        </w:rPr>
        <w:t>.</w:t>
      </w:r>
      <w:r w:rsidRPr="7F788D3D">
        <w:rPr>
          <w:rFonts w:ascii="Times New Roman" w:hAnsi="Times New Roman" w:cs="Times New Roman"/>
          <w:noProof/>
          <w:color w:val="000000" w:themeColor="text1"/>
          <w:sz w:val="18"/>
          <w:szCs w:val="18"/>
        </w:rPr>
        <w:t xml:space="preserve"> </w:t>
      </w:r>
      <w:r w:rsidRPr="7F788D3D">
        <w:rPr>
          <w:rFonts w:ascii="Times New Roman" w:hAnsi="Times New Roman" w:cs="Times New Roman"/>
          <w:color w:val="000000" w:themeColor="text1"/>
          <w:sz w:val="20"/>
          <w:szCs w:val="20"/>
        </w:rPr>
        <w:t xml:space="preserve">In Ghana, the AMR sector ministries comprise of the Ministry of Health (MOH), Ministry of Food and Agriculture (MOFA), </w:t>
      </w:r>
      <w:r w:rsidRPr="007D21F7">
        <w:rPr>
          <w:rFonts w:ascii="Times New Roman" w:hAnsi="Times New Roman" w:cs="Times New Roman"/>
          <w:color w:val="000000" w:themeColor="text1"/>
          <w:sz w:val="20"/>
          <w:szCs w:val="20"/>
        </w:rPr>
        <w:t>Ministry of Fisheries and Aquaculture (MOFAD), Ministry of Environment, Science, and Technology (MEST)</w:t>
      </w:r>
      <w:r w:rsidRPr="7F788D3D">
        <w:rPr>
          <w:rFonts w:ascii="Times New Roman" w:hAnsi="Times New Roman" w:cs="Times New Roman"/>
          <w:color w:val="000000" w:themeColor="text1"/>
          <w:sz w:val="20"/>
          <w:szCs w:val="20"/>
        </w:rPr>
        <w:t xml:space="preserve"> who all cooperated to develop an integrated AMR Surveillance Framework. Ghana also has an AMR Surveillance Technical Working group (TWG) consisting of subject matter and institutional experts participating on a voluntary basis. </w:t>
      </w:r>
    </w:p>
    <w:p w14:paraId="25516C8E" w14:textId="023E7D04" w:rsidR="002232E9" w:rsidRDefault="002232E9" w:rsidP="00DD768F">
      <w:pPr>
        <w:rPr>
          <w:rFonts w:ascii="Times New Roman" w:hAnsi="Times New Roman" w:cs="Times New Roman"/>
          <w:color w:val="000000" w:themeColor="text1"/>
          <w:sz w:val="20"/>
          <w:szCs w:val="20"/>
        </w:rPr>
      </w:pPr>
      <w:r>
        <w:rPr>
          <w:rFonts w:ascii="Times New Roman" w:hAnsi="Times New Roman" w:cs="Times New Roman"/>
          <w:noProof/>
          <w:color w:val="000000" w:themeColor="text1"/>
          <w:sz w:val="20"/>
          <w:szCs w:val="20"/>
        </w:rPr>
        <w:lastRenderedPageBreak/>
        <w:drawing>
          <wp:inline distT="0" distB="0" distL="0" distR="0" wp14:anchorId="38AD670E" wp14:editId="57587C5E">
            <wp:extent cx="5727700" cy="6305550"/>
            <wp:effectExtent l="0" t="0" r="6350" b="0"/>
            <wp:docPr id="7656893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7700" cy="6305550"/>
                    </a:xfrm>
                    <a:prstGeom prst="rect">
                      <a:avLst/>
                    </a:prstGeom>
                    <a:noFill/>
                    <a:ln>
                      <a:noFill/>
                    </a:ln>
                  </pic:spPr>
                </pic:pic>
              </a:graphicData>
            </a:graphic>
          </wp:inline>
        </w:drawing>
      </w:r>
    </w:p>
    <w:p w14:paraId="50C29016" w14:textId="26FF5E54" w:rsidR="00DD768F" w:rsidRDefault="00DD768F" w:rsidP="00182B36">
      <w:pPr>
        <w:jc w:val="both"/>
        <w:rPr>
          <w:rFonts w:ascii="Times New Roman" w:hAnsi="Times New Roman" w:cs="Times New Roman"/>
          <w:noProof/>
          <w:color w:val="000000" w:themeColor="text1"/>
          <w:sz w:val="20"/>
          <w:szCs w:val="20"/>
        </w:rPr>
        <w:sectPr w:rsidR="00DD768F">
          <w:pgSz w:w="11906" w:h="16838"/>
          <w:pgMar w:top="1440" w:right="1440" w:bottom="1440" w:left="1440" w:header="708" w:footer="708" w:gutter="0"/>
          <w:cols w:space="708"/>
          <w:docGrid w:linePitch="360"/>
        </w:sectPr>
      </w:pPr>
      <w:r>
        <w:rPr>
          <w:rFonts w:ascii="Times New Roman" w:hAnsi="Times New Roman" w:cs="Times New Roman"/>
          <w:b/>
          <w:bCs/>
          <w:color w:val="000000" w:themeColor="text1"/>
          <w:sz w:val="20"/>
          <w:szCs w:val="20"/>
        </w:rPr>
        <w:t xml:space="preserve">Supplementary Figure 2: </w:t>
      </w:r>
      <w:r w:rsidRPr="7F788D3D">
        <w:rPr>
          <w:rFonts w:ascii="Times New Roman" w:hAnsi="Times New Roman" w:cs="Times New Roman"/>
          <w:b/>
          <w:bCs/>
          <w:sz w:val="20"/>
          <w:szCs w:val="20"/>
        </w:rPr>
        <w:t>AMR governance structure in Nigeria for AMR Surveillance</w:t>
      </w:r>
      <w:r w:rsidRPr="7F788D3D">
        <w:rPr>
          <w:rFonts w:ascii="Times New Roman" w:hAnsi="Times New Roman" w:cs="Times New Roman"/>
          <w:i/>
          <w:iCs/>
          <w:sz w:val="20"/>
          <w:szCs w:val="20"/>
        </w:rPr>
        <w:t xml:space="preserve">. </w:t>
      </w:r>
      <w:r w:rsidRPr="7F788D3D">
        <w:rPr>
          <w:rFonts w:ascii="Times New Roman" w:hAnsi="Times New Roman" w:cs="Times New Roman"/>
          <w:sz w:val="20"/>
          <w:szCs w:val="20"/>
        </w:rPr>
        <w:t>Nigeria has a well-defined AMR governance structure outlined in the AMR &amp; AMU One Health Governance Manual. This multisectoral framework follows a One Health approach, featuring the National One Health Steering Committee (comprising all the Honourable Ministers of the One Health sectors) that serves as the overall decision-making  and policy-setting body for AMR in Nigeria, the AMR Coordinating Committee (AMRCC) that provides direct leadership and coordination of interventions from multisectoral technical working groups, and the National AMR Technical Working Groups that comprised of five sub-technical working groups with focus on awareness/education, surveillance, stewardship, infection prevention and control (including vaccination) and research.</w:t>
      </w:r>
      <w:r w:rsidRPr="7F788D3D">
        <w:rPr>
          <w:rFonts w:ascii="Times New Roman" w:hAnsi="Times New Roman" w:cs="Times New Roman"/>
          <w:color w:val="000000" w:themeColor="text1"/>
          <w:sz w:val="20"/>
          <w:szCs w:val="20"/>
        </w:rPr>
        <w:t xml:space="preserve"> </w:t>
      </w:r>
    </w:p>
    <w:p w14:paraId="0D1DBB57" w14:textId="710DA733" w:rsidR="003E1E69" w:rsidRDefault="003E1E69" w:rsidP="00DD768F">
      <w:pPr>
        <w:rPr>
          <w:rFonts w:ascii="Times New Roman" w:hAnsi="Times New Roman" w:cs="Times New Roman"/>
          <w:noProof/>
          <w:color w:val="000000" w:themeColor="text1"/>
          <w:sz w:val="20"/>
          <w:szCs w:val="20"/>
        </w:rPr>
      </w:pPr>
    </w:p>
    <w:p w14:paraId="4EA456E1" w14:textId="77777777" w:rsidR="00DD768F" w:rsidRDefault="00972163" w:rsidP="00DD768F">
      <w:pPr>
        <w:jc w:val="center"/>
        <w:rPr>
          <w:rFonts w:ascii="Times New Roman" w:hAnsi="Times New Roman" w:cs="Times New Roman"/>
          <w:color w:val="000000" w:themeColor="text1"/>
          <w:sz w:val="20"/>
          <w:szCs w:val="20"/>
        </w:rPr>
      </w:pPr>
      <w:r>
        <w:rPr>
          <w:rFonts w:ascii="Times New Roman" w:hAnsi="Times New Roman" w:cs="Times New Roman"/>
          <w:noProof/>
          <w:color w:val="000000" w:themeColor="text1"/>
          <w:sz w:val="20"/>
          <w:szCs w:val="20"/>
        </w:rPr>
        <w:drawing>
          <wp:inline distT="0" distB="0" distL="0" distR="0" wp14:anchorId="71BF3780" wp14:editId="3DDDBF79">
            <wp:extent cx="8214606" cy="4715302"/>
            <wp:effectExtent l="0" t="0" r="0" b="9525"/>
            <wp:docPr id="1923653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42134" cy="4731103"/>
                    </a:xfrm>
                    <a:prstGeom prst="rect">
                      <a:avLst/>
                    </a:prstGeom>
                    <a:noFill/>
                    <a:ln>
                      <a:noFill/>
                    </a:ln>
                  </pic:spPr>
                </pic:pic>
              </a:graphicData>
            </a:graphic>
          </wp:inline>
        </w:drawing>
      </w:r>
    </w:p>
    <w:p w14:paraId="531E753B" w14:textId="4D0488C1" w:rsidR="00DD768F" w:rsidRDefault="00DD768F" w:rsidP="00A53429">
      <w:pPr>
        <w:jc w:val="both"/>
        <w:rPr>
          <w:rFonts w:ascii="Times New Roman" w:hAnsi="Times New Roman" w:cs="Times New Roman"/>
          <w:color w:val="000000" w:themeColor="text1"/>
          <w:sz w:val="20"/>
          <w:szCs w:val="20"/>
        </w:rPr>
        <w:sectPr w:rsidR="00DD768F" w:rsidSect="00DD768F">
          <w:pgSz w:w="16838" w:h="11906" w:orient="landscape"/>
          <w:pgMar w:top="1440" w:right="1440" w:bottom="1440" w:left="1440" w:header="708" w:footer="708" w:gutter="0"/>
          <w:cols w:space="708"/>
          <w:docGrid w:linePitch="360"/>
        </w:sectPr>
      </w:pPr>
      <w:r w:rsidRPr="619BB693">
        <w:rPr>
          <w:rFonts w:ascii="Times New Roman" w:hAnsi="Times New Roman" w:cs="Times New Roman"/>
          <w:b/>
          <w:bCs/>
          <w:color w:val="000000" w:themeColor="text1"/>
          <w:sz w:val="20"/>
          <w:szCs w:val="20"/>
        </w:rPr>
        <w:t>Supplementary Figure 3: Senegal governance structure for AMR Surveillance</w:t>
      </w:r>
      <w:r w:rsidRPr="619BB693">
        <w:rPr>
          <w:rFonts w:ascii="Times New Roman" w:hAnsi="Times New Roman" w:cs="Times New Roman"/>
          <w:b/>
          <w:bCs/>
          <w:i/>
          <w:iCs/>
          <w:color w:val="000000" w:themeColor="text1"/>
          <w:sz w:val="20"/>
          <w:szCs w:val="20"/>
        </w:rPr>
        <w:t xml:space="preserve">. </w:t>
      </w:r>
      <w:r w:rsidRPr="619BB693">
        <w:rPr>
          <w:rFonts w:ascii="Times New Roman" w:hAnsi="Times New Roman" w:cs="Times New Roman"/>
          <w:color w:val="000000" w:themeColor="text1"/>
          <w:sz w:val="20"/>
          <w:szCs w:val="20"/>
        </w:rPr>
        <w:t>The Global Health Security “One Health” organization sits in the High National Council of Global Health Security (HCNSSM) and has a prevention committee responsible for AMR issues. Senegal has created a Technical Steering Committee comprising of multisectoral and multidisciplinary specialists in AMR, to implement AMR surveillance</w:t>
      </w:r>
    </w:p>
    <w:p w14:paraId="100577AD" w14:textId="45FDD13C" w:rsidR="005E5D7D" w:rsidRDefault="005E5D7D" w:rsidP="005B75A9">
      <w:pPr>
        <w:rPr>
          <w:rFonts w:ascii="Times New Roman" w:hAnsi="Times New Roman" w:cs="Times New Roman"/>
          <w:color w:val="000000" w:themeColor="text1"/>
          <w:sz w:val="20"/>
          <w:szCs w:val="20"/>
        </w:rPr>
      </w:pPr>
    </w:p>
    <w:p w14:paraId="1C9ED2F4" w14:textId="7281C71C" w:rsidR="005E5D7D" w:rsidRDefault="008866F2" w:rsidP="00ED5540">
      <w:pPr>
        <w:jc w:val="center"/>
        <w:rPr>
          <w:rFonts w:ascii="Times New Roman" w:hAnsi="Times New Roman" w:cs="Times New Roman"/>
          <w:color w:val="000000" w:themeColor="text1"/>
          <w:sz w:val="20"/>
          <w:szCs w:val="20"/>
        </w:rPr>
      </w:pPr>
      <w:r>
        <w:rPr>
          <w:rFonts w:ascii="Times New Roman" w:hAnsi="Times New Roman" w:cs="Times New Roman"/>
          <w:noProof/>
          <w:color w:val="000000" w:themeColor="text1"/>
          <w:sz w:val="20"/>
          <w:szCs w:val="20"/>
        </w:rPr>
        <w:drawing>
          <wp:inline distT="0" distB="0" distL="0" distR="0" wp14:anchorId="02B33F59" wp14:editId="0304E541">
            <wp:extent cx="5444617" cy="6710400"/>
            <wp:effectExtent l="0" t="0" r="3810" b="0"/>
            <wp:docPr id="10114290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50459" cy="6717600"/>
                    </a:xfrm>
                    <a:prstGeom prst="rect">
                      <a:avLst/>
                    </a:prstGeom>
                    <a:noFill/>
                    <a:ln>
                      <a:noFill/>
                    </a:ln>
                  </pic:spPr>
                </pic:pic>
              </a:graphicData>
            </a:graphic>
          </wp:inline>
        </w:drawing>
      </w:r>
    </w:p>
    <w:p w14:paraId="503171D0" w14:textId="5C3CFFFF" w:rsidR="7123392E" w:rsidRDefault="00C72676" w:rsidP="00B91E4B">
      <w:pPr>
        <w:jc w:val="both"/>
        <w:rPr>
          <w:rFonts w:ascii="Times New Roman" w:hAnsi="Times New Roman" w:cs="Times New Roman"/>
          <w:color w:val="000000" w:themeColor="text1"/>
          <w:sz w:val="20"/>
          <w:szCs w:val="20"/>
        </w:rPr>
      </w:pPr>
      <w:r w:rsidRPr="619BB693">
        <w:rPr>
          <w:rFonts w:ascii="Times New Roman" w:hAnsi="Times New Roman" w:cs="Times New Roman"/>
          <w:b/>
          <w:bCs/>
          <w:color w:val="000000" w:themeColor="text1"/>
          <w:sz w:val="20"/>
          <w:szCs w:val="20"/>
        </w:rPr>
        <w:t xml:space="preserve">Supplementary </w:t>
      </w:r>
      <w:r w:rsidR="00142FB6" w:rsidRPr="619BB693">
        <w:rPr>
          <w:rFonts w:ascii="Times New Roman" w:hAnsi="Times New Roman" w:cs="Times New Roman"/>
          <w:b/>
          <w:bCs/>
          <w:color w:val="000000" w:themeColor="text1"/>
          <w:sz w:val="20"/>
          <w:szCs w:val="20"/>
        </w:rPr>
        <w:t xml:space="preserve">Figure </w:t>
      </w:r>
      <w:r w:rsidR="00DD768F" w:rsidRPr="619BB693">
        <w:rPr>
          <w:rFonts w:ascii="Times New Roman" w:hAnsi="Times New Roman" w:cs="Times New Roman"/>
          <w:b/>
          <w:bCs/>
          <w:color w:val="000000" w:themeColor="text1"/>
          <w:sz w:val="20"/>
          <w:szCs w:val="20"/>
        </w:rPr>
        <w:t>4</w:t>
      </w:r>
      <w:r w:rsidR="00142FB6" w:rsidRPr="619BB693">
        <w:rPr>
          <w:rFonts w:ascii="Times New Roman" w:hAnsi="Times New Roman" w:cs="Times New Roman"/>
          <w:b/>
          <w:bCs/>
          <w:color w:val="000000" w:themeColor="text1"/>
          <w:sz w:val="20"/>
          <w:szCs w:val="20"/>
        </w:rPr>
        <w:t>:</w:t>
      </w:r>
      <w:r w:rsidR="0000100F" w:rsidRPr="619BB693">
        <w:rPr>
          <w:rFonts w:ascii="Times New Roman" w:hAnsi="Times New Roman" w:cs="Times New Roman"/>
          <w:b/>
          <w:bCs/>
          <w:color w:val="000000" w:themeColor="text1"/>
          <w:sz w:val="20"/>
          <w:szCs w:val="20"/>
        </w:rPr>
        <w:t xml:space="preserve"> </w:t>
      </w:r>
      <w:r w:rsidR="00A01819" w:rsidRPr="619BB693">
        <w:rPr>
          <w:rFonts w:ascii="Times New Roman" w:hAnsi="Times New Roman" w:cs="Times New Roman"/>
          <w:b/>
          <w:bCs/>
          <w:color w:val="000000" w:themeColor="text1"/>
          <w:sz w:val="20"/>
          <w:szCs w:val="20"/>
        </w:rPr>
        <w:t>AMR governance structure in Sierra Leone for AMR surveillance.</w:t>
      </w:r>
      <w:r w:rsidR="00A01819" w:rsidRPr="619BB693">
        <w:rPr>
          <w:rFonts w:ascii="Times New Roman" w:hAnsi="Times New Roman" w:cs="Times New Roman"/>
          <w:color w:val="000000" w:themeColor="text1"/>
          <w:sz w:val="20"/>
          <w:szCs w:val="20"/>
        </w:rPr>
        <w:t xml:space="preserve"> </w:t>
      </w:r>
      <w:r w:rsidR="00DE0679" w:rsidRPr="619BB693">
        <w:rPr>
          <w:rFonts w:ascii="Times New Roman" w:hAnsi="Times New Roman" w:cs="Times New Roman"/>
          <w:color w:val="000000" w:themeColor="text1"/>
          <w:sz w:val="20"/>
          <w:szCs w:val="20"/>
        </w:rPr>
        <w:t>Sierra Leone provided a separate document outlining the governance and legislation in Sierra Leone involving AMR (Kargbo and Van der Heijden, 2024). This document outlined the multisectoral coordination and legal framework, showing that Sierra Leone has an AMR Technical Working group embedded in the One Health Governance Structure to implement AMR activities. The One Health Interministerial Committee is the top governance organ and below is the One Health Coordinating Committee followed by the One health technical Committees consisting of 3 pillars, 1) Prevention (Immunization /Vaccination, Protection); 2) Detection (AMR TWG, Lab TWG, Surveillance TWG) and 3) Response (Emergency Operations Centre (EOC) (Prevention and Response (P&amp;R), Rapid Response team (RT)). The AMR TWG, which is under the detection pillar, is comprised of 3 sub-technical working groups focusing on Antimicrobial Stewardship, laboratory and surveillance, education and research.</w:t>
      </w:r>
    </w:p>
    <w:p w14:paraId="510EC63A" w14:textId="0532C60A" w:rsidR="00B8511A" w:rsidRDefault="713D4A59" w:rsidP="00B8511A">
      <w:pPr>
        <w:spacing w:line="257" w:lineRule="auto"/>
        <w:jc w:val="both"/>
        <w:rPr>
          <w:rFonts w:ascii="Times New Roman" w:eastAsia="Times New Roman" w:hAnsi="Times New Roman" w:cs="Times New Roman"/>
          <w:color w:val="000000" w:themeColor="text1"/>
          <w:sz w:val="20"/>
          <w:szCs w:val="20"/>
        </w:rPr>
      </w:pPr>
      <w:r w:rsidRPr="7F788D3D">
        <w:rPr>
          <w:rFonts w:ascii="Times New Roman" w:eastAsia="Times New Roman" w:hAnsi="Times New Roman" w:cs="Times New Roman"/>
          <w:b/>
          <w:bCs/>
          <w:color w:val="000000" w:themeColor="text1"/>
          <w:sz w:val="20"/>
          <w:szCs w:val="20"/>
        </w:rPr>
        <w:lastRenderedPageBreak/>
        <w:t xml:space="preserve">Supplementary Table 2. FAO Classification system for poultry production and selected sampling classifications for each country. </w:t>
      </w:r>
      <w:r w:rsidRPr="7F788D3D">
        <w:rPr>
          <w:rFonts w:ascii="Times New Roman" w:eastAsia="Times New Roman" w:hAnsi="Times New Roman" w:cs="Times New Roman"/>
          <w:color w:val="000000" w:themeColor="text1"/>
          <w:sz w:val="20"/>
          <w:szCs w:val="20"/>
        </w:rPr>
        <w:t>Green ticks indicate the FAO classification sectors selected for sampling in each country; blank boxes indicate sector not selected. Note, the green ticks in Sierra Leone only account for Layers.</w:t>
      </w:r>
    </w:p>
    <w:p w14:paraId="60642703" w14:textId="77777777" w:rsidR="0059726E" w:rsidRDefault="00B8511A" w:rsidP="00B8511A">
      <w:pPr>
        <w:spacing w:line="257"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noProof/>
          <w:color w:val="000000" w:themeColor="text1"/>
          <w:sz w:val="20"/>
          <w:szCs w:val="20"/>
        </w:rPr>
        <w:drawing>
          <wp:inline distT="0" distB="0" distL="0" distR="0" wp14:anchorId="6095E861" wp14:editId="44F08545">
            <wp:extent cx="5630901" cy="2412118"/>
            <wp:effectExtent l="0" t="0" r="8255" b="7620"/>
            <wp:docPr id="180239915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41408" cy="2416619"/>
                    </a:xfrm>
                    <a:prstGeom prst="rect">
                      <a:avLst/>
                    </a:prstGeom>
                    <a:noFill/>
                  </pic:spPr>
                </pic:pic>
              </a:graphicData>
            </a:graphic>
          </wp:inline>
        </w:drawing>
      </w:r>
    </w:p>
    <w:p w14:paraId="25A2DE9F" w14:textId="77777777" w:rsidR="0059726E" w:rsidRDefault="0059726E" w:rsidP="00B8511A">
      <w:pPr>
        <w:spacing w:line="257" w:lineRule="auto"/>
        <w:jc w:val="both"/>
        <w:rPr>
          <w:rFonts w:ascii="Times New Roman" w:eastAsia="Times New Roman" w:hAnsi="Times New Roman" w:cs="Times New Roman"/>
          <w:color w:val="000000" w:themeColor="text1"/>
          <w:sz w:val="20"/>
          <w:szCs w:val="20"/>
        </w:rPr>
      </w:pPr>
    </w:p>
    <w:p w14:paraId="15E1C599" w14:textId="7D3998AB" w:rsidR="713D4A59" w:rsidRPr="00B8511A" w:rsidRDefault="00B8511A" w:rsidP="00B8511A">
      <w:pPr>
        <w:spacing w:line="257" w:lineRule="auto"/>
        <w:jc w:val="both"/>
        <w:rPr>
          <w:rFonts w:ascii="Times New Roman" w:eastAsia="Times New Roman" w:hAnsi="Times New Roman" w:cs="Times New Roman"/>
          <w:color w:val="000000" w:themeColor="text1"/>
          <w:sz w:val="20"/>
          <w:szCs w:val="20"/>
        </w:rPr>
      </w:pPr>
      <w:r w:rsidRPr="00B8511A">
        <w:rPr>
          <w:noProof/>
        </w:rPr>
        <mc:AlternateContent>
          <mc:Choice Requires="wps">
            <w:drawing>
              <wp:anchor distT="0" distB="0" distL="114300" distR="114300" simplePos="0" relativeHeight="251663360" behindDoc="0" locked="0" layoutInCell="1" allowOverlap="1" wp14:anchorId="2230998C" wp14:editId="4D40D666">
                <wp:simplePos x="0" y="0"/>
                <wp:positionH relativeFrom="column">
                  <wp:posOffset>7373620</wp:posOffset>
                </wp:positionH>
                <wp:positionV relativeFrom="paragraph">
                  <wp:posOffset>616585</wp:posOffset>
                </wp:positionV>
                <wp:extent cx="421963" cy="296379"/>
                <wp:effectExtent l="0" t="0" r="0" b="8890"/>
                <wp:wrapNone/>
                <wp:docPr id="37" name="Graphic 1" descr="Checkmark with solid fill">
                  <a:extLst xmlns:a="http://schemas.openxmlformats.org/drawingml/2006/main">
                    <a:ext uri="{FF2B5EF4-FFF2-40B4-BE49-F238E27FC236}">
                      <a16:creationId xmlns:a16="http://schemas.microsoft.com/office/drawing/2014/main" id="{D04FE411-A3D9-924D-7092-3D9427F594BC}"/>
                    </a:ext>
                  </a:extLst>
                </wp:docPr>
                <wp:cNvGraphicFramePr/>
                <a:graphic xmlns:a="http://schemas.openxmlformats.org/drawingml/2006/main">
                  <a:graphicData uri="http://schemas.microsoft.com/office/word/2010/wordprocessingShape">
                    <wps:wsp>
                      <wps:cNvSpPr/>
                      <wps:spPr>
                        <a:xfrm>
                          <a:off x="0" y="0"/>
                          <a:ext cx="421963" cy="296379"/>
                        </a:xfrm>
                        <a:custGeom>
                          <a:avLst/>
                          <a:gdLst>
                            <a:gd name="csX0" fmla="*/ 384974 w 421963"/>
                            <a:gd name="csY0" fmla="*/ 0 h 296379"/>
                            <a:gd name="csX1" fmla="*/ 151158 w 421963"/>
                            <a:gd name="csY1" fmla="*/ 221029 h 296379"/>
                            <a:gd name="csX2" fmla="*/ 38817 w 421963"/>
                            <a:gd name="csY2" fmla="*/ 105948 h 296379"/>
                            <a:gd name="csX3" fmla="*/ 0 w 421963"/>
                            <a:gd name="csY3" fmla="*/ 142938 h 296379"/>
                            <a:gd name="csX4" fmla="*/ 149331 w 421963"/>
                            <a:gd name="csY4" fmla="*/ 296379 h 296379"/>
                            <a:gd name="csX5" fmla="*/ 188605 w 421963"/>
                            <a:gd name="csY5" fmla="*/ 259846 h 296379"/>
                            <a:gd name="csX6" fmla="*/ 421964 w 421963"/>
                            <a:gd name="csY6" fmla="*/ 38360 h 296379"/>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421963" h="296379">
                              <a:moveTo>
                                <a:pt x="384974" y="0"/>
                              </a:moveTo>
                              <a:lnTo>
                                <a:pt x="151158" y="221029"/>
                              </a:lnTo>
                              <a:lnTo>
                                <a:pt x="38817" y="105948"/>
                              </a:lnTo>
                              <a:lnTo>
                                <a:pt x="0" y="142938"/>
                              </a:lnTo>
                              <a:lnTo>
                                <a:pt x="149331" y="296379"/>
                              </a:lnTo>
                              <a:lnTo>
                                <a:pt x="188605" y="259846"/>
                              </a:lnTo>
                              <a:lnTo>
                                <a:pt x="421964" y="38360"/>
                              </a:lnTo>
                              <a:close/>
                            </a:path>
                          </a:pathLst>
                        </a:custGeom>
                        <a:solidFill>
                          <a:schemeClr val="accent6"/>
                        </a:solidFill>
                        <a:ln w="4564" cap="flat">
                          <a:noFill/>
                          <a:prstDash val="solid"/>
                          <a:miter/>
                        </a:ln>
                      </wps:spPr>
                      <wps:bodyPr/>
                    </wps:wsp>
                  </a:graphicData>
                </a:graphic>
              </wp:anchor>
            </w:drawing>
          </mc:Choice>
          <mc:Fallback>
            <w:pict>
              <v:shape w14:anchorId="34B93ADC" id="Graphic 1" o:spid="_x0000_s1026" alt="Checkmark with solid fill" style="position:absolute;margin-left:580.6pt;margin-top:48.55pt;width:33.25pt;height:23.35pt;z-index:251663360;visibility:visible;mso-wrap-style:square;mso-wrap-distance-left:9pt;mso-wrap-distance-top:0;mso-wrap-distance-right:9pt;mso-wrap-distance-bottom:0;mso-position-horizontal:absolute;mso-position-horizontal-relative:text;mso-position-vertical:absolute;mso-position-vertical-relative:text;v-text-anchor:top" coordsize="421963,296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" path="m384974,l151158,221029,38817,105948,,142938,149331,296379r39274,-36533l421964,38360,384974,xe" fillcolor="#4ea72e [3209]" stroked="f" strokeweight=".1268mm">
                <v:stroke joinstyle="miter"/>
                <v:path arrowok="t" o:connecttype="custom" o:connectlocs="384974,0;151158,221029;38817,105948;0,142938;149331,296379;188605,259846;421964,38360" o:connectangles="0,0,0,0,0,0,0"/>
              </v:shape>
            </w:pict>
          </mc:Fallback>
        </mc:AlternateContent>
      </w:r>
      <w:r w:rsidRPr="00B8511A">
        <w:rPr>
          <w:noProof/>
        </w:rPr>
        <mc:AlternateContent>
          <mc:Choice Requires="wps">
            <w:drawing>
              <wp:anchor distT="0" distB="0" distL="114300" distR="114300" simplePos="0" relativeHeight="251671552" behindDoc="0" locked="0" layoutInCell="1" allowOverlap="1" wp14:anchorId="43D18522" wp14:editId="31BC90EB">
                <wp:simplePos x="0" y="0"/>
                <wp:positionH relativeFrom="column">
                  <wp:posOffset>7395210</wp:posOffset>
                </wp:positionH>
                <wp:positionV relativeFrom="paragraph">
                  <wp:posOffset>1381125</wp:posOffset>
                </wp:positionV>
                <wp:extent cx="421963" cy="296379"/>
                <wp:effectExtent l="0" t="0" r="0" b="8890"/>
                <wp:wrapNone/>
                <wp:docPr id="45" name="Graphic 1" descr="Checkmark with solid fill">
                  <a:extLst xmlns:a="http://schemas.openxmlformats.org/drawingml/2006/main">
                    <a:ext uri="{FF2B5EF4-FFF2-40B4-BE49-F238E27FC236}">
                      <a16:creationId xmlns:a16="http://schemas.microsoft.com/office/drawing/2014/main" id="{67CE29E0-84B6-E398-D9F0-3F1A973F72F9}"/>
                    </a:ext>
                  </a:extLst>
                </wp:docPr>
                <wp:cNvGraphicFramePr/>
                <a:graphic xmlns:a="http://schemas.openxmlformats.org/drawingml/2006/main">
                  <a:graphicData uri="http://schemas.microsoft.com/office/word/2010/wordprocessingShape">
                    <wps:wsp>
                      <wps:cNvSpPr/>
                      <wps:spPr>
                        <a:xfrm>
                          <a:off x="0" y="0"/>
                          <a:ext cx="421963" cy="296379"/>
                        </a:xfrm>
                        <a:custGeom>
                          <a:avLst/>
                          <a:gdLst>
                            <a:gd name="csX0" fmla="*/ 384974 w 421963"/>
                            <a:gd name="csY0" fmla="*/ 0 h 296379"/>
                            <a:gd name="csX1" fmla="*/ 151158 w 421963"/>
                            <a:gd name="csY1" fmla="*/ 221029 h 296379"/>
                            <a:gd name="csX2" fmla="*/ 38817 w 421963"/>
                            <a:gd name="csY2" fmla="*/ 105948 h 296379"/>
                            <a:gd name="csX3" fmla="*/ 0 w 421963"/>
                            <a:gd name="csY3" fmla="*/ 142938 h 296379"/>
                            <a:gd name="csX4" fmla="*/ 149331 w 421963"/>
                            <a:gd name="csY4" fmla="*/ 296379 h 296379"/>
                            <a:gd name="csX5" fmla="*/ 188605 w 421963"/>
                            <a:gd name="csY5" fmla="*/ 259846 h 296379"/>
                            <a:gd name="csX6" fmla="*/ 421964 w 421963"/>
                            <a:gd name="csY6" fmla="*/ 38360 h 296379"/>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421963" h="296379">
                              <a:moveTo>
                                <a:pt x="384974" y="0"/>
                              </a:moveTo>
                              <a:lnTo>
                                <a:pt x="151158" y="221029"/>
                              </a:lnTo>
                              <a:lnTo>
                                <a:pt x="38817" y="105948"/>
                              </a:lnTo>
                              <a:lnTo>
                                <a:pt x="0" y="142938"/>
                              </a:lnTo>
                              <a:lnTo>
                                <a:pt x="149331" y="296379"/>
                              </a:lnTo>
                              <a:lnTo>
                                <a:pt x="188605" y="259846"/>
                              </a:lnTo>
                              <a:lnTo>
                                <a:pt x="421964" y="38360"/>
                              </a:lnTo>
                              <a:close/>
                            </a:path>
                          </a:pathLst>
                        </a:custGeom>
                        <a:solidFill>
                          <a:schemeClr val="accent6"/>
                        </a:solidFill>
                        <a:ln w="4564" cap="flat">
                          <a:noFill/>
                          <a:prstDash val="solid"/>
                          <a:miter/>
                        </a:ln>
                      </wps:spPr>
                      <wps:bodyPr/>
                    </wps:wsp>
                  </a:graphicData>
                </a:graphic>
              </wp:anchor>
            </w:drawing>
          </mc:Choice>
          <mc:Fallback>
            <w:pict>
              <v:shape w14:anchorId="5DF47390" id="Graphic 1" o:spid="_x0000_s1026" alt="Checkmark with solid fill" style="position:absolute;margin-left:582.3pt;margin-top:108.75pt;width:33.25pt;height:23.35pt;z-index:251671552;visibility:visible;mso-wrap-style:square;mso-wrap-distance-left:9pt;mso-wrap-distance-top:0;mso-wrap-distance-right:9pt;mso-wrap-distance-bottom:0;mso-position-horizontal:absolute;mso-position-horizontal-relative:text;mso-position-vertical:absolute;mso-position-vertical-relative:text;v-text-anchor:top" coordsize="421963,296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" path="m384974,l151158,221029,38817,105948,,142938,149331,296379r39274,-36533l421964,38360,384974,xe" fillcolor="#4ea72e [3209]" stroked="f" strokeweight=".1268mm">
                <v:stroke joinstyle="miter"/>
                <v:path arrowok="t" o:connecttype="custom" o:connectlocs="384974,0;151158,221029;38817,105948;0,142938;149331,296379;188605,259846;421964,38360" o:connectangles="0,0,0,0,0,0,0"/>
              </v:shape>
            </w:pict>
          </mc:Fallback>
        </mc:AlternateContent>
      </w:r>
      <w:r w:rsidRPr="00B8511A">
        <w:rPr>
          <w:noProof/>
        </w:rPr>
        <mc:AlternateContent>
          <mc:Choice Requires="wps">
            <w:drawing>
              <wp:anchor distT="0" distB="0" distL="114300" distR="114300" simplePos="0" relativeHeight="251672576" behindDoc="0" locked="0" layoutInCell="1" allowOverlap="1" wp14:anchorId="459630B2" wp14:editId="2DD6F202">
                <wp:simplePos x="0" y="0"/>
                <wp:positionH relativeFrom="column">
                  <wp:posOffset>7395210</wp:posOffset>
                </wp:positionH>
                <wp:positionV relativeFrom="paragraph">
                  <wp:posOffset>2145665</wp:posOffset>
                </wp:positionV>
                <wp:extent cx="421963" cy="296379"/>
                <wp:effectExtent l="0" t="0" r="0" b="8890"/>
                <wp:wrapNone/>
                <wp:docPr id="46" name="Graphic 1" descr="Checkmark with solid fill">
                  <a:extLst xmlns:a="http://schemas.openxmlformats.org/drawingml/2006/main">
                    <a:ext uri="{FF2B5EF4-FFF2-40B4-BE49-F238E27FC236}">
                      <a16:creationId xmlns:a16="http://schemas.microsoft.com/office/drawing/2014/main" id="{7F12143C-F489-40F1-C0E3-6CCCE06205BD}"/>
                    </a:ext>
                  </a:extLst>
                </wp:docPr>
                <wp:cNvGraphicFramePr/>
                <a:graphic xmlns:a="http://schemas.openxmlformats.org/drawingml/2006/main">
                  <a:graphicData uri="http://schemas.microsoft.com/office/word/2010/wordprocessingShape">
                    <wps:wsp>
                      <wps:cNvSpPr/>
                      <wps:spPr>
                        <a:xfrm>
                          <a:off x="0" y="0"/>
                          <a:ext cx="421963" cy="296379"/>
                        </a:xfrm>
                        <a:custGeom>
                          <a:avLst/>
                          <a:gdLst>
                            <a:gd name="csX0" fmla="*/ 384974 w 421963"/>
                            <a:gd name="csY0" fmla="*/ 0 h 296379"/>
                            <a:gd name="csX1" fmla="*/ 151158 w 421963"/>
                            <a:gd name="csY1" fmla="*/ 221029 h 296379"/>
                            <a:gd name="csX2" fmla="*/ 38817 w 421963"/>
                            <a:gd name="csY2" fmla="*/ 105948 h 296379"/>
                            <a:gd name="csX3" fmla="*/ 0 w 421963"/>
                            <a:gd name="csY3" fmla="*/ 142938 h 296379"/>
                            <a:gd name="csX4" fmla="*/ 149331 w 421963"/>
                            <a:gd name="csY4" fmla="*/ 296379 h 296379"/>
                            <a:gd name="csX5" fmla="*/ 188605 w 421963"/>
                            <a:gd name="csY5" fmla="*/ 259846 h 296379"/>
                            <a:gd name="csX6" fmla="*/ 421964 w 421963"/>
                            <a:gd name="csY6" fmla="*/ 38360 h 296379"/>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421963" h="296379">
                              <a:moveTo>
                                <a:pt x="384974" y="0"/>
                              </a:moveTo>
                              <a:lnTo>
                                <a:pt x="151158" y="221029"/>
                              </a:lnTo>
                              <a:lnTo>
                                <a:pt x="38817" y="105948"/>
                              </a:lnTo>
                              <a:lnTo>
                                <a:pt x="0" y="142938"/>
                              </a:lnTo>
                              <a:lnTo>
                                <a:pt x="149331" y="296379"/>
                              </a:lnTo>
                              <a:lnTo>
                                <a:pt x="188605" y="259846"/>
                              </a:lnTo>
                              <a:lnTo>
                                <a:pt x="421964" y="38360"/>
                              </a:lnTo>
                              <a:close/>
                            </a:path>
                          </a:pathLst>
                        </a:custGeom>
                        <a:solidFill>
                          <a:schemeClr val="accent6"/>
                        </a:solidFill>
                        <a:ln w="4564" cap="flat">
                          <a:noFill/>
                          <a:prstDash val="solid"/>
                          <a:miter/>
                        </a:ln>
                      </wps:spPr>
                      <wps:bodyPr/>
                    </wps:wsp>
                  </a:graphicData>
                </a:graphic>
              </wp:anchor>
            </w:drawing>
          </mc:Choice>
          <mc:Fallback>
            <w:pict>
              <v:shape w14:anchorId="5CFABE49" id="Graphic 1" o:spid="_x0000_s1026" alt="Checkmark with solid fill" style="position:absolute;margin-left:582.3pt;margin-top:168.95pt;width:33.25pt;height:23.35pt;z-index:251672576;visibility:visible;mso-wrap-style:square;mso-wrap-distance-left:9pt;mso-wrap-distance-top:0;mso-wrap-distance-right:9pt;mso-wrap-distance-bottom:0;mso-position-horizontal:absolute;mso-position-horizontal-relative:text;mso-position-vertical:absolute;mso-position-vertical-relative:text;v-text-anchor:top" coordsize="421963,296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" path="m384974,l151158,221029,38817,105948,,142938,149331,296379r39274,-36533l421964,38360,384974,xe" fillcolor="#4ea72e [3209]" stroked="f" strokeweight=".1268mm">
                <v:stroke joinstyle="miter"/>
                <v:path arrowok="t" o:connecttype="custom" o:connectlocs="384974,0;151158,221029;38817,105948;0,142938;149331,296379;188605,259846;421964,38360" o:connectangles="0,0,0,0,0,0,0"/>
              </v:shape>
            </w:pict>
          </mc:Fallback>
        </mc:AlternateContent>
      </w:r>
    </w:p>
    <w:sectPr w:rsidR="713D4A59" w:rsidRPr="00B851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7E7"/>
    <w:rsid w:val="0000100F"/>
    <w:rsid w:val="00016023"/>
    <w:rsid w:val="00022462"/>
    <w:rsid w:val="00037936"/>
    <w:rsid w:val="000653FD"/>
    <w:rsid w:val="00073285"/>
    <w:rsid w:val="00090611"/>
    <w:rsid w:val="000B6789"/>
    <w:rsid w:val="000D2830"/>
    <w:rsid w:val="000D3869"/>
    <w:rsid w:val="000E323B"/>
    <w:rsid w:val="000E5601"/>
    <w:rsid w:val="000F7AF1"/>
    <w:rsid w:val="00120B87"/>
    <w:rsid w:val="00131A90"/>
    <w:rsid w:val="001339BE"/>
    <w:rsid w:val="00142FB6"/>
    <w:rsid w:val="0015184B"/>
    <w:rsid w:val="001629AE"/>
    <w:rsid w:val="00182B36"/>
    <w:rsid w:val="001F17A4"/>
    <w:rsid w:val="001F180A"/>
    <w:rsid w:val="0020510C"/>
    <w:rsid w:val="00222DFA"/>
    <w:rsid w:val="002232E9"/>
    <w:rsid w:val="00247DB0"/>
    <w:rsid w:val="00260D04"/>
    <w:rsid w:val="002B0EF8"/>
    <w:rsid w:val="002B6854"/>
    <w:rsid w:val="002E38B1"/>
    <w:rsid w:val="002E7A1E"/>
    <w:rsid w:val="003049E1"/>
    <w:rsid w:val="00307B2C"/>
    <w:rsid w:val="003262BE"/>
    <w:rsid w:val="00330FCF"/>
    <w:rsid w:val="003328A5"/>
    <w:rsid w:val="00350939"/>
    <w:rsid w:val="003603C4"/>
    <w:rsid w:val="00395FEA"/>
    <w:rsid w:val="003A68EC"/>
    <w:rsid w:val="003D5475"/>
    <w:rsid w:val="003E1E69"/>
    <w:rsid w:val="003E773A"/>
    <w:rsid w:val="003F7B00"/>
    <w:rsid w:val="004214E4"/>
    <w:rsid w:val="004346A8"/>
    <w:rsid w:val="004608A7"/>
    <w:rsid w:val="004675B6"/>
    <w:rsid w:val="0048777E"/>
    <w:rsid w:val="0049241D"/>
    <w:rsid w:val="004C29D0"/>
    <w:rsid w:val="004F0B8D"/>
    <w:rsid w:val="004F6F2A"/>
    <w:rsid w:val="0050244D"/>
    <w:rsid w:val="00510363"/>
    <w:rsid w:val="0052570A"/>
    <w:rsid w:val="0059726E"/>
    <w:rsid w:val="005A611E"/>
    <w:rsid w:val="005B542A"/>
    <w:rsid w:val="005B75A9"/>
    <w:rsid w:val="005D79E3"/>
    <w:rsid w:val="005E5D7D"/>
    <w:rsid w:val="005E6BF6"/>
    <w:rsid w:val="00611535"/>
    <w:rsid w:val="00622A51"/>
    <w:rsid w:val="006240F8"/>
    <w:rsid w:val="00657A4A"/>
    <w:rsid w:val="00675F99"/>
    <w:rsid w:val="0068000E"/>
    <w:rsid w:val="0068200A"/>
    <w:rsid w:val="006A77D2"/>
    <w:rsid w:val="006A7F96"/>
    <w:rsid w:val="006B67F9"/>
    <w:rsid w:val="006C56A2"/>
    <w:rsid w:val="006F510A"/>
    <w:rsid w:val="00704992"/>
    <w:rsid w:val="00782836"/>
    <w:rsid w:val="007925EB"/>
    <w:rsid w:val="007C1235"/>
    <w:rsid w:val="007C34BC"/>
    <w:rsid w:val="007D21F7"/>
    <w:rsid w:val="007D540E"/>
    <w:rsid w:val="007F6CB6"/>
    <w:rsid w:val="00827E75"/>
    <w:rsid w:val="008866F2"/>
    <w:rsid w:val="00886878"/>
    <w:rsid w:val="00891218"/>
    <w:rsid w:val="008A4C63"/>
    <w:rsid w:val="009121E5"/>
    <w:rsid w:val="00953B70"/>
    <w:rsid w:val="00972163"/>
    <w:rsid w:val="009A7C8F"/>
    <w:rsid w:val="009B77E7"/>
    <w:rsid w:val="009C268F"/>
    <w:rsid w:val="009D2E3F"/>
    <w:rsid w:val="009D3DD3"/>
    <w:rsid w:val="009D4884"/>
    <w:rsid w:val="009D5235"/>
    <w:rsid w:val="009E237A"/>
    <w:rsid w:val="00A01819"/>
    <w:rsid w:val="00A16CD7"/>
    <w:rsid w:val="00A53429"/>
    <w:rsid w:val="00A638AE"/>
    <w:rsid w:val="00AA2157"/>
    <w:rsid w:val="00AD48D5"/>
    <w:rsid w:val="00B10193"/>
    <w:rsid w:val="00B24D14"/>
    <w:rsid w:val="00B50BCC"/>
    <w:rsid w:val="00B511BF"/>
    <w:rsid w:val="00B51569"/>
    <w:rsid w:val="00B55D1D"/>
    <w:rsid w:val="00B56679"/>
    <w:rsid w:val="00B8511A"/>
    <w:rsid w:val="00B91E4B"/>
    <w:rsid w:val="00BA4188"/>
    <w:rsid w:val="00BE5D3E"/>
    <w:rsid w:val="00BF4005"/>
    <w:rsid w:val="00C00B71"/>
    <w:rsid w:val="00C03CF0"/>
    <w:rsid w:val="00C43902"/>
    <w:rsid w:val="00C65E32"/>
    <w:rsid w:val="00C71C3F"/>
    <w:rsid w:val="00C72676"/>
    <w:rsid w:val="00CA45E8"/>
    <w:rsid w:val="00CA74E7"/>
    <w:rsid w:val="00CB1C2C"/>
    <w:rsid w:val="00CB4CDD"/>
    <w:rsid w:val="00CB5EBC"/>
    <w:rsid w:val="00D02F9C"/>
    <w:rsid w:val="00D15CD3"/>
    <w:rsid w:val="00D225A5"/>
    <w:rsid w:val="00D33912"/>
    <w:rsid w:val="00D52BB7"/>
    <w:rsid w:val="00D613AF"/>
    <w:rsid w:val="00D76E45"/>
    <w:rsid w:val="00D874C0"/>
    <w:rsid w:val="00D915D4"/>
    <w:rsid w:val="00DD768F"/>
    <w:rsid w:val="00DE0679"/>
    <w:rsid w:val="00E152DF"/>
    <w:rsid w:val="00E171D0"/>
    <w:rsid w:val="00E54D7C"/>
    <w:rsid w:val="00E55711"/>
    <w:rsid w:val="00E64609"/>
    <w:rsid w:val="00E815D3"/>
    <w:rsid w:val="00E870E1"/>
    <w:rsid w:val="00ED5540"/>
    <w:rsid w:val="00F26148"/>
    <w:rsid w:val="00F66385"/>
    <w:rsid w:val="014F40DE"/>
    <w:rsid w:val="061BC035"/>
    <w:rsid w:val="12067FDD"/>
    <w:rsid w:val="13D2553F"/>
    <w:rsid w:val="24687C1A"/>
    <w:rsid w:val="24A0065F"/>
    <w:rsid w:val="24FA8AD3"/>
    <w:rsid w:val="29833D5F"/>
    <w:rsid w:val="300E540A"/>
    <w:rsid w:val="3147B549"/>
    <w:rsid w:val="448CAEDA"/>
    <w:rsid w:val="468810F9"/>
    <w:rsid w:val="4A61E03D"/>
    <w:rsid w:val="4E17923A"/>
    <w:rsid w:val="50EB786D"/>
    <w:rsid w:val="5839AC6F"/>
    <w:rsid w:val="5AA82F70"/>
    <w:rsid w:val="5C18701F"/>
    <w:rsid w:val="60ACB682"/>
    <w:rsid w:val="619BB693"/>
    <w:rsid w:val="6226CB39"/>
    <w:rsid w:val="673F6997"/>
    <w:rsid w:val="6A30E5E4"/>
    <w:rsid w:val="6C2C9F50"/>
    <w:rsid w:val="7123392E"/>
    <w:rsid w:val="713D4A59"/>
    <w:rsid w:val="743102C2"/>
    <w:rsid w:val="77848CD3"/>
    <w:rsid w:val="7F788D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7F6C8"/>
  <w15:chartTrackingRefBased/>
  <w15:docId w15:val="{4FF6B94E-6ED5-4B99-A2EF-445250F5F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77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77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77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77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77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77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77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77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77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77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77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77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77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77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77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77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77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77E7"/>
    <w:rPr>
      <w:rFonts w:eastAsiaTheme="majorEastAsia" w:cstheme="majorBidi"/>
      <w:color w:val="272727" w:themeColor="text1" w:themeTint="D8"/>
    </w:rPr>
  </w:style>
  <w:style w:type="paragraph" w:styleId="Title">
    <w:name w:val="Title"/>
    <w:basedOn w:val="Normal"/>
    <w:next w:val="Normal"/>
    <w:link w:val="TitleChar"/>
    <w:uiPriority w:val="10"/>
    <w:qFormat/>
    <w:rsid w:val="009B77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77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77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77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77E7"/>
    <w:pPr>
      <w:spacing w:before="160"/>
      <w:jc w:val="center"/>
    </w:pPr>
    <w:rPr>
      <w:i/>
      <w:iCs/>
      <w:color w:val="404040" w:themeColor="text1" w:themeTint="BF"/>
    </w:rPr>
  </w:style>
  <w:style w:type="character" w:customStyle="1" w:styleId="QuoteChar">
    <w:name w:val="Quote Char"/>
    <w:basedOn w:val="DefaultParagraphFont"/>
    <w:link w:val="Quote"/>
    <w:uiPriority w:val="29"/>
    <w:rsid w:val="009B77E7"/>
    <w:rPr>
      <w:i/>
      <w:iCs/>
      <w:color w:val="404040" w:themeColor="text1" w:themeTint="BF"/>
    </w:rPr>
  </w:style>
  <w:style w:type="paragraph" w:styleId="ListParagraph">
    <w:name w:val="List Paragraph"/>
    <w:basedOn w:val="Normal"/>
    <w:uiPriority w:val="34"/>
    <w:qFormat/>
    <w:rsid w:val="009B77E7"/>
    <w:pPr>
      <w:ind w:left="720"/>
      <w:contextualSpacing/>
    </w:pPr>
  </w:style>
  <w:style w:type="character" w:styleId="IntenseEmphasis">
    <w:name w:val="Intense Emphasis"/>
    <w:basedOn w:val="DefaultParagraphFont"/>
    <w:uiPriority w:val="21"/>
    <w:qFormat/>
    <w:rsid w:val="009B77E7"/>
    <w:rPr>
      <w:i/>
      <w:iCs/>
      <w:color w:val="0F4761" w:themeColor="accent1" w:themeShade="BF"/>
    </w:rPr>
  </w:style>
  <w:style w:type="paragraph" w:styleId="IntenseQuote">
    <w:name w:val="Intense Quote"/>
    <w:basedOn w:val="Normal"/>
    <w:next w:val="Normal"/>
    <w:link w:val="IntenseQuoteChar"/>
    <w:uiPriority w:val="30"/>
    <w:qFormat/>
    <w:rsid w:val="009B77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77E7"/>
    <w:rPr>
      <w:i/>
      <w:iCs/>
      <w:color w:val="0F4761" w:themeColor="accent1" w:themeShade="BF"/>
    </w:rPr>
  </w:style>
  <w:style w:type="character" w:styleId="IntenseReference">
    <w:name w:val="Intense Reference"/>
    <w:basedOn w:val="DefaultParagraphFont"/>
    <w:uiPriority w:val="32"/>
    <w:qFormat/>
    <w:rsid w:val="009B77E7"/>
    <w:rPr>
      <w:b/>
      <w:bCs/>
      <w:smallCaps/>
      <w:color w:val="0F4761" w:themeColor="accent1" w:themeShade="BF"/>
      <w:spacing w:val="5"/>
    </w:rPr>
  </w:style>
  <w:style w:type="paragraph" w:styleId="Caption">
    <w:name w:val="caption"/>
    <w:basedOn w:val="Normal"/>
    <w:next w:val="Normal"/>
    <w:uiPriority w:val="35"/>
    <w:unhideWhenUsed/>
    <w:qFormat/>
    <w:rsid w:val="009B77E7"/>
    <w:pPr>
      <w:spacing w:after="200" w:line="240" w:lineRule="auto"/>
    </w:pPr>
    <w:rPr>
      <w:i/>
      <w:iCs/>
      <w:color w:val="0E2841" w:themeColor="text2"/>
      <w:sz w:val="18"/>
      <w:szCs w:val="18"/>
    </w:rPr>
  </w:style>
  <w:style w:type="character" w:styleId="Hyperlink">
    <w:name w:val="Hyperlink"/>
    <w:basedOn w:val="DefaultParagraphFont"/>
    <w:uiPriority w:val="99"/>
    <w:unhideWhenUsed/>
    <w:rsid w:val="009D3DD3"/>
    <w:rPr>
      <w:color w:val="467886" w:themeColor="hyperlink"/>
      <w:u w:val="single"/>
    </w:rPr>
  </w:style>
  <w:style w:type="character" w:styleId="UnresolvedMention">
    <w:name w:val="Unresolved Mention"/>
    <w:basedOn w:val="DefaultParagraphFont"/>
    <w:uiPriority w:val="99"/>
    <w:semiHidden/>
    <w:unhideWhenUsed/>
    <w:rsid w:val="009D3DD3"/>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82836"/>
    <w:rPr>
      <w:b/>
      <w:bCs/>
    </w:rPr>
  </w:style>
  <w:style w:type="character" w:customStyle="1" w:styleId="CommentSubjectChar">
    <w:name w:val="Comment Subject Char"/>
    <w:basedOn w:val="CommentTextChar"/>
    <w:link w:val="CommentSubject"/>
    <w:uiPriority w:val="99"/>
    <w:semiHidden/>
    <w:rsid w:val="0078283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0"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059efb2-4119-4840-80d0-5d9a65e004ef">
      <Terms xmlns="http://schemas.microsoft.com/office/infopath/2007/PartnerControls"/>
    </lcf76f155ced4ddcb4097134ff3c332f>
    <_ip_UnifiedCompliancePolicyProperties xmlns="http://schemas.microsoft.com/sharepoint/v3" xsi:nil="true"/>
    <TaxCatchAll xmlns="39a6e972-6c9c-4dcb-bf46-634d28efdfe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93252604F02164AAEB72E30E76F00B6" ma:contentTypeVersion="17" ma:contentTypeDescription="Create a new document." ma:contentTypeScope="" ma:versionID="d19731a96961540571d3e05c1a32a88f">
  <xsd:schema xmlns:xsd="http://www.w3.org/2001/XMLSchema" xmlns:xs="http://www.w3.org/2001/XMLSchema" xmlns:p="http://schemas.microsoft.com/office/2006/metadata/properties" xmlns:ns1="http://schemas.microsoft.com/sharepoint/v3" xmlns:ns2="9059efb2-4119-4840-80d0-5d9a65e004ef" xmlns:ns3="39a6e972-6c9c-4dcb-bf46-634d28efdfe0" targetNamespace="http://schemas.microsoft.com/office/2006/metadata/properties" ma:root="true" ma:fieldsID="53dc3a4a5a106fc3483ef150fc964893" ns1:_="" ns2:_="" ns3:_="">
    <xsd:import namespace="http://schemas.microsoft.com/sharepoint/v3"/>
    <xsd:import namespace="9059efb2-4119-4840-80d0-5d9a65e004ef"/>
    <xsd:import namespace="39a6e972-6c9c-4dcb-bf46-634d28efdf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59efb2-4119-4840-80d0-5d9a65e004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da48596-e6e1-413c-8f4e-2bb605fbdfb8"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a6e972-6c9c-4dcb-bf46-634d28efdfe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c08c008c-7acd-4bd5-93ae-7cae3bed7606}" ma:internalName="TaxCatchAll" ma:showField="CatchAllData" ma:web="39a6e972-6c9c-4dcb-bf46-634d28efdf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A6569D-3F63-4B92-A3AA-E13F743365D8}">
  <ds:schemaRefs>
    <ds:schemaRef ds:uri="http://schemas.microsoft.com/sharepoint/v3/contenttype/forms"/>
  </ds:schemaRefs>
</ds:datastoreItem>
</file>

<file path=customXml/itemProps2.xml><?xml version="1.0" encoding="utf-8"?>
<ds:datastoreItem xmlns:ds="http://schemas.openxmlformats.org/officeDocument/2006/customXml" ds:itemID="{B2EA630C-19C7-4231-AF9F-0ACB7B8A6DFD}">
  <ds:schemaRefs>
    <ds:schemaRef ds:uri="http://schemas.microsoft.com/office/2006/metadata/properties"/>
    <ds:schemaRef ds:uri="http://schemas.microsoft.com/office/infopath/2007/PartnerControls"/>
    <ds:schemaRef ds:uri="http://schemas.microsoft.com/sharepoint/v3"/>
    <ds:schemaRef ds:uri="9059efb2-4119-4840-80d0-5d9a65e004ef"/>
    <ds:schemaRef ds:uri="39a6e972-6c9c-4dcb-bf46-634d28efdfe0"/>
  </ds:schemaRefs>
</ds:datastoreItem>
</file>

<file path=customXml/itemProps3.xml><?xml version="1.0" encoding="utf-8"?>
<ds:datastoreItem xmlns:ds="http://schemas.openxmlformats.org/officeDocument/2006/customXml" ds:itemID="{F39316E7-6329-4D14-9FC3-AF2134F6F3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59efb2-4119-4840-80d0-5d9a65e004ef"/>
    <ds:schemaRef ds:uri="39a6e972-6c9c-4dcb-bf46-634d28efdf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469</Words>
  <Characters>2678</Characters>
  <Application>Microsoft Office Word</Application>
  <DocSecurity>0</DocSecurity>
  <Lines>22</Lines>
  <Paragraphs>6</Paragraphs>
  <ScaleCrop>false</ScaleCrop>
  <Company>Defra</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Conway, Jazmin</dc:creator>
  <cp:keywords/>
  <dc:description/>
  <cp:lastModifiedBy>Athina Papadopoulou (Cefas)</cp:lastModifiedBy>
  <cp:revision>5</cp:revision>
  <dcterms:created xsi:type="dcterms:W3CDTF">2026-08-12T11:46:00Z</dcterms:created>
  <dcterms:modified xsi:type="dcterms:W3CDTF">2026-08-12T11:48:00Z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0x010100993252604F02164AAEB72E30E76F00B6</vt:lpwstr>
  </property>
  <property fmtid="{D5CDD505-2E9C-101B-9397-08002B2CF9AE}" pid="3" name="MediaServiceImageTags">
    <vt:lpwstr/>
  </property>
  <property fmtid="{D5CDD505-2E9C-101B-9397-08002B2CF9AE}" pid="4" name="docLang">
    <vt:lpwstr>en</vt:lpwstr>
  </property>
</Properties>
</file>