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b/>
        </w:rPr>
        <w:t>Additional file 1</w:t>
      </w:r>
    </w:p>
    <w:p>
      <w:pPr>
        <w:pStyle w:val="Subtitle"/>
      </w:pPr>
      <w:r>
        <w:t>Supplementary methodological detail, verified exploratory results and early-stage concept hypotheses</w:t>
      </w:r>
    </w:p>
    <w:p>
      <w:r>
        <w:t>Manuscript title: Economic and livelihood conditions of women community health workers in Ethiopia: implications for workforce sustainability—a mixed-methods study</w:t>
      </w:r>
    </w:p>
    <w:p>
      <w:r>
        <w:t>This file supports the main manuscript without repeating its principal results. It contains methodological detail, sampling information, exploratory PSNP findings and HCD-informed hypotheses. No participant-level data are included. Profiles and product concepts are interpretive or early-stage and must not be treated as validated classifications or tested interventions.</w:t>
      </w:r>
    </w:p>
    <w:p>
      <w:pPr>
        <w:pStyle w:val="Heading2"/>
      </w:pPr>
      <w:r>
        <w:t>Supplementary Table S1. Study populations and analytical treatment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rPr>
          <w:tblHeader w:val="true"/>
        </w:trPr>
        <w:tc>
          <w:tcPr>
            <w:tcW w:type="dxa" w:w="1944"/>
            <w:vAlign w:val="center"/>
          </w:tcPr>
          <w:p>
            <w:r>
              <w:rPr>
                <w:b/>
                <w:sz w:val="17"/>
              </w:rPr>
              <w:t>Group</w:t>
            </w:r>
          </w:p>
        </w:tc>
        <w:tc>
          <w:tcPr>
            <w:tcW w:type="dxa" w:w="2160"/>
            <w:vAlign w:val="center"/>
          </w:tcPr>
          <w:p>
            <w:r>
              <w:rPr>
                <w:b/>
                <w:sz w:val="17"/>
              </w:rPr>
              <w:t>Status</w:t>
            </w:r>
          </w:p>
        </w:tc>
        <w:tc>
          <w:tcPr>
            <w:tcW w:type="dxa" w:w="2520"/>
            <w:vAlign w:val="center"/>
          </w:tcPr>
          <w:p>
            <w:r>
              <w:rPr>
                <w:b/>
                <w:sz w:val="17"/>
              </w:rPr>
              <w:t>Study role</w:t>
            </w:r>
          </w:p>
        </w:tc>
        <w:tc>
          <w:tcPr>
            <w:tcW w:type="dxa" w:w="2736"/>
            <w:vAlign w:val="center"/>
          </w:tcPr>
          <w:p>
            <w:r>
              <w:rPr>
                <w:b/>
                <w:sz w:val="17"/>
              </w:rPr>
              <w:t>Analytical treatment</w:t>
            </w:r>
          </w:p>
        </w:tc>
      </w:tr>
      <w:tr>
        <w:tc>
          <w:tcPr>
            <w:tcW w:type="dxa" w:w="194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Health Extension Workers</w:t>
            </w:r>
          </w:p>
        </w:tc>
        <w:tc>
          <w:tcPr>
            <w:tcW w:type="dxa" w:w="21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Salaried frontline workers</w:t>
            </w:r>
          </w:p>
        </w:tc>
        <w:tc>
          <w:tcPr>
            <w:tcW w:type="dxa" w:w="252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Formal community-level workers linked to health posts</w:t>
            </w:r>
          </w:p>
        </w:tc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Described separately where applicable</w:t>
            </w:r>
          </w:p>
        </w:tc>
      </w:tr>
      <w:tr>
        <w:tc>
          <w:tcPr>
            <w:tcW w:type="dxa" w:w="194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WCHWs and village health leaders</w:t>
            </w:r>
          </w:p>
        </w:tc>
        <w:tc>
          <w:tcPr>
            <w:tcW w:type="dxa" w:w="21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Primarily volunteer or minimally compensated</w:t>
            </w:r>
          </w:p>
        </w:tc>
        <w:tc>
          <w:tcPr>
            <w:tcW w:type="dxa" w:w="252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Outreach, mobilisation, education, follow-up and linkage</w:t>
            </w:r>
          </w:p>
        </w:tc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Primary WCHW analytic population</w:t>
            </w:r>
          </w:p>
        </w:tc>
      </w:tr>
      <w:tr>
        <w:tc>
          <w:tcPr>
            <w:tcW w:type="dxa" w:w="194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Women Development Army/Union actors</w:t>
            </w:r>
          </w:p>
        </w:tc>
        <w:tc>
          <w:tcPr>
            <w:tcW w:type="dxa" w:w="21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Volunteer/community-platform roles</w:t>
            </w:r>
          </w:p>
        </w:tc>
        <w:tc>
          <w:tcPr>
            <w:tcW w:type="dxa" w:w="252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Community mobilisation and peer influence</w:t>
            </w:r>
          </w:p>
        </w:tc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Included where functionally equivalent in the dataset</w:t>
            </w:r>
          </w:p>
        </w:tc>
      </w:tr>
      <w:tr>
        <w:tc>
          <w:tcPr>
            <w:tcW w:type="dxa" w:w="194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Women PSNP graduates</w:t>
            </w:r>
          </w:p>
        </w:tc>
        <w:tc>
          <w:tcPr>
            <w:tcW w:type="dxa" w:w="21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Former social-protection participants; not necessarily CHWs</w:t>
            </w:r>
          </w:p>
        </w:tc>
        <w:tc>
          <w:tcPr>
            <w:tcW w:type="dxa" w:w="252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Exploratory livelihood comparison</w:t>
            </w:r>
          </w:p>
        </w:tc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Analysed separately; not generalised to all graduates</w:t>
            </w:r>
          </w:p>
        </w:tc>
      </w:tr>
      <w:tr>
        <w:tc>
          <w:tcPr>
            <w:tcW w:type="dxa" w:w="194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Entrepreneurs and ecosystem stakeholders</w:t>
            </w:r>
          </w:p>
        </w:tc>
        <w:tc>
          <w:tcPr>
            <w:tcW w:type="dxa" w:w="21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Not CHWs</w:t>
            </w:r>
          </w:p>
        </w:tc>
        <w:tc>
          <w:tcPr>
            <w:tcW w:type="dxa" w:w="252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Household, market, finance, government and community perspectives</w:t>
            </w:r>
          </w:p>
        </w:tc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Qualitative contextual evidence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i/>
          <w:sz w:val="18"/>
        </w:rPr>
        <w:t>CHW, community health worker; PSNP, Productive Safety Net Program; WCHW, women community health worker.</w:t>
      </w:r>
    </w:p>
    <w:p>
      <w:pPr>
        <w:pStyle w:val="Heading2"/>
      </w:pPr>
      <w:r>
        <w:t>Supplementary Table S2. Qualitative materials reviewed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rPr>
          <w:tblHeader w:val="true"/>
        </w:trPr>
        <w:tc>
          <w:tcPr>
            <w:tcW w:type="dxa" w:w="1440"/>
            <w:vAlign w:val="center"/>
          </w:tcPr>
          <w:p>
            <w:r>
              <w:rPr>
                <w:b/>
                <w:sz w:val="17"/>
              </w:rPr>
              <w:t>Region</w:t>
            </w:r>
          </w:p>
        </w:tc>
        <w:tc>
          <w:tcPr>
            <w:tcW w:type="dxa" w:w="1008"/>
            <w:vAlign w:val="center"/>
          </w:tcPr>
          <w:p>
            <w:r>
              <w:rPr>
                <w:b/>
                <w:sz w:val="17"/>
              </w:rPr>
              <w:t>FGD</w:t>
            </w:r>
          </w:p>
        </w:tc>
        <w:tc>
          <w:tcPr>
            <w:tcW w:type="dxa" w:w="1152"/>
            <w:vAlign w:val="center"/>
          </w:tcPr>
          <w:p>
            <w:r>
              <w:rPr>
                <w:b/>
                <w:sz w:val="17"/>
              </w:rPr>
              <w:t>IDI/KII</w:t>
            </w:r>
          </w:p>
        </w:tc>
        <w:tc>
          <w:tcPr>
            <w:tcW w:type="dxa" w:w="5760"/>
            <w:vAlign w:val="center"/>
          </w:tcPr>
          <w:p>
            <w:r>
              <w:rPr>
                <w:b/>
                <w:sz w:val="17"/>
              </w:rPr>
              <w:t>Participant groups represented</w:t>
            </w:r>
          </w:p>
        </w:tc>
      </w:tr>
      <w:tr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Amhara</w:t>
            </w:r>
          </w:p>
        </w:tc>
        <w:tc>
          <w:tcPr>
            <w:tcW w:type="dxa" w:w="100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57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Business owners; PSNP graduates; WDA/WCHWs; HEWs; officials; SACCO; labour office; religious leader; spouse</w:t>
            </w:r>
          </w:p>
        </w:tc>
      </w:tr>
      <w:tr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Oromia</w:t>
            </w:r>
          </w:p>
        </w:tc>
        <w:tc>
          <w:tcPr>
            <w:tcW w:type="dxa" w:w="100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57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WCHWs; PSNP women; business owners; HEWs; officials; spouse; labour office; SACCO</w:t>
            </w:r>
          </w:p>
        </w:tc>
      </w:tr>
      <w:tr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Somali</w:t>
            </w:r>
          </w:p>
        </w:tc>
        <w:tc>
          <w:tcPr>
            <w:tcW w:type="dxa" w:w="100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57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PSNP women; VHL/WCHWs; business owners; CHWs/HEWs; officials; spouse</w:t>
            </w:r>
          </w:p>
        </w:tc>
      </w:tr>
      <w:tr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Total</w:t>
            </w:r>
          </w:p>
        </w:tc>
        <w:tc>
          <w:tcPr>
            <w:tcW w:type="dxa" w:w="100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26</w:t>
            </w:r>
          </w:p>
        </w:tc>
        <w:tc>
          <w:tcPr>
            <w:tcW w:type="dxa" w:w="576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38 transcript files reviewed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i/>
          <w:sz w:val="18"/>
        </w:rPr>
        <w:t>FGD, focus group discussion; HEW, Health Extension Worker; IDI, in-depth interview; KII, key-informant interview; VHL, village health leader; WDA, Women Development Army.</w:t>
      </w:r>
    </w:p>
    <w:p>
      <w:pPr>
        <w:pStyle w:val="Heading2"/>
      </w:pPr>
      <w:r>
        <w:t>Supplementary Table S3. Interpretive-profile development criteria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rPr>
          <w:tblHeader w:val="true"/>
        </w:trPr>
        <w:tc>
          <w:tcPr>
            <w:tcW w:type="dxa" w:w="1728"/>
            <w:vAlign w:val="center"/>
          </w:tcPr>
          <w:p>
            <w:r>
              <w:rPr>
                <w:b/>
                <w:sz w:val="17"/>
              </w:rPr>
              <w:t>Profile</w:t>
            </w:r>
          </w:p>
        </w:tc>
        <w:tc>
          <w:tcPr>
            <w:tcW w:type="dxa" w:w="2592"/>
            <w:vAlign w:val="center"/>
          </w:tcPr>
          <w:p>
            <w:r>
              <w:rPr>
                <w:b/>
                <w:sz w:val="17"/>
              </w:rPr>
              <w:t>Recurring pattern</w:t>
            </w:r>
          </w:p>
        </w:tc>
        <w:tc>
          <w:tcPr>
            <w:tcW w:type="dxa" w:w="3168"/>
            <w:vAlign w:val="center"/>
          </w:tcPr>
          <w:p>
            <w:r>
              <w:rPr>
                <w:b/>
                <w:sz w:val="17"/>
              </w:rPr>
              <w:t>Evidence</w:t>
            </w:r>
          </w:p>
        </w:tc>
        <w:tc>
          <w:tcPr>
            <w:tcW w:type="dxa" w:w="2016"/>
            <w:vAlign w:val="center"/>
          </w:tcPr>
          <w:p>
            <w:r>
              <w:rPr>
                <w:b/>
                <w:sz w:val="17"/>
              </w:rPr>
              <w:t>Caution</w:t>
            </w:r>
          </w:p>
        </w:tc>
      </w:tr>
      <w:tr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Cautious Earners</w:t>
            </w:r>
          </w:p>
        </w:tc>
        <w:tc>
          <w:tcPr>
            <w:tcW w:type="dxa" w:w="259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Saving-oriented; gradual expansion; caution about debt</w:t>
            </w:r>
          </w:p>
        </w:tc>
        <w:tc>
          <w:tcPr>
            <w:tcW w:type="dxa" w:w="31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Survey patterns and accounts of repayment risk</w:t>
            </w:r>
          </w:p>
        </w:tc>
        <w:tc>
          <w:tcPr>
            <w:tcW w:type="dxa" w:w="201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Overlapping qualitative profile</w:t>
            </w:r>
          </w:p>
        </w:tc>
      </w:tr>
      <w:tr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Mobile Connectors</w:t>
            </w:r>
          </w:p>
        </w:tc>
        <w:tc>
          <w:tcPr>
            <w:tcW w:type="dxa" w:w="259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Livestock livelihoods, mobility and pastoral context</w:t>
            </w:r>
          </w:p>
        </w:tc>
        <w:tc>
          <w:tcPr>
            <w:tcW w:type="dxa" w:w="31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Regional findings and livestock narratives</w:t>
            </w:r>
          </w:p>
        </w:tc>
        <w:tc>
          <w:tcPr>
            <w:tcW w:type="dxa" w:w="201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Do not generalise beyond similar settings</w:t>
            </w:r>
          </w:p>
        </w:tc>
      </w:tr>
      <w:tr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Security Seekers</w:t>
            </w:r>
          </w:p>
        </w:tc>
        <w:tc>
          <w:tcPr>
            <w:tcW w:type="dxa" w:w="259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Household stability, shocks and risk avoidance</w:t>
            </w:r>
          </w:p>
        </w:tc>
        <w:tc>
          <w:tcPr>
            <w:tcW w:type="dxa" w:w="31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WCHW and exploratory PSNP narratives</w:t>
            </w:r>
          </w:p>
        </w:tc>
        <w:tc>
          <w:tcPr>
            <w:tcW w:type="dxa" w:w="201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Do not infer prevalence</w:t>
            </w:r>
          </w:p>
        </w:tc>
      </w:tr>
      <w:tr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Entrepreneurial Expanders</w:t>
            </w:r>
          </w:p>
        </w:tc>
        <w:tc>
          <w:tcPr>
            <w:tcW w:type="dxa" w:w="259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Business orientation and expansion interest</w:t>
            </w:r>
          </w:p>
        </w:tc>
        <w:tc>
          <w:tcPr>
            <w:tcW w:type="dxa" w:w="31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Livelihood patterns and business narratives</w:t>
            </w:r>
          </w:p>
        </w:tc>
        <w:tc>
          <w:tcPr>
            <w:tcW w:type="dxa" w:w="201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Requires validation before targeting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i/>
          <w:sz w:val="18"/>
        </w:rPr>
        <w:t>Respondents were not assigned to mutually exclusive profiles using a reproducible or validated algorithm.</w:t>
      </w:r>
    </w:p>
    <w:p>
      <w:pPr>
        <w:pStyle w:val="Heading2"/>
      </w:pPr>
      <w:r>
        <w:t>Supplementary Table S4. Sampling framework and achieved sample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80"/>
        <w:gridCol w:w="4680"/>
      </w:tblGrid>
      <w:tr>
        <w:trPr>
          <w:tblHeader w:val="true"/>
        </w:trPr>
        <w:tc>
          <w:tcPr>
            <w:tcW w:type="dxa" w:w="2736"/>
            <w:vAlign w:val="center"/>
          </w:tcPr>
          <w:p>
            <w:r>
              <w:rPr>
                <w:b/>
                <w:sz w:val="17"/>
              </w:rPr>
              <w:t>Element</w:t>
            </w:r>
          </w:p>
        </w:tc>
        <w:tc>
          <w:tcPr>
            <w:tcW w:type="dxa" w:w="6336"/>
            <w:vAlign w:val="center"/>
          </w:tcPr>
          <w:p>
            <w:r>
              <w:rPr>
                <w:b/>
                <w:sz w:val="17"/>
              </w:rPr>
              <w:t>Verified information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Combined frame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2,338 registered WCHWs and PSNP graduates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Initial calculation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Yamane finite-population formula; 95% confidence; 5% margin; minimum n=342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Design adjustment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Design effect 1.5; adjusted primary WCHW target n=513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Selected sites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23 purposively selected kebeles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WCHW selection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Cadre stratification and systematic selection after a lottery-selected start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Achieved WCHW sample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516: Amhara 123; Oromia 174; Somali 219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Exploratory PSNP sample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60: 20 per region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Total sample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576</w:t>
            </w:r>
          </w:p>
        </w:tc>
      </w:tr>
      <w:tr>
        <w:tc>
          <w:tcPr>
            <w:tcW w:type="dxa" w:w="27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Regression clusters</w:t>
            </w:r>
          </w:p>
        </w:tc>
        <w:tc>
          <w:tcPr>
            <w:tcW w:type="dxa" w:w="633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21 distinct standardized kebele identifiers in the cleaned WCHW analytic file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i/>
          <w:sz w:val="18"/>
        </w:rPr>
        <w:t>Selected field sites describe the sampling design; regression clusters describe standardized identifiers represented in the analytic file.</w:t>
      </w:r>
    </w:p>
    <w:p>
      <w:pPr>
        <w:pStyle w:val="Heading2"/>
      </w:pPr>
      <w:r>
        <w:t>Supplementary Table S5. Quantitative sample distribution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72"/>
        <w:gridCol w:w="1872"/>
        <w:gridCol w:w="1872"/>
        <w:gridCol w:w="1872"/>
        <w:gridCol w:w="1872"/>
      </w:tblGrid>
      <w:tr>
        <w:trPr>
          <w:tblHeader w:val="true"/>
        </w:trPr>
        <w:tc>
          <w:tcPr>
            <w:tcW w:type="dxa" w:w="3024"/>
            <w:vAlign w:val="center"/>
          </w:tcPr>
          <w:p>
            <w:r>
              <w:rPr>
                <w:b/>
                <w:sz w:val="17"/>
              </w:rPr>
              <w:t>Region/study area</w:t>
            </w:r>
          </w:p>
        </w:tc>
        <w:tc>
          <w:tcPr>
            <w:tcW w:type="dxa" w:w="1584"/>
            <w:vAlign w:val="center"/>
          </w:tcPr>
          <w:p>
            <w:r>
              <w:rPr>
                <w:b/>
                <w:sz w:val="17"/>
              </w:rPr>
              <w:t>Selected kebeles</w:t>
            </w:r>
          </w:p>
        </w:tc>
        <w:tc>
          <w:tcPr>
            <w:tcW w:type="dxa" w:w="1440"/>
            <w:vAlign w:val="center"/>
          </w:tcPr>
          <w:p>
            <w:r>
              <w:rPr>
                <w:b/>
                <w:sz w:val="17"/>
              </w:rPr>
              <w:t>WCHWs</w:t>
            </w:r>
          </w:p>
        </w:tc>
        <w:tc>
          <w:tcPr>
            <w:tcW w:type="dxa" w:w="1728"/>
            <w:vAlign w:val="center"/>
          </w:tcPr>
          <w:p>
            <w:r>
              <w:rPr>
                <w:b/>
                <w:sz w:val="17"/>
              </w:rPr>
              <w:t>PSNP graduates</w:t>
            </w:r>
          </w:p>
        </w:tc>
        <w:tc>
          <w:tcPr>
            <w:tcW w:type="dxa" w:w="1440"/>
            <w:vAlign w:val="center"/>
          </w:tcPr>
          <w:p>
            <w:r>
              <w:rPr>
                <w:b/>
                <w:sz w:val="17"/>
              </w:rPr>
              <w:t>Total</w:t>
            </w:r>
          </w:p>
        </w:tc>
      </w:tr>
      <w:tr>
        <w:tc>
          <w:tcPr>
            <w:tcW w:type="dxa" w:w="30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Amhara: Angolela Tera</w:t>
            </w:r>
          </w:p>
        </w:tc>
        <w:tc>
          <w:tcPr>
            <w:tcW w:type="dxa" w:w="158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123</w:t>
            </w:r>
          </w:p>
        </w:tc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20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143</w:t>
            </w:r>
          </w:p>
        </w:tc>
      </w:tr>
      <w:tr>
        <w:tc>
          <w:tcPr>
            <w:tcW w:type="dxa" w:w="30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Oromia: Shabe Sambo</w:t>
            </w:r>
          </w:p>
        </w:tc>
        <w:tc>
          <w:tcPr>
            <w:tcW w:type="dxa" w:w="158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174</w:t>
            </w:r>
          </w:p>
        </w:tc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20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194</w:t>
            </w:r>
          </w:p>
        </w:tc>
      </w:tr>
      <w:tr>
        <w:tc>
          <w:tcPr>
            <w:tcW w:type="dxa" w:w="30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Somali: Gursum</w:t>
            </w:r>
          </w:p>
        </w:tc>
        <w:tc>
          <w:tcPr>
            <w:tcW w:type="dxa" w:w="158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219</w:t>
            </w:r>
          </w:p>
        </w:tc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20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239</w:t>
            </w:r>
          </w:p>
        </w:tc>
      </w:tr>
      <w:tr>
        <w:tc>
          <w:tcPr>
            <w:tcW w:type="dxa" w:w="30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Total</w:t>
            </w:r>
          </w:p>
        </w:tc>
        <w:tc>
          <w:tcPr>
            <w:tcW w:type="dxa" w:w="158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23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516</w:t>
            </w:r>
          </w:p>
        </w:tc>
        <w:tc>
          <w:tcPr>
            <w:tcW w:type="dxa" w:w="172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60</w:t>
            </w:r>
          </w:p>
        </w:tc>
        <w:tc>
          <w:tcPr>
            <w:tcW w:type="dxa" w:w="1440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576</w:t>
            </w:r>
          </w:p>
        </w:tc>
      </w:tr>
    </w:tbl>
    <w:p>
      <w:pPr>
        <w:spacing w:after="0"/>
      </w:pPr>
    </w:p>
    <w:p>
      <w:pPr>
        <w:pStyle w:val="Heading2"/>
      </w:pPr>
      <w:r>
        <w:t>Supplementary Table S6. Exploratory PSNP indicators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20"/>
        <w:gridCol w:w="3120"/>
        <w:gridCol w:w="3120"/>
      </w:tblGrid>
      <w:tr>
        <w:trPr>
          <w:tblHeader w:val="true"/>
        </w:trPr>
        <w:tc>
          <w:tcPr>
            <w:tcW w:type="dxa" w:w="6624"/>
            <w:vAlign w:val="center"/>
          </w:tcPr>
          <w:p>
            <w:r>
              <w:rPr>
                <w:b/>
                <w:sz w:val="17"/>
              </w:rPr>
              <w:t>Indicator</w:t>
            </w:r>
          </w:p>
        </w:tc>
        <w:tc>
          <w:tcPr>
            <w:tcW w:type="dxa" w:w="1152"/>
            <w:vAlign w:val="center"/>
          </w:tcPr>
          <w:p>
            <w:r>
              <w:rPr>
                <w:b/>
                <w:sz w:val="17"/>
              </w:rPr>
              <w:t>n</w:t>
            </w:r>
          </w:p>
        </w:tc>
        <w:tc>
          <w:tcPr>
            <w:tcW w:type="dxa" w:w="1296"/>
            <w:vAlign w:val="center"/>
          </w:tcPr>
          <w:p>
            <w:r>
              <w:rPr>
                <w:b/>
                <w:sz w:val="17"/>
              </w:rPr>
              <w:t>%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Currently engaged in an IGA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66.7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Currently saves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36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60.0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Bank as main saving place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21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35.0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Iqqub as main saving place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13.3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Borrowed in previous 24 months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25.0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Financial decisions: respondent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30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50.0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Financial decisions: jointly with spouse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25.0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Financial decisions: spouse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21.7</w:t>
            </w:r>
          </w:p>
        </w:tc>
      </w:tr>
      <w:tr>
        <w:tc>
          <w:tcPr>
            <w:tcW w:type="dxa" w:w="662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Financial decisions: other</w:t>
            </w:r>
          </w:p>
        </w:tc>
        <w:tc>
          <w:tcPr>
            <w:tcW w:type="dxa" w:w="1152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296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3.3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i/>
          <w:sz w:val="18"/>
        </w:rPr>
        <w:t>Denominator n=60. The cleaned PSNP dataset measures current saving but not saving frequency.</w:t>
      </w:r>
    </w:p>
    <w:p>
      <w:pPr>
        <w:pStyle w:val="Heading2"/>
      </w:pPr>
      <w:r>
        <w:t>Supplementary Table S7. Scope of concept testing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80"/>
        <w:gridCol w:w="4680"/>
      </w:tblGrid>
      <w:tr>
        <w:trPr>
          <w:tblHeader w:val="true"/>
        </w:trPr>
        <w:tc>
          <w:tcPr>
            <w:tcW w:type="dxa" w:w="2304"/>
            <w:vAlign w:val="center"/>
          </w:tcPr>
          <w:p>
            <w:r>
              <w:rPr>
                <w:b/>
                <w:sz w:val="17"/>
              </w:rPr>
              <w:t>Element</w:t>
            </w:r>
          </w:p>
        </w:tc>
        <w:tc>
          <w:tcPr>
            <w:tcW w:type="dxa" w:w="6768"/>
            <w:vAlign w:val="center"/>
          </w:tcPr>
          <w:p>
            <w:r>
              <w:rPr>
                <w:b/>
                <w:sz w:val="17"/>
              </w:rPr>
              <w:t>Documented scope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Sessions</w:t>
            </w:r>
          </w:p>
        </w:tc>
        <w:tc>
          <w:tcPr>
            <w:tcW w:type="dxa" w:w="67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Nine sessions: three each in Amhara, Oromia and Somali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Inputs</w:t>
            </w:r>
          </w:p>
        </w:tc>
        <w:tc>
          <w:tcPr>
            <w:tcW w:type="dxa" w:w="67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Survey, qualitative themes, profiles and stakeholder/market-system mapping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Purpose</w:t>
            </w:r>
          </w:p>
        </w:tc>
        <w:tc>
          <w:tcPr>
            <w:tcW w:type="dxa" w:w="67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Feedback on relevance, acceptability, perceived feasibility, potential benefits and risks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Activities</w:t>
            </w:r>
          </w:p>
        </w:tc>
        <w:tc>
          <w:tcPr>
            <w:tcW w:type="dxa" w:w="67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Discussion, review, preliminary prioritisation and refinement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Not conducted</w:t>
            </w:r>
          </w:p>
        </w:tc>
        <w:tc>
          <w:tcPr>
            <w:tcW w:type="dxa" w:w="67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Operational pilot implementation, effectiveness evaluation or validated feasibility testing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Next steps</w:t>
            </w:r>
          </w:p>
        </w:tc>
        <w:tc>
          <w:tcPr>
            <w:tcW w:type="dxa" w:w="6768"/>
            <w:vAlign w:val="center"/>
          </w:tcPr>
          <w:p>
            <w:pPr>
              <w:spacing w:after="0" w:line="240" w:lineRule="auto"/>
            </w:pPr>
            <w:r>
              <w:rPr>
                <w:sz w:val="17"/>
              </w:rPr>
              <w:t>Feasibility assessment, safeguarding review, pilot testing and rigorous evaluation</w:t>
            </w:r>
          </w:p>
        </w:tc>
      </w:tr>
    </w:tbl>
    <w:p>
      <w:pPr>
        <w:spacing w:after="0"/>
      </w:pPr>
    </w:p>
    <w:p>
      <w:pPr>
        <w:sectPr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>
      <w:pPr>
        <w:pStyle w:val="Heading2"/>
      </w:pPr>
      <w:r>
        <w:t>Supplementary Table S8. HCD-informed product hypotheses and early-stage decisions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94"/>
        <w:gridCol w:w="2794"/>
        <w:gridCol w:w="2794"/>
        <w:gridCol w:w="2794"/>
        <w:gridCol w:w="2794"/>
      </w:tblGrid>
      <w:tr>
        <w:trPr>
          <w:tblHeader w:val="true"/>
        </w:trPr>
        <w:tc>
          <w:tcPr>
            <w:tcW w:type="dxa" w:w="2304"/>
            <w:vAlign w:val="center"/>
          </w:tcPr>
          <w:p>
            <w:r>
              <w:rPr>
                <w:b/>
                <w:sz w:val="15"/>
              </w:rPr>
              <w:t>Hypothesis</w:t>
            </w:r>
          </w:p>
        </w:tc>
        <w:tc>
          <w:tcPr>
            <w:tcW w:type="dxa" w:w="2880"/>
            <w:vAlign w:val="center"/>
          </w:tcPr>
          <w:p>
            <w:r>
              <w:rPr>
                <w:b/>
                <w:sz w:val="15"/>
              </w:rPr>
              <w:t>Interest/evidence</w:t>
            </w:r>
          </w:p>
        </w:tc>
        <w:tc>
          <w:tcPr>
            <w:tcW w:type="dxa" w:w="2952"/>
            <w:vAlign w:val="center"/>
          </w:tcPr>
          <w:p>
            <w:r>
              <w:rPr>
                <w:b/>
                <w:sz w:val="15"/>
              </w:rPr>
              <w:t>Perceived feasibility</w:t>
            </w:r>
          </w:p>
        </w:tc>
        <w:tc>
          <w:tcPr>
            <w:tcW w:type="dxa" w:w="3312"/>
            <w:vAlign w:val="center"/>
          </w:tcPr>
          <w:p>
            <w:r>
              <w:rPr>
                <w:b/>
                <w:sz w:val="15"/>
              </w:rPr>
              <w:t>Main risks</w:t>
            </w:r>
          </w:p>
        </w:tc>
        <w:tc>
          <w:tcPr>
            <w:tcW w:type="dxa" w:w="2376"/>
            <w:vAlign w:val="center"/>
          </w:tcPr>
          <w:p>
            <w:r>
              <w:rPr>
                <w:b/>
                <w:sz w:val="15"/>
              </w:rPr>
              <w:t>Preliminary decision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Agricultural-input distribution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Concern about unreliable access to quality inputs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Possible with reliable suppliers and inventory arrangements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Capital, stockouts, quality, transport and role conflict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Prioritise for feasibility testing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Livestock/poultry asset finance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Interest where livestock is livelihood and household asset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Possible with husbandry experience and veterinary support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Drought, disease, feed costs, volatility and repayment cycles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Prioritise with risk mitigation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Household/energy products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Potential demand where access is limited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Context dependent; separate from health-service decisions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Supply, quality, margins, returns and role conflict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Refine and test selectively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Savings/agricultural cooperatives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Familiar collective mechanisms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Depends on trusted leadership and governance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Conflict, unequal participation, mistrust and elite capture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Explore cautiously in established groups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MFI-linked savings/credit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Interest alongside concern about conventional loans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Possible if products fit irregular income and cultural preferences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Interest, rigid repayment, collateral, trust and over-indebtedness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Refine toward savings-first flexibility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Digital data services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Aspirational interest in digital income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Low where connectivity is poor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Devices, literacy, privacy and unstable demand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Explore after infrastructure/data-governance assessment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Health/hygiene-product sales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Limited or context-specific interest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Low where existing suppliers operate or roles may blur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Margins, competition, quality, conflict and trust erosion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Deprioritise without unmet need and safeguards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Joint-liability products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Low acceptability of shared debt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Operationally possible but poorly aligned with preferences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Debt transfer, coercion, conflict and household asset loss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Deprioritise joint liability; retain voluntary saving</w:t>
            </w:r>
          </w:p>
        </w:tc>
      </w:tr>
      <w:tr>
        <w:tc>
          <w:tcPr>
            <w:tcW w:type="dxa" w:w="2304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Mobile medical kiosks</w:t>
            </w:r>
          </w:p>
        </w:tc>
        <w:tc>
          <w:tcPr>
            <w:tcW w:type="dxa" w:w="2880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Very low demand</w:t>
            </w:r>
          </w:p>
        </w:tc>
        <w:tc>
          <w:tcPr>
            <w:tcW w:type="dxa" w:w="295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Very low because of clinical and regulatory requirements</w:t>
            </w:r>
          </w:p>
        </w:tc>
        <w:tc>
          <w:tcPr>
            <w:tcW w:type="dxa" w:w="3312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Unsafe sales, violations, conflict and referral disruption</w:t>
            </w:r>
          </w:p>
        </w:tc>
        <w:tc>
          <w:tcPr>
            <w:tcW w:type="dxa" w:w="2376"/>
            <w:vAlign w:val="center"/>
          </w:tcPr>
          <w:p>
            <w:pPr>
              <w:spacing w:after="0" w:line="240" w:lineRule="auto"/>
            </w:pPr>
            <w:r>
              <w:rPr>
                <w:sz w:val="15"/>
              </w:rPr>
              <w:t>Deprioritise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i/>
          <w:sz w:val="18"/>
        </w:rPr>
        <w:t>These are hypothesis-generating concepts, not tested interventions. Preliminary decisions record early-stage design judgement, not demonstrated feasibility or effectiveness. No colour or shading is used.</w:t>
      </w:r>
    </w:p>
    <w:sectPr w:rsidR="00FC693F" w:rsidRPr="0006063C" w:rsidSect="00034616">
      <w:pgSz w:w="15840" w:h="12240" w:orient="landscape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Calibri" w:hAnsi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Geteneh Moges</dc:creator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