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F46E0" w14:textId="77777777" w:rsidR="009C14AB" w:rsidRPr="00341C37" w:rsidRDefault="009C14AB" w:rsidP="00341C37">
      <w:pPr>
        <w:spacing w:after="0" w:line="240" w:lineRule="auto"/>
        <w:jc w:val="both"/>
        <w:rPr>
          <w:rFonts w:ascii="Times New Roman" w:hAnsi="Times New Roman" w:cs="Times New Roman"/>
          <w:b/>
          <w:bCs/>
          <w:sz w:val="32"/>
          <w:szCs w:val="32"/>
        </w:rPr>
      </w:pPr>
      <w:r w:rsidRPr="00341C37">
        <w:rPr>
          <w:rFonts w:ascii="Times New Roman" w:hAnsi="Times New Roman" w:cs="Times New Roman"/>
          <w:b/>
          <w:bCs/>
          <w:sz w:val="32"/>
          <w:szCs w:val="32"/>
        </w:rPr>
        <w:t>Supplementary Information</w:t>
      </w:r>
    </w:p>
    <w:p w14:paraId="5F91A05B" w14:textId="77777777" w:rsidR="00341C37" w:rsidRPr="00341C37" w:rsidRDefault="00341C37" w:rsidP="00341C37">
      <w:pPr>
        <w:spacing w:after="0" w:line="240" w:lineRule="auto"/>
        <w:jc w:val="both"/>
        <w:rPr>
          <w:rFonts w:ascii="Times New Roman" w:hAnsi="Times New Roman" w:cs="Times New Roman"/>
          <w:b/>
          <w:bCs/>
          <w:sz w:val="24"/>
          <w:szCs w:val="24"/>
        </w:rPr>
      </w:pPr>
    </w:p>
    <w:p w14:paraId="6E76C9F3" w14:textId="378E0CE6" w:rsidR="00C84838" w:rsidRDefault="00C84838" w:rsidP="00341C37">
      <w:pPr>
        <w:spacing w:after="0" w:line="240" w:lineRule="auto"/>
        <w:jc w:val="both"/>
        <w:rPr>
          <w:rFonts w:ascii="Times New Roman" w:hAnsi="Times New Roman" w:cs="Times New Roman"/>
          <w:b/>
          <w:bCs/>
          <w:sz w:val="24"/>
          <w:szCs w:val="24"/>
        </w:rPr>
      </w:pPr>
      <w:r w:rsidRPr="00341C37">
        <w:rPr>
          <w:rFonts w:ascii="Times New Roman" w:hAnsi="Times New Roman" w:cs="Times New Roman"/>
          <w:b/>
          <w:bCs/>
          <w:sz w:val="24"/>
          <w:szCs w:val="24"/>
        </w:rPr>
        <w:t xml:space="preserve">Supplementary Method </w:t>
      </w:r>
      <w:r w:rsidR="00341C37" w:rsidRPr="00341C37">
        <w:rPr>
          <w:rFonts w:ascii="Times New Roman" w:hAnsi="Times New Roman" w:cs="Times New Roman"/>
          <w:b/>
          <w:bCs/>
          <w:sz w:val="24"/>
          <w:szCs w:val="24"/>
        </w:rPr>
        <w:t xml:space="preserve">1 | </w:t>
      </w:r>
      <w:r w:rsidRPr="00341C37">
        <w:rPr>
          <w:rFonts w:ascii="Times New Roman" w:hAnsi="Times New Roman" w:cs="Times New Roman"/>
          <w:b/>
          <w:bCs/>
          <w:sz w:val="24"/>
          <w:szCs w:val="24"/>
        </w:rPr>
        <w:t>Eddy-covariance instrumentation, processing and footprint characterisation</w:t>
      </w:r>
    </w:p>
    <w:p w14:paraId="0E3D7DFD" w14:textId="77777777" w:rsidR="00341C37" w:rsidRPr="00341C37" w:rsidRDefault="00341C37" w:rsidP="00341C37">
      <w:pPr>
        <w:spacing w:after="0" w:line="240" w:lineRule="auto"/>
        <w:jc w:val="both"/>
        <w:rPr>
          <w:rFonts w:ascii="Times New Roman" w:hAnsi="Times New Roman" w:cs="Times New Roman"/>
          <w:b/>
          <w:bCs/>
          <w:sz w:val="24"/>
          <w:szCs w:val="24"/>
        </w:rPr>
      </w:pPr>
    </w:p>
    <w:p w14:paraId="5E2E7433" w14:textId="77777777" w:rsidR="00C84838" w:rsidRDefault="00C84838"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 xml:space="preserve">CH₄ mole-fraction measurements were made using an open-path LI-COR LI-7700 analyser operated alongside a Gill WindMaster sonic anemometer. The sonic anemometer was mounted 9.0 m above local ground level, above an approximately 2.0-m </w:t>
      </w:r>
      <w:r w:rsidRPr="00341C37">
        <w:rPr>
          <w:rFonts w:ascii="Times New Roman" w:eastAsia="Times New Roman" w:hAnsi="Times New Roman" w:cs="Times New Roman"/>
          <w:i/>
          <w:iCs/>
          <w:sz w:val="24"/>
          <w:szCs w:val="24"/>
          <w:lang w:eastAsia="en-GB"/>
          <w14:ligatures w14:val="none"/>
        </w:rPr>
        <w:t>Cyperus papyrus</w:t>
      </w:r>
      <w:r w:rsidRPr="00341C37">
        <w:rPr>
          <w:rFonts w:ascii="Times New Roman" w:eastAsia="Times New Roman" w:hAnsi="Times New Roman" w:cs="Times New Roman"/>
          <w:sz w:val="24"/>
          <w:szCs w:val="24"/>
          <w:lang w:eastAsia="en-GB"/>
          <w14:ligatures w14:val="none"/>
        </w:rPr>
        <w:t xml:space="preserve"> canopy. EddyPro station metadata specified a displacement height of 1.34 m and a roughness length of 0.30 m. The LI-7700 was configured with horizontal separations of 0.20 m northward and 0.20 m eastward relative to the sonic-anemometer reference, with no vertical separation.</w:t>
      </w:r>
    </w:p>
    <w:p w14:paraId="5995D085"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372CAB5C" w14:textId="03D48A7D" w:rsidR="00C84838" w:rsidRDefault="00C84838"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High-frequency CH₄ and three-dimensional wind measurements were acquired at 10 Hz and stored in TOB1 format. Raw files were processed in EddyPro using 30-min averaging intervals, with exported timestamps referring to the beginning of each averaging period. Turbulent fluctuations were calculated using block averaging. Sonic-anemometer tilt was corrected using the sector-wise planar-fit method of Wilczak et al.</w:t>
      </w:r>
      <w:r w:rsidR="00FA52B5" w:rsidRPr="00341C37">
        <w:rPr>
          <w:rFonts w:ascii="Times New Roman" w:eastAsia="Times New Roman" w:hAnsi="Times New Roman" w:cs="Times New Roman"/>
          <w:sz w:val="24"/>
          <w:szCs w:val="24"/>
          <w:lang w:eastAsia="en-GB"/>
          <w14:ligatures w14:val="none"/>
        </w:rPr>
        <w:fldChar w:fldCharType="begin"/>
      </w:r>
      <w:r w:rsidR="00FA52B5" w:rsidRPr="00341C37">
        <w:rPr>
          <w:rFonts w:ascii="Times New Roman" w:eastAsia="Times New Roman" w:hAnsi="Times New Roman" w:cs="Times New Roman"/>
          <w:sz w:val="24"/>
          <w:szCs w:val="24"/>
          <w:lang w:eastAsia="en-GB"/>
          <w14:ligatures w14:val="none"/>
        </w:rPr>
        <w:instrText xml:space="preserve"> ADDIN EN.CITE &lt;EndNote&gt;&lt;Cite&gt;&lt;Author&gt;Wilczak&lt;/Author&gt;&lt;Year&gt;2001&lt;/Year&gt;&lt;RecNum&gt;141&lt;/RecNum&gt;&lt;DisplayText&gt;&lt;style face="superscript"&gt;1&lt;/style&gt;&lt;/DisplayText&gt;&lt;record&gt;&lt;rec-number&gt;141&lt;/rec-number&gt;&lt;foreign-keys&gt;&lt;key app="EN" db-id="wf0e5fxd7vfsd2eaxf6v9efkdspdrrxvtz0f" timestamp="1777407935"&gt;141&lt;/key&gt;&lt;/foreign-keys&gt;&lt;ref-type name="Journal Article"&gt;17&lt;/ref-type&gt;&lt;contributors&gt;&lt;authors&gt;&lt;author&gt;Wilczak, James M.&lt;/author&gt;&lt;author&gt;Oncley, Steven P.&lt;/author&gt;&lt;author&gt;Stage, Steven A.&lt;/author&gt;&lt;/authors&gt;&lt;/contributors&gt;&lt;titles&gt;&lt;title&gt;Sonic Anemometer Tilt Correction Algorithms&lt;/title&gt;&lt;secondary-title&gt;Boundary-Layer Meteorology&lt;/secondary-title&gt;&lt;/titles&gt;&lt;periodical&gt;&lt;full-title&gt;Boundary-Layer Meteorology&lt;/full-title&gt;&lt;/periodical&gt;&lt;pages&gt;127-150&lt;/pages&gt;&lt;volume&gt;99&lt;/volume&gt;&lt;number&gt;1&lt;/number&gt;&lt;dates&gt;&lt;year&gt;2001&lt;/year&gt;&lt;pub-dates&gt;&lt;date&gt;2001/04/01&lt;/date&gt;&lt;/pub-dates&gt;&lt;/dates&gt;&lt;isbn&gt;1573-1472&lt;/isbn&gt;&lt;urls&gt;&lt;related-urls&gt;&lt;url&gt;https://doi.org/10.1023/A:1018966204465&lt;/url&gt;&lt;/related-urls&gt;&lt;/urls&gt;&lt;electronic-resource-num&gt;10.1023/A:1018966204465&lt;/electronic-resource-num&gt;&lt;/record&gt;&lt;/Cite&gt;&lt;/EndNote&gt;</w:instrText>
      </w:r>
      <w:r w:rsidR="00FA52B5" w:rsidRPr="00341C37">
        <w:rPr>
          <w:rFonts w:ascii="Times New Roman" w:eastAsia="Times New Roman" w:hAnsi="Times New Roman" w:cs="Times New Roman"/>
          <w:sz w:val="24"/>
          <w:szCs w:val="24"/>
          <w:lang w:eastAsia="en-GB"/>
          <w14:ligatures w14:val="none"/>
        </w:rPr>
        <w:fldChar w:fldCharType="separate"/>
      </w:r>
      <w:r w:rsidR="00FA52B5" w:rsidRPr="00341C37">
        <w:rPr>
          <w:rFonts w:ascii="Times New Roman" w:eastAsia="Times New Roman" w:hAnsi="Times New Roman" w:cs="Times New Roman"/>
          <w:noProof/>
          <w:sz w:val="24"/>
          <w:szCs w:val="24"/>
          <w:vertAlign w:val="superscript"/>
          <w:lang w:eastAsia="en-GB"/>
          <w14:ligatures w14:val="none"/>
        </w:rPr>
        <w:t>1</w:t>
      </w:r>
      <w:r w:rsidR="00FA52B5" w:rsidRPr="00341C37">
        <w:rPr>
          <w:rFonts w:ascii="Times New Roman" w:eastAsia="Times New Roman" w:hAnsi="Times New Roman" w:cs="Times New Roman"/>
          <w:sz w:val="24"/>
          <w:szCs w:val="24"/>
          <w:lang w:eastAsia="en-GB"/>
          <w14:ligatures w14:val="none"/>
        </w:rPr>
        <w:fldChar w:fldCharType="end"/>
      </w:r>
      <w:r w:rsidRPr="00341C37">
        <w:rPr>
          <w:rFonts w:ascii="Times New Roman" w:eastAsia="Times New Roman" w:hAnsi="Times New Roman" w:cs="Times New Roman"/>
          <w:sz w:val="24"/>
          <w:szCs w:val="24"/>
          <w:lang w:eastAsia="en-GB"/>
          <w14:ligatures w14:val="none"/>
        </w:rPr>
        <w:t>, implemented using 12 wind-direction sectors of 30° each. A double-rotation product was also examined as a sensitivity check, but the sector-wise planar-fit product was used consistently for the analyses reported in the manuscript.</w:t>
      </w:r>
    </w:p>
    <w:p w14:paraId="75C49DBA"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47B6B24D" w14:textId="0BD055E4" w:rsidR="00C84838" w:rsidRDefault="00C84838"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CH₄ time lags were determined by covariance maximisation within the plausibility limits specified in the EddyPro configuration. Spectral and open-path density corrections were applied within the EddyPro processing workflow, including the Webb–Pearman–Leuning correction for density effects associated with heat and water-vapour transfer</w:t>
      </w:r>
      <w:r w:rsidR="00F4193A" w:rsidRPr="00341C37">
        <w:rPr>
          <w:rFonts w:ascii="Times New Roman" w:eastAsia="Times New Roman" w:hAnsi="Times New Roman" w:cs="Times New Roman"/>
          <w:sz w:val="24"/>
          <w:szCs w:val="24"/>
          <w:lang w:eastAsia="en-GB"/>
          <w14:ligatures w14:val="none"/>
        </w:rPr>
        <w:fldChar w:fldCharType="begin"/>
      </w:r>
      <w:r w:rsidR="00F4193A" w:rsidRPr="00341C37">
        <w:rPr>
          <w:rFonts w:ascii="Times New Roman" w:eastAsia="Times New Roman" w:hAnsi="Times New Roman" w:cs="Times New Roman"/>
          <w:sz w:val="24"/>
          <w:szCs w:val="24"/>
          <w:lang w:eastAsia="en-GB"/>
          <w14:ligatures w14:val="none"/>
        </w:rPr>
        <w:instrText xml:space="preserve"> ADDIN EN.CITE &lt;EndNote&gt;&lt;Cite&gt;&lt;Author&gt;Webb&lt;/Author&gt;&lt;Year&gt;1980&lt;/Year&gt;&lt;RecNum&gt;140&lt;/RecNum&gt;&lt;DisplayText&gt;&lt;style face="superscript"&gt;2&lt;/style&gt;&lt;/DisplayText&gt;&lt;record&gt;&lt;rec-number&gt;140&lt;/rec-number&gt;&lt;foreign-keys&gt;&lt;key app="EN" db-id="wf0e5fxd7vfsd2eaxf6v9efkdspdrrxvtz0f" timestamp="1777407800"&gt;140&lt;/key&gt;&lt;/foreign-keys&gt;&lt;ref-type name="Journal Article"&gt;17&lt;/ref-type&gt;&lt;contributors&gt;&lt;authors&gt;&lt;author&gt;Webb, E. K.&lt;/author&gt;&lt;author&gt;Pearman, G. I.&lt;/author&gt;&lt;author&gt;Leuning, R.&lt;/author&gt;&lt;/authors&gt;&lt;/contributors&gt;&lt;titles&gt;&lt;title&gt;Correction of flux measurements for density effects due to heat and water vapour transfer&lt;/title&gt;&lt;secondary-title&gt;Quarterly Journal of the Royal Meteorological Society&lt;/secondary-title&gt;&lt;/titles&gt;&lt;periodical&gt;&lt;full-title&gt;Quarterly Journal of the Royal Meteorological Society&lt;/full-title&gt;&lt;/periodical&gt;&lt;pages&gt;85-100&lt;/pages&gt;&lt;volume&gt;106&lt;/volume&gt;&lt;number&gt;447&lt;/number&gt;&lt;dates&gt;&lt;year&gt;1980&lt;/year&gt;&lt;/dates&gt;&lt;isbn&gt;0035-9009&lt;/isbn&gt;&lt;urls&gt;&lt;related-urls&gt;&lt;url&gt;https://rmets.onlinelibrary.wiley.com/doi/abs/10.1002/qj.49710644707&lt;/url&gt;&lt;/related-urls&gt;&lt;/urls&gt;&lt;electronic-resource-num&gt;https://doi.org/10.1002/qj.49710644707&lt;/electronic-resource-num&gt;&lt;/record&gt;&lt;/Cite&gt;&lt;/EndNote&gt;</w:instrText>
      </w:r>
      <w:r w:rsidR="00F4193A" w:rsidRPr="00341C37">
        <w:rPr>
          <w:rFonts w:ascii="Times New Roman" w:eastAsia="Times New Roman" w:hAnsi="Times New Roman" w:cs="Times New Roman"/>
          <w:sz w:val="24"/>
          <w:szCs w:val="24"/>
          <w:lang w:eastAsia="en-GB"/>
          <w14:ligatures w14:val="none"/>
        </w:rPr>
        <w:fldChar w:fldCharType="separate"/>
      </w:r>
      <w:r w:rsidR="00F4193A" w:rsidRPr="00341C37">
        <w:rPr>
          <w:rFonts w:ascii="Times New Roman" w:eastAsia="Times New Roman" w:hAnsi="Times New Roman" w:cs="Times New Roman"/>
          <w:noProof/>
          <w:sz w:val="24"/>
          <w:szCs w:val="24"/>
          <w:vertAlign w:val="superscript"/>
          <w:lang w:eastAsia="en-GB"/>
          <w14:ligatures w14:val="none"/>
        </w:rPr>
        <w:t>2</w:t>
      </w:r>
      <w:r w:rsidR="00F4193A" w:rsidRPr="00341C37">
        <w:rPr>
          <w:rFonts w:ascii="Times New Roman" w:eastAsia="Times New Roman" w:hAnsi="Times New Roman" w:cs="Times New Roman"/>
          <w:sz w:val="24"/>
          <w:szCs w:val="24"/>
          <w:lang w:eastAsia="en-GB"/>
          <w14:ligatures w14:val="none"/>
        </w:rPr>
        <w:fldChar w:fldCharType="end"/>
      </w:r>
      <w:r w:rsidR="00F4193A" w:rsidRPr="00341C37">
        <w:rPr>
          <w:rFonts w:ascii="Times New Roman" w:eastAsia="Times New Roman" w:hAnsi="Times New Roman" w:cs="Times New Roman"/>
          <w:sz w:val="24"/>
          <w:szCs w:val="24"/>
          <w:lang w:eastAsia="en-GB"/>
          <w14:ligatures w14:val="none"/>
        </w:rPr>
        <w:t>.</w:t>
      </w:r>
    </w:p>
    <w:p w14:paraId="484C94F5"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46E3118F" w14:textId="1B691425" w:rsidR="00C84838" w:rsidRDefault="00C45578" w:rsidP="00341C37">
      <w:pPr>
        <w:spacing w:after="0" w:line="240" w:lineRule="auto"/>
        <w:jc w:val="both"/>
        <w:rPr>
          <w:rFonts w:ascii="Times New Roman" w:eastAsia="Times New Roman" w:hAnsi="Times New Roman" w:cs="Times New Roman"/>
          <w:sz w:val="24"/>
          <w:szCs w:val="24"/>
          <w:lang w:eastAsia="en-GB"/>
          <w14:ligatures w14:val="none"/>
        </w:rPr>
      </w:pPr>
      <w:r w:rsidRPr="00C45578">
        <w:rPr>
          <w:rFonts w:ascii="Times New Roman" w:eastAsia="Times New Roman" w:hAnsi="Times New Roman" w:cs="Times New Roman"/>
          <w:sz w:val="24"/>
          <w:szCs w:val="24"/>
          <w:lang w:eastAsia="en-GB"/>
          <w14:ligatures w14:val="none"/>
        </w:rPr>
        <w:t>The resulting half-hourly FCH₄ series was subjected to quality control before temporal aggregation. Records were retained only when FCH₄ was finite, the EddyPro CH₄ quality flag was ≤2, and LI-7700 signal strength was valid.</w:t>
      </w:r>
      <w:r>
        <w:rPr>
          <w:rFonts w:ascii="Times New Roman" w:eastAsia="Times New Roman" w:hAnsi="Times New Roman" w:cs="Times New Roman"/>
          <w:sz w:val="24"/>
          <w:szCs w:val="24"/>
          <w:lang w:eastAsia="en-GB"/>
          <w14:ligatures w14:val="none"/>
        </w:rPr>
        <w:t xml:space="preserve"> </w:t>
      </w:r>
      <w:r w:rsidR="00C84838" w:rsidRPr="00341C37">
        <w:rPr>
          <w:rFonts w:ascii="Times New Roman" w:eastAsia="Times New Roman" w:hAnsi="Times New Roman" w:cs="Times New Roman"/>
          <w:sz w:val="24"/>
          <w:szCs w:val="24"/>
          <w:lang w:eastAsia="en-GB"/>
          <w14:ligatures w14:val="none"/>
        </w:rPr>
        <w:t>Broad physical screens excluded FCH₄ outside −50 to 50 µmol CH₄ m⁻² s⁻¹ and sensible heat flux outside −50 to 500 W m⁻². Remaining FCH₄ outliers were screened conditionally within 25 incoming-shortwave-radiation bins by retaining observations between the 0.5th and 99.5th percentiles within each bin. Night-time periods were defined as SWIN &lt;15 W m⁻², and observations with friction velocity (u*) &lt;0.05 m s⁻¹ were excluded during these periods. Records affected by missing values, instrument error codes, invalid signal strength, sensor obstruction or known tower or instrument disruption were also excluded. No gap filling was applied.</w:t>
      </w:r>
    </w:p>
    <w:p w14:paraId="0E6BF13E"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10256FC5" w14:textId="77777777" w:rsidR="00C84838" w:rsidRDefault="00C84838"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Dataset timestamps were treated as UTC and converted to Uganda local time (UTC+3) before temporal aggregation. As an independent consistency check, mean incoming shortwave radiation reached its diel maximum at 09:30 dataset time, equivalent to 12:30 local time (Extended Data Fig. 6).</w:t>
      </w:r>
    </w:p>
    <w:p w14:paraId="09542633"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073DA3B9" w14:textId="1E9C45D1" w:rsidR="00C84838" w:rsidRDefault="00C84838"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Flux-footprint distances were estimated in EddyPro using the Kljun et al.</w:t>
      </w:r>
      <w:r w:rsidR="00CD6E0F" w:rsidRPr="00341C37">
        <w:rPr>
          <w:rFonts w:ascii="Times New Roman" w:eastAsia="Times New Roman" w:hAnsi="Times New Roman" w:cs="Times New Roman"/>
          <w:sz w:val="24"/>
          <w:szCs w:val="24"/>
          <w:lang w:eastAsia="en-GB"/>
          <w14:ligatures w14:val="none"/>
        </w:rPr>
        <w:fldChar w:fldCharType="begin"/>
      </w:r>
      <w:r w:rsidR="00CD6E0F" w:rsidRPr="00341C37">
        <w:rPr>
          <w:rFonts w:ascii="Times New Roman" w:eastAsia="Times New Roman" w:hAnsi="Times New Roman" w:cs="Times New Roman"/>
          <w:sz w:val="24"/>
          <w:szCs w:val="24"/>
          <w:lang w:eastAsia="en-GB"/>
          <w14:ligatures w14:val="none"/>
        </w:rPr>
        <w:instrText xml:space="preserve"> ADDIN EN.CITE &lt;EndNote&gt;&lt;Cite&gt;&lt;Author&gt;Kljun&lt;/Author&gt;&lt;Year&gt;2004&lt;/Year&gt;&lt;RecNum&gt;221&lt;/RecNum&gt;&lt;DisplayText&gt;&lt;style face="superscript"&gt;3&lt;/style&gt;&lt;/DisplayText&gt;&lt;record&gt;&lt;rec-number&gt;221&lt;/rec-number&gt;&lt;foreign-keys&gt;&lt;key app="EN" db-id="wf0e5fxd7vfsd2eaxf6v9efkdspdrrxvtz0f" timestamp="1783457653"&gt;221&lt;/key&gt;&lt;/foreign-keys&gt;&lt;ref-type name="Journal Article"&gt;17&lt;/ref-type&gt;&lt;contributors&gt;&lt;authors&gt;&lt;author&gt;Kljun, N.&lt;/author&gt;&lt;author&gt;Calanca, P.&lt;/author&gt;&lt;author&gt;Rotach, M. W.&lt;/author&gt;&lt;author&gt;Schmid, H. P.&lt;/author&gt;&lt;/authors&gt;&lt;/contributors&gt;&lt;titles&gt;&lt;title&gt;A Simple Parameterisation for Flux Footprint Predictions&lt;/title&gt;&lt;secondary-title&gt;Boundary-Layer Meteorology&lt;/secondary-title&gt;&lt;/titles&gt;&lt;periodical&gt;&lt;full-title&gt;Boundary-Layer Meteorology&lt;/full-title&gt;&lt;/periodical&gt;&lt;pages&gt;503-523&lt;/pages&gt;&lt;volume&gt;112&lt;/volume&gt;&lt;number&gt;3&lt;/number&gt;&lt;dates&gt;&lt;year&gt;2004&lt;/year&gt;&lt;pub-dates&gt;&lt;date&gt;2004/09/01&lt;/date&gt;&lt;/pub-dates&gt;&lt;/dates&gt;&lt;isbn&gt;1573-1472&lt;/isbn&gt;&lt;urls&gt;&lt;related-urls&gt;&lt;url&gt;https://doi.org/10.1023/B:BOUN.0000030653.71031.96&lt;/url&gt;&lt;/related-urls&gt;&lt;/urls&gt;&lt;electronic-resource-num&gt;10.1023/B:BOUN.0000030653.71031.96&lt;/electronic-resource-num&gt;&lt;/record&gt;&lt;/Cite&gt;&lt;/EndNote&gt;</w:instrText>
      </w:r>
      <w:r w:rsidR="00CD6E0F" w:rsidRPr="00341C37">
        <w:rPr>
          <w:rFonts w:ascii="Times New Roman" w:eastAsia="Times New Roman" w:hAnsi="Times New Roman" w:cs="Times New Roman"/>
          <w:sz w:val="24"/>
          <w:szCs w:val="24"/>
          <w:lang w:eastAsia="en-GB"/>
          <w14:ligatures w14:val="none"/>
        </w:rPr>
        <w:fldChar w:fldCharType="separate"/>
      </w:r>
      <w:r w:rsidR="00CD6E0F" w:rsidRPr="00341C37">
        <w:rPr>
          <w:rFonts w:ascii="Times New Roman" w:eastAsia="Times New Roman" w:hAnsi="Times New Roman" w:cs="Times New Roman"/>
          <w:noProof/>
          <w:sz w:val="24"/>
          <w:szCs w:val="24"/>
          <w:vertAlign w:val="superscript"/>
          <w:lang w:eastAsia="en-GB"/>
          <w14:ligatures w14:val="none"/>
        </w:rPr>
        <w:t>3</w:t>
      </w:r>
      <w:r w:rsidR="00CD6E0F" w:rsidRPr="00341C37">
        <w:rPr>
          <w:rFonts w:ascii="Times New Roman" w:eastAsia="Times New Roman" w:hAnsi="Times New Roman" w:cs="Times New Roman"/>
          <w:sz w:val="24"/>
          <w:szCs w:val="24"/>
          <w:lang w:eastAsia="en-GB"/>
          <w14:ligatures w14:val="none"/>
        </w:rPr>
        <w:fldChar w:fldCharType="end"/>
      </w:r>
      <w:r w:rsidRPr="00341C37">
        <w:rPr>
          <w:rFonts w:ascii="Times New Roman" w:eastAsia="Times New Roman" w:hAnsi="Times New Roman" w:cs="Times New Roman"/>
          <w:sz w:val="24"/>
          <w:szCs w:val="24"/>
          <w:lang w:eastAsia="en-GB"/>
          <w14:ligatures w14:val="none"/>
        </w:rPr>
        <w:t xml:space="preserve"> footprint parameterisation. For each valid half-hourly period, EddyPro provided the upwind distance of maximum flux contribution (x_peak) and cumulative upwind distances contributing </w:t>
      </w:r>
      <w:r w:rsidRPr="00341C37">
        <w:rPr>
          <w:rFonts w:ascii="Times New Roman" w:eastAsia="Times New Roman" w:hAnsi="Times New Roman" w:cs="Times New Roman"/>
          <w:sz w:val="24"/>
          <w:szCs w:val="24"/>
          <w:lang w:eastAsia="en-GB"/>
          <w14:ligatures w14:val="none"/>
        </w:rPr>
        <w:lastRenderedPageBreak/>
        <w:t>10%, 30%, 50%, 70% and 90% of the measured flux (x_10%, x_30%, x_50%, x_70% and x_90%). Missing or invalid footprint outputs, including values encoded as −9999, were excluded before footprint summaries were calculated. For the 90% footprint representation shown in Extended Data Fig. 4, valid x_90% distances were grouped into 5° wind-direction bins and the mean distance within each bin was used to characterise the directional source area. Footprint distances were interpreted as dynamic upwind source distances that varied with wind direction and micrometeorological conditions rather than as a fixed circular area around the tower.</w:t>
      </w:r>
    </w:p>
    <w:p w14:paraId="45475306"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74F8AF4B" w14:textId="10D7D2E5" w:rsidR="00341C37" w:rsidRDefault="00341C37" w:rsidP="00341C37">
      <w:pPr>
        <w:spacing w:after="0" w:line="240" w:lineRule="auto"/>
        <w:jc w:val="both"/>
        <w:rPr>
          <w:rFonts w:eastAsia="Times New Roman"/>
          <w:lang w:eastAsia="en-GB"/>
        </w:rPr>
      </w:pPr>
      <w:r w:rsidRPr="00341C37">
        <w:rPr>
          <w:rFonts w:ascii="Times New Roman" w:hAnsi="Times New Roman" w:cs="Times New Roman"/>
          <w:b/>
          <w:bCs/>
          <w:sz w:val="24"/>
          <w:szCs w:val="24"/>
        </w:rPr>
        <w:t xml:space="preserve">Supplementary Method </w:t>
      </w:r>
      <w:r>
        <w:rPr>
          <w:rFonts w:ascii="Times New Roman" w:hAnsi="Times New Roman" w:cs="Times New Roman"/>
          <w:b/>
          <w:bCs/>
          <w:sz w:val="24"/>
          <w:szCs w:val="24"/>
        </w:rPr>
        <w:t>2</w:t>
      </w:r>
      <w:r w:rsidRPr="00341C37">
        <w:rPr>
          <w:rFonts w:ascii="Times New Roman" w:hAnsi="Times New Roman" w:cs="Times New Roman"/>
          <w:b/>
          <w:bCs/>
          <w:sz w:val="24"/>
          <w:szCs w:val="24"/>
        </w:rPr>
        <w:t xml:space="preserve"> | Productivity and micrometeorological data processing</w:t>
      </w:r>
    </w:p>
    <w:p w14:paraId="332E4959" w14:textId="77777777" w:rsidR="00341C37" w:rsidRPr="00341C37" w:rsidRDefault="00341C37" w:rsidP="00341C37">
      <w:pPr>
        <w:spacing w:after="0" w:line="240" w:lineRule="auto"/>
        <w:jc w:val="both"/>
        <w:rPr>
          <w:rFonts w:eastAsia="Times New Roman"/>
          <w:lang w:eastAsia="en-GB"/>
        </w:rPr>
      </w:pPr>
    </w:p>
    <w:p w14:paraId="29D07D32" w14:textId="52C35744" w:rsidR="00AB0FED" w:rsidRDefault="00C75C5B" w:rsidP="00341C37">
      <w:pPr>
        <w:spacing w:after="0" w:line="240" w:lineRule="auto"/>
        <w:jc w:val="both"/>
        <w:rPr>
          <w:rFonts w:ascii="Times New Roman" w:eastAsia="Times New Roman" w:hAnsi="Times New Roman" w:cs="Times New Roman"/>
          <w:sz w:val="24"/>
          <w:szCs w:val="24"/>
          <w:lang w:eastAsia="en-GB"/>
          <w14:ligatures w14:val="none"/>
        </w:rPr>
      </w:pPr>
      <w:r w:rsidRPr="00C75C5B">
        <w:rPr>
          <w:rFonts w:ascii="Times New Roman" w:eastAsia="Times New Roman" w:hAnsi="Times New Roman" w:cs="Times New Roman"/>
          <w:sz w:val="24"/>
          <w:szCs w:val="24"/>
          <w:lang w:eastAsia="en-GB"/>
          <w14:ligatures w14:val="none"/>
        </w:rPr>
        <w:t>Productivity and micrometeorological variables were obtained as processed half-hourly records from the Quanterra/Vaisala tower data stream and associated site sensors, with CO₂ measurements processed by the same provider rather than reprocessed from the raw high-frequency data in this study.</w:t>
      </w:r>
      <w:r>
        <w:rPr>
          <w:rFonts w:ascii="Times New Roman" w:eastAsia="Times New Roman" w:hAnsi="Times New Roman" w:cs="Times New Roman"/>
          <w:sz w:val="24"/>
          <w:szCs w:val="24"/>
          <w:lang w:eastAsia="en-GB"/>
          <w14:ligatures w14:val="none"/>
        </w:rPr>
        <w:t xml:space="preserve"> </w:t>
      </w:r>
      <w:r w:rsidR="00AB0FED" w:rsidRPr="00341C37">
        <w:rPr>
          <w:rFonts w:ascii="Times New Roman" w:eastAsia="Times New Roman" w:hAnsi="Times New Roman" w:cs="Times New Roman"/>
          <w:sz w:val="24"/>
          <w:szCs w:val="24"/>
          <w:lang w:eastAsia="en-GB"/>
          <w14:ligatures w14:val="none"/>
        </w:rPr>
        <w:t>Records were aligned with FCH₄ and water-table data using the corrected half-hourly timestamps before temporal aggregation.</w:t>
      </w:r>
    </w:p>
    <w:p w14:paraId="5B733A6F"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3E5FAB0D" w14:textId="3D63751F" w:rsidR="00AB0FED" w:rsidRDefault="00AB0FED"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Quality-control information provided with the processed data</w:t>
      </w:r>
      <w:r w:rsidR="00AD1CAB">
        <w:rPr>
          <w:rFonts w:ascii="Times New Roman" w:eastAsia="Times New Roman" w:hAnsi="Times New Roman" w:cs="Times New Roman"/>
          <w:sz w:val="24"/>
          <w:szCs w:val="24"/>
          <w:lang w:eastAsia="en-GB"/>
          <w14:ligatures w14:val="none"/>
        </w:rPr>
        <w:t xml:space="preserve">. </w:t>
      </w:r>
      <w:r w:rsidR="00512D92">
        <w:rPr>
          <w:rFonts w:ascii="Times New Roman" w:eastAsia="Times New Roman" w:hAnsi="Times New Roman" w:cs="Times New Roman"/>
          <w:sz w:val="24"/>
          <w:szCs w:val="24"/>
          <w:lang w:eastAsia="en-GB"/>
          <w14:ligatures w14:val="none"/>
        </w:rPr>
        <w:t>No</w:t>
      </w:r>
      <w:r w:rsidRPr="00341C37">
        <w:rPr>
          <w:rFonts w:ascii="Times New Roman" w:eastAsia="Times New Roman" w:hAnsi="Times New Roman" w:cs="Times New Roman"/>
          <w:sz w:val="24"/>
          <w:szCs w:val="24"/>
          <w:lang w:eastAsia="en-GB"/>
          <w14:ligatures w14:val="none"/>
        </w:rPr>
        <w:t xml:space="preserve"> </w:t>
      </w:r>
      <w:r w:rsidR="00512D92">
        <w:rPr>
          <w:rFonts w:ascii="Times New Roman" w:eastAsia="Times New Roman" w:hAnsi="Times New Roman" w:cs="Times New Roman"/>
          <w:sz w:val="24"/>
          <w:szCs w:val="24"/>
          <w:lang w:eastAsia="en-GB"/>
          <w14:ligatures w14:val="none"/>
        </w:rPr>
        <w:t>g</w:t>
      </w:r>
      <w:r w:rsidRPr="00341C37">
        <w:rPr>
          <w:rFonts w:ascii="Times New Roman" w:eastAsia="Times New Roman" w:hAnsi="Times New Roman" w:cs="Times New Roman"/>
          <w:sz w:val="24"/>
          <w:szCs w:val="24"/>
          <w:lang w:eastAsia="en-GB"/>
          <w14:ligatures w14:val="none"/>
        </w:rPr>
        <w:t xml:space="preserve">ap-filled values were </w:t>
      </w:r>
      <w:r w:rsidR="00512D92">
        <w:rPr>
          <w:rFonts w:ascii="Times New Roman" w:eastAsia="Times New Roman" w:hAnsi="Times New Roman" w:cs="Times New Roman"/>
          <w:sz w:val="24"/>
          <w:szCs w:val="24"/>
          <w:lang w:eastAsia="en-GB"/>
          <w14:ligatures w14:val="none"/>
        </w:rPr>
        <w:t xml:space="preserve">used in this study. </w:t>
      </w:r>
      <w:r w:rsidRPr="00341C37">
        <w:rPr>
          <w:rFonts w:ascii="Times New Roman" w:eastAsia="Times New Roman" w:hAnsi="Times New Roman" w:cs="Times New Roman"/>
          <w:sz w:val="24"/>
          <w:szCs w:val="24"/>
          <w:lang w:eastAsia="en-GB"/>
          <w14:ligatures w14:val="none"/>
        </w:rPr>
        <w:t>Realised daily GPP was calculated from the mean half-hourly GPP rate for days containing at least 16 valid observations and converted to g C m⁻² d⁻¹. Monthly realised GPP was calculated as the mean of qualifying daily values and retained only when at least 10 valid days were available. Monthly air temperature and vapour-pressure deficit were calculated as arithmetic means of retained observations, whereas evapotranspiration was summed over each monthly period.</w:t>
      </w:r>
    </w:p>
    <w:p w14:paraId="24CB9A82"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46B6C065" w14:textId="4B40844B" w:rsidR="00341C37" w:rsidRDefault="00341C37" w:rsidP="00341C37">
      <w:pPr>
        <w:spacing w:after="0" w:line="240" w:lineRule="auto"/>
        <w:jc w:val="both"/>
        <w:rPr>
          <w:rFonts w:eastAsia="Times New Roman"/>
          <w:lang w:eastAsia="en-GB"/>
        </w:rPr>
      </w:pPr>
      <w:r w:rsidRPr="00341C37">
        <w:rPr>
          <w:rFonts w:ascii="Times New Roman" w:hAnsi="Times New Roman" w:cs="Times New Roman"/>
          <w:b/>
          <w:bCs/>
          <w:sz w:val="24"/>
          <w:szCs w:val="24"/>
        </w:rPr>
        <w:t xml:space="preserve">Supplementary Method </w:t>
      </w:r>
      <w:r>
        <w:rPr>
          <w:rFonts w:ascii="Times New Roman" w:hAnsi="Times New Roman" w:cs="Times New Roman"/>
          <w:b/>
          <w:bCs/>
          <w:sz w:val="24"/>
          <w:szCs w:val="24"/>
        </w:rPr>
        <w:t>3</w:t>
      </w:r>
      <w:r w:rsidRPr="00341C37">
        <w:rPr>
          <w:rFonts w:ascii="Times New Roman" w:hAnsi="Times New Roman" w:cs="Times New Roman"/>
          <w:b/>
          <w:bCs/>
          <w:sz w:val="24"/>
          <w:szCs w:val="24"/>
        </w:rPr>
        <w:t xml:space="preserve"> | </w:t>
      </w:r>
      <w:r w:rsidRPr="00341C37">
        <w:rPr>
          <w:rFonts w:ascii="Times New Roman" w:eastAsia="Times New Roman" w:hAnsi="Times New Roman" w:cs="Times New Roman"/>
          <w:b/>
          <w:bCs/>
          <w:sz w:val="24"/>
          <w:szCs w:val="24"/>
          <w:lang w:eastAsia="en-GB"/>
          <w14:ligatures w14:val="none"/>
        </w:rPr>
        <w:t>Monthly productivity metrics</w:t>
      </w:r>
    </w:p>
    <w:p w14:paraId="61EE7441" w14:textId="77777777" w:rsidR="00341C37" w:rsidRPr="00341C37" w:rsidRDefault="00341C37" w:rsidP="00341C37">
      <w:pPr>
        <w:spacing w:after="0" w:line="240" w:lineRule="auto"/>
        <w:jc w:val="both"/>
        <w:rPr>
          <w:rFonts w:eastAsia="Times New Roman"/>
          <w:lang w:eastAsia="en-GB"/>
        </w:rPr>
      </w:pPr>
    </w:p>
    <w:p w14:paraId="0C600C62" w14:textId="77777777" w:rsidR="0020208D" w:rsidRDefault="0020208D"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Monthly light-saturated productivity was estimated from half-hourly GPP and incoming shortwave radiation (SWIN) using the saturating light-response function described in the main Methods:</w:t>
      </w:r>
    </w:p>
    <w:p w14:paraId="373F74B8"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5BC7C1B3" w14:textId="77777777" w:rsidR="0020208D" w:rsidRDefault="0020208D" w:rsidP="00341C37">
      <w:pPr>
        <w:spacing w:after="0" w:line="240" w:lineRule="auto"/>
        <w:jc w:val="both"/>
        <w:rPr>
          <w:rFonts w:ascii="Times New Roman" w:eastAsia="Times New Roman" w:hAnsi="Times New Roman" w:cs="Times New Roman"/>
          <w:b/>
          <w:bCs/>
          <w:sz w:val="24"/>
          <w:szCs w:val="24"/>
          <w:lang w:eastAsia="en-GB"/>
          <w14:ligatures w14:val="none"/>
        </w:rPr>
      </w:pPr>
      <w:r w:rsidRPr="00341C37">
        <w:rPr>
          <w:rFonts w:ascii="Times New Roman" w:eastAsia="Times New Roman" w:hAnsi="Times New Roman" w:cs="Times New Roman"/>
          <w:b/>
          <w:bCs/>
          <w:sz w:val="24"/>
          <w:szCs w:val="24"/>
          <w:lang w:eastAsia="en-GB"/>
          <w14:ligatures w14:val="none"/>
        </w:rPr>
        <w:t>GPP = (α × SWIN × GPPmax) / (α × SWIN + GPPmax),</w:t>
      </w:r>
    </w:p>
    <w:p w14:paraId="3E265D51"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195ECF6A" w14:textId="77777777" w:rsidR="0020208D" w:rsidRDefault="0020208D"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where α is the initial light-use efficiency and GPPmax is the fitted asymptotic maximum GPP for each month. Monthly fits were performed by nonlinear least squares using positive, non-missing GPP–SWIN pairs. At least 50 valid half-hourly pairs were required before a monthly fit was attempted, and α and GPPmax were constrained to positive values. Months with insufficient observations or unsuccessful model convergence were excluded from the GPPmax analysis.</w:t>
      </w:r>
    </w:p>
    <w:p w14:paraId="28D1C3C7"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6547D1C0" w14:textId="77777777" w:rsidR="0020208D" w:rsidRDefault="0020208D"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The resulting GPPmax estimates represent monthly light-saturated photosynthetic capacity and were used as an indicator of vegetation phenological state and canopy activity rather than as an integrated measure of monthly carbon uptake.</w:t>
      </w:r>
    </w:p>
    <w:p w14:paraId="30993C84" w14:textId="77777777" w:rsid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593E2949" w14:textId="77777777" w:rsidR="00341C37" w:rsidRDefault="00341C37" w:rsidP="00341C37">
      <w:pPr>
        <w:spacing w:after="0" w:line="240" w:lineRule="auto"/>
        <w:jc w:val="both"/>
        <w:rPr>
          <w:rFonts w:ascii="Times New Roman" w:eastAsia="Times New Roman" w:hAnsi="Times New Roman" w:cs="Times New Roman"/>
          <w:b/>
          <w:bCs/>
          <w:sz w:val="24"/>
          <w:szCs w:val="24"/>
          <w:lang w:eastAsia="en-GB"/>
          <w14:ligatures w14:val="none"/>
        </w:rPr>
      </w:pPr>
      <w:r w:rsidRPr="00341C37">
        <w:rPr>
          <w:rFonts w:ascii="Times New Roman" w:hAnsi="Times New Roman" w:cs="Times New Roman"/>
          <w:b/>
          <w:bCs/>
          <w:sz w:val="24"/>
          <w:szCs w:val="24"/>
        </w:rPr>
        <w:t xml:space="preserve">Supplementary Method </w:t>
      </w:r>
      <w:r>
        <w:rPr>
          <w:rFonts w:ascii="Times New Roman" w:hAnsi="Times New Roman" w:cs="Times New Roman"/>
          <w:b/>
          <w:bCs/>
          <w:sz w:val="24"/>
          <w:szCs w:val="24"/>
        </w:rPr>
        <w:t>4</w:t>
      </w:r>
      <w:r w:rsidRPr="00341C37">
        <w:rPr>
          <w:rFonts w:ascii="Times New Roman" w:hAnsi="Times New Roman" w:cs="Times New Roman"/>
          <w:b/>
          <w:bCs/>
          <w:sz w:val="24"/>
          <w:szCs w:val="24"/>
        </w:rPr>
        <w:t xml:space="preserve"> | </w:t>
      </w:r>
      <w:r w:rsidRPr="00341C37">
        <w:rPr>
          <w:rFonts w:ascii="Times New Roman" w:eastAsia="Times New Roman" w:hAnsi="Times New Roman" w:cs="Times New Roman"/>
          <w:b/>
          <w:bCs/>
          <w:sz w:val="24"/>
          <w:szCs w:val="24"/>
          <w:lang w:eastAsia="en-GB"/>
          <w14:ligatures w14:val="none"/>
        </w:rPr>
        <w:t>Water-table reconstruction and processing</w:t>
      </w:r>
    </w:p>
    <w:p w14:paraId="6E27DC96" w14:textId="77777777" w:rsidR="00033E53" w:rsidRDefault="00033E53" w:rsidP="00341C37">
      <w:pPr>
        <w:spacing w:after="0" w:line="240" w:lineRule="auto"/>
        <w:jc w:val="both"/>
        <w:rPr>
          <w:rFonts w:eastAsia="Times New Roman"/>
          <w:lang w:eastAsia="en-GB"/>
        </w:rPr>
      </w:pPr>
    </w:p>
    <w:p w14:paraId="456C2BB4" w14:textId="6EF8C8D9" w:rsidR="00E5327B" w:rsidRDefault="00E5327B"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lastRenderedPageBreak/>
        <w:t>Water-table (WT) position was reconstructed from three Solinst absolute-pressure water-level loggers and one barometric-pressure logger. The water-level records contained both hydrostatic and atmospheric pressure, and the barometric record was therefore subtracted from each series to obtain pressure attributable to the water column. Corrected pressure head was converted to water level and referenced to field measurements of logger position, logger depth and local ground elevation.</w:t>
      </w:r>
    </w:p>
    <w:p w14:paraId="0BDEBF48" w14:textId="77777777" w:rsidR="00341C37" w:rsidRPr="00341C37" w:rsidRDefault="00341C37" w:rsidP="00341C37">
      <w:pPr>
        <w:spacing w:after="0" w:line="240" w:lineRule="auto"/>
        <w:jc w:val="both"/>
        <w:rPr>
          <w:rFonts w:eastAsia="Times New Roman"/>
          <w:lang w:eastAsia="en-GB"/>
        </w:rPr>
      </w:pPr>
    </w:p>
    <w:p w14:paraId="61D56797" w14:textId="77777777" w:rsidR="00E5327B" w:rsidRPr="00341C37" w:rsidRDefault="00E5327B"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Where logger records overlapped, they were compared to identify drift, displacement, discontinuities and data gaps and to check consistency of the ground-referenced datum. The final WT series was derived from the most reliable corrected logger record, with the remaining logger records and field measurements used as independent consistency checks.</w:t>
      </w:r>
    </w:p>
    <w:p w14:paraId="52F3E578" w14:textId="77777777" w:rsidR="00E5327B" w:rsidRDefault="00E5327B"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WT was expressed relative to local ground level, with positive values indicating standing water above the wetland surface and negative values indicating water below it. Corrected sub-daily observations were aggregated to daily and monthly means. Monthly WT was used in the environmental-control, residual and multiple-regression analyses, whereas daily WT was used to characterise hydrological change during the seasonal and anomalous high-water periods. Daily and 7-day changes were calculated as WTₜ − WTₜ₋₁ and WTₜ − WTₜ₋₇, respectively, and centred 7-day moving means requiring at least three daily observations were used to visualise event trajectories.</w:t>
      </w:r>
    </w:p>
    <w:p w14:paraId="35B7F1CD" w14:textId="77777777" w:rsid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5E8488AC" w14:textId="64D38809" w:rsidR="00341C37" w:rsidRDefault="00341C37" w:rsidP="00341C37">
      <w:pPr>
        <w:spacing w:after="0" w:line="240" w:lineRule="auto"/>
        <w:jc w:val="both"/>
        <w:rPr>
          <w:rFonts w:eastAsia="Times New Roman"/>
          <w:lang w:eastAsia="en-GB"/>
        </w:rPr>
      </w:pPr>
      <w:r w:rsidRPr="00341C37">
        <w:rPr>
          <w:rFonts w:ascii="Times New Roman" w:hAnsi="Times New Roman" w:cs="Times New Roman"/>
          <w:b/>
          <w:bCs/>
          <w:sz w:val="24"/>
          <w:szCs w:val="24"/>
        </w:rPr>
        <w:t xml:space="preserve">Supplementary Method </w:t>
      </w:r>
      <w:r>
        <w:rPr>
          <w:rFonts w:ascii="Times New Roman" w:hAnsi="Times New Roman" w:cs="Times New Roman"/>
          <w:b/>
          <w:bCs/>
          <w:sz w:val="24"/>
          <w:szCs w:val="24"/>
        </w:rPr>
        <w:t>5</w:t>
      </w:r>
      <w:r w:rsidRPr="00341C37">
        <w:rPr>
          <w:rFonts w:ascii="Times New Roman" w:hAnsi="Times New Roman" w:cs="Times New Roman"/>
          <w:b/>
          <w:bCs/>
          <w:sz w:val="24"/>
          <w:szCs w:val="24"/>
        </w:rPr>
        <w:t xml:space="preserve"> | </w:t>
      </w:r>
      <w:r w:rsidRPr="00341C37">
        <w:rPr>
          <w:rFonts w:ascii="Times New Roman" w:eastAsia="Times New Roman" w:hAnsi="Times New Roman" w:cs="Times New Roman"/>
          <w:b/>
          <w:bCs/>
          <w:sz w:val="24"/>
          <w:szCs w:val="24"/>
          <w:lang w:eastAsia="en-GB"/>
          <w14:ligatures w14:val="none"/>
        </w:rPr>
        <w:t>MODIS vegetation-index processing</w:t>
      </w:r>
    </w:p>
    <w:p w14:paraId="3788390D"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2B84C176" w14:textId="77777777" w:rsidR="00514C76" w:rsidRDefault="00514C7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Satellite greenness was characterised using the MODIS/Terra MOD13Q1 Collection 6.1 vegetation-index product, which provides 16-day EVI and NDVI observations at 250-m spatial resolution. EVI and NDVI values were extracted within a 500-m buffer centred on the Mpologoma EC tower. The buffer was used to characterise canopy greenness in the surrounding papyrus wetland and was not treated as equivalent to the instantaneous EC footprint, which varied with wind direction and micrometeorological conditions.</w:t>
      </w:r>
    </w:p>
    <w:p w14:paraId="59A52332"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1EFE8FFB" w14:textId="77777777" w:rsidR="00514C76" w:rsidRDefault="00514C7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MODIS quality screening was based on the SummaryQA band. Pixels classified as good quality or marginal quality were retained, whereas pixels classified as snow/ice affected or cloudy were excluded. EVI and NDVI values were converted to their physical scale using the MOD13Q1 scale factor of 0.0001. Quality-screened observations were composited by month, and mean EVI and NDVI were extracted across the 500-m tower buffer for each monthly composite.</w:t>
      </w:r>
    </w:p>
    <w:p w14:paraId="60F20BAE" w14:textId="77777777" w:rsidR="00341C37" w:rsidRPr="00341C37" w:rsidRDefault="00341C37" w:rsidP="00341C37">
      <w:pPr>
        <w:spacing w:after="0" w:line="240" w:lineRule="auto"/>
        <w:jc w:val="both"/>
        <w:rPr>
          <w:rFonts w:ascii="Times New Roman" w:eastAsia="Times New Roman" w:hAnsi="Times New Roman" w:cs="Times New Roman"/>
          <w:sz w:val="24"/>
          <w:szCs w:val="24"/>
          <w:lang w:eastAsia="en-GB"/>
          <w14:ligatures w14:val="none"/>
        </w:rPr>
      </w:pPr>
    </w:p>
    <w:p w14:paraId="26E647EF" w14:textId="77777777" w:rsidR="00514C76" w:rsidRDefault="00514C7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The resulting monthly EVI and NDVI series were aligned with monthly FCH₄, GPPmax and water-table observations using the monthly timestamp. Both indices were interpreted as satellite-based indicators of canopy greenness and phenological state rather than as direct measurements of productivity within the instantaneous EC footprint. EVI was retained alongside NDVI because it maintains greater sensitivity under dense, high-biomass vegetation conditions, where NDVI can become less responsive.</w:t>
      </w:r>
    </w:p>
    <w:p w14:paraId="31E1C8E9" w14:textId="77777777" w:rsidR="00105F75" w:rsidRDefault="00105F75" w:rsidP="00341C37">
      <w:pPr>
        <w:spacing w:after="0" w:line="240" w:lineRule="auto"/>
        <w:jc w:val="both"/>
        <w:rPr>
          <w:rFonts w:ascii="Times New Roman" w:eastAsia="Times New Roman" w:hAnsi="Times New Roman" w:cs="Times New Roman"/>
          <w:sz w:val="24"/>
          <w:szCs w:val="24"/>
          <w:lang w:eastAsia="en-GB"/>
          <w14:ligatures w14:val="none"/>
        </w:rPr>
      </w:pPr>
    </w:p>
    <w:p w14:paraId="0BE14FD7" w14:textId="77777777" w:rsidR="00704FEE" w:rsidRDefault="00704FEE" w:rsidP="00341C37">
      <w:pPr>
        <w:spacing w:after="0" w:line="240" w:lineRule="auto"/>
        <w:jc w:val="both"/>
        <w:rPr>
          <w:rFonts w:ascii="Times New Roman" w:eastAsia="Times New Roman" w:hAnsi="Times New Roman" w:cs="Times New Roman"/>
          <w:b/>
          <w:bCs/>
          <w:sz w:val="24"/>
          <w:szCs w:val="24"/>
          <w:lang w:eastAsia="en-GB"/>
          <w14:ligatures w14:val="none"/>
        </w:rPr>
      </w:pPr>
      <w:r w:rsidRPr="00341C37">
        <w:rPr>
          <w:rFonts w:ascii="Times New Roman" w:hAnsi="Times New Roman" w:cs="Times New Roman"/>
          <w:b/>
          <w:bCs/>
          <w:sz w:val="24"/>
          <w:szCs w:val="24"/>
        </w:rPr>
        <w:t xml:space="preserve">Supplementary Method </w:t>
      </w:r>
      <w:r>
        <w:rPr>
          <w:rFonts w:ascii="Times New Roman" w:hAnsi="Times New Roman" w:cs="Times New Roman"/>
          <w:b/>
          <w:bCs/>
          <w:sz w:val="24"/>
          <w:szCs w:val="24"/>
        </w:rPr>
        <w:t>6</w:t>
      </w:r>
      <w:r w:rsidRPr="00341C37">
        <w:rPr>
          <w:rFonts w:ascii="Times New Roman" w:hAnsi="Times New Roman" w:cs="Times New Roman"/>
          <w:b/>
          <w:bCs/>
          <w:sz w:val="24"/>
          <w:szCs w:val="24"/>
        </w:rPr>
        <w:t xml:space="preserve"> | </w:t>
      </w:r>
      <w:r w:rsidRPr="00704FEE">
        <w:rPr>
          <w:rFonts w:ascii="Times New Roman" w:eastAsia="Times New Roman" w:hAnsi="Times New Roman" w:cs="Times New Roman"/>
          <w:b/>
          <w:bCs/>
          <w:sz w:val="24"/>
          <w:szCs w:val="24"/>
          <w:lang w:eastAsia="en-GB"/>
          <w14:ligatures w14:val="none"/>
        </w:rPr>
        <w:t>Temporal aggregation, analytical windows and unit conversion</w:t>
      </w:r>
    </w:p>
    <w:p w14:paraId="7E10395D" w14:textId="77777777" w:rsidR="00033E53" w:rsidRDefault="00033E53" w:rsidP="00341C37">
      <w:pPr>
        <w:spacing w:after="0" w:line="240" w:lineRule="auto"/>
        <w:jc w:val="both"/>
        <w:rPr>
          <w:rFonts w:ascii="Times New Roman" w:eastAsia="Times New Roman" w:hAnsi="Times New Roman" w:cs="Times New Roman"/>
          <w:sz w:val="24"/>
          <w:szCs w:val="24"/>
          <w:lang w:eastAsia="en-GB"/>
          <w14:ligatures w14:val="none"/>
        </w:rPr>
      </w:pPr>
    </w:p>
    <w:p w14:paraId="47A46609" w14:textId="02D745EF" w:rsidR="00F72624" w:rsidRDefault="00F72624"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lastRenderedPageBreak/>
        <w:t xml:space="preserve">The EddyPro full-output record spanned 35 calendar months from March 2023 to January 2026, of which 25 contained quality-controlled FCH₄ observations after application of the screening criteria described in Supplementary Method </w:t>
      </w:r>
      <w:r w:rsidR="003A2869">
        <w:rPr>
          <w:rFonts w:ascii="Times New Roman" w:eastAsia="Times New Roman" w:hAnsi="Times New Roman" w:cs="Times New Roman"/>
          <w:sz w:val="24"/>
          <w:szCs w:val="24"/>
          <w:lang w:eastAsia="en-GB"/>
          <w14:ligatures w14:val="none"/>
        </w:rPr>
        <w:t>1</w:t>
      </w:r>
      <w:r w:rsidRPr="00341C37">
        <w:rPr>
          <w:rFonts w:ascii="Times New Roman" w:eastAsia="Times New Roman" w:hAnsi="Times New Roman" w:cs="Times New Roman"/>
          <w:sz w:val="24"/>
          <w:szCs w:val="24"/>
          <w:lang w:eastAsia="en-GB"/>
          <w14:ligatures w14:val="none"/>
        </w:rPr>
        <w:t>. Because data recovery varied among months and across the diel cycle, temporal aggregation was designed to minimise disproportionate weighting of periods with greater observational coverage.</w:t>
      </w:r>
    </w:p>
    <w:p w14:paraId="061D7E2A" w14:textId="77777777" w:rsidR="009078D2" w:rsidRPr="00341C37" w:rsidRDefault="009078D2" w:rsidP="00341C37">
      <w:pPr>
        <w:spacing w:after="0" w:line="240" w:lineRule="auto"/>
        <w:jc w:val="both"/>
        <w:rPr>
          <w:rFonts w:ascii="Times New Roman" w:eastAsia="Times New Roman" w:hAnsi="Times New Roman" w:cs="Times New Roman"/>
          <w:sz w:val="24"/>
          <w:szCs w:val="24"/>
          <w:lang w:eastAsia="en-GB"/>
          <w14:ligatures w14:val="none"/>
        </w:rPr>
      </w:pPr>
    </w:p>
    <w:p w14:paraId="08EB4EAD" w14:textId="77777777" w:rsidR="00F72624" w:rsidRDefault="00F72624"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FCH₄ was converted from µmol CH₄ m⁻² s⁻¹ to mg CH₄ m⁻² d⁻¹ using a CH₄ molar mass of 16.00 g mol⁻¹, corresponding to a conversion factor of 1,382.4. Annualised fluxes were calculated by multiplying daily fluxes by 365 and converting from mg to g. Areal conversions used 1 g m⁻² = 0.01 t ha⁻¹.</w:t>
      </w:r>
    </w:p>
    <w:p w14:paraId="585B8D2F" w14:textId="77777777" w:rsidR="009078D2" w:rsidRPr="00341C37" w:rsidRDefault="009078D2" w:rsidP="00341C37">
      <w:pPr>
        <w:spacing w:after="0" w:line="240" w:lineRule="auto"/>
        <w:jc w:val="both"/>
        <w:rPr>
          <w:rFonts w:ascii="Times New Roman" w:eastAsia="Times New Roman" w:hAnsi="Times New Roman" w:cs="Times New Roman"/>
          <w:sz w:val="24"/>
          <w:szCs w:val="24"/>
          <w:lang w:eastAsia="en-GB"/>
          <w14:ligatures w14:val="none"/>
        </w:rPr>
      </w:pPr>
    </w:p>
    <w:p w14:paraId="4635E970" w14:textId="3B6813F5" w:rsidR="00F72624" w:rsidRDefault="00F72624"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 xml:space="preserve">The </w:t>
      </w:r>
      <w:r w:rsidR="007A000A" w:rsidRPr="00341C37">
        <w:rPr>
          <w:rFonts w:ascii="Times New Roman" w:eastAsia="Times New Roman" w:hAnsi="Times New Roman" w:cs="Times New Roman"/>
          <w:sz w:val="24"/>
          <w:szCs w:val="24"/>
          <w:lang w:eastAsia="en-GB"/>
          <w14:ligatures w14:val="none"/>
        </w:rPr>
        <w:t xml:space="preserve">FCH₄ </w:t>
      </w:r>
      <w:r w:rsidRPr="00341C37">
        <w:rPr>
          <w:rFonts w:ascii="Times New Roman" w:eastAsia="Times New Roman" w:hAnsi="Times New Roman" w:cs="Times New Roman"/>
          <w:sz w:val="24"/>
          <w:szCs w:val="24"/>
          <w:lang w:eastAsia="en-GB"/>
          <w14:ligatures w14:val="none"/>
        </w:rPr>
        <w:t>estimate was derived from monthly diel curves. Within each calendar month, valid half-hourly FCH₄ observations were assigned to 48 half-hour time-of-day bins. An individual diel bin was retained only when that half-hour period was represented by valid observations on at least three separate days within the month. Mean FCH₄ was calculated independently for each retained diel bin, and the retained bin means were then averaged with equal weighting to obtain one monthly FCH₄ value. The site-level estimate was calculated as the unweighted mean of the qualifying monthly values, such that each month contributed equally irrespective of the number of half-hourly observations recovered within that month.</w:t>
      </w:r>
    </w:p>
    <w:p w14:paraId="06E3760D" w14:textId="77777777" w:rsidR="007A000A" w:rsidRPr="00341C37" w:rsidRDefault="007A000A" w:rsidP="00341C37">
      <w:pPr>
        <w:spacing w:after="0" w:line="240" w:lineRule="auto"/>
        <w:jc w:val="both"/>
        <w:rPr>
          <w:rFonts w:ascii="Times New Roman" w:eastAsia="Times New Roman" w:hAnsi="Times New Roman" w:cs="Times New Roman"/>
          <w:sz w:val="24"/>
          <w:szCs w:val="24"/>
          <w:lang w:eastAsia="en-GB"/>
          <w14:ligatures w14:val="none"/>
        </w:rPr>
      </w:pPr>
    </w:p>
    <w:p w14:paraId="1D493612" w14:textId="2C2205CB" w:rsidR="00F72624" w:rsidRDefault="00F72624"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This diel-coverage criterion retained 22 of the 25 months containing valid FCH₄ observations and yielded the preferred site estimate of 720.5 ± 378.7 mg CH₄ m⁻² d⁻¹ (263.0 ± 138.2 g CH₄ m⁻² yr⁻¹; mean ± s.d. across monthly values). March 2024, July 2025 and January 2026 contained valid FCH₄ observations but did not satisfy the three-day diel-bin replication criterion and were therefore excluded from the estimate.</w:t>
      </w:r>
    </w:p>
    <w:p w14:paraId="7F866A41" w14:textId="77777777" w:rsidR="007A000A" w:rsidRPr="00341C37" w:rsidRDefault="007A000A" w:rsidP="00341C37">
      <w:pPr>
        <w:spacing w:after="0" w:line="240" w:lineRule="auto"/>
        <w:jc w:val="both"/>
        <w:rPr>
          <w:rFonts w:ascii="Times New Roman" w:eastAsia="Times New Roman" w:hAnsi="Times New Roman" w:cs="Times New Roman"/>
          <w:sz w:val="24"/>
          <w:szCs w:val="24"/>
          <w:lang w:eastAsia="en-GB"/>
          <w14:ligatures w14:val="none"/>
        </w:rPr>
      </w:pPr>
    </w:p>
    <w:p w14:paraId="1CAC15DA" w14:textId="30E43482" w:rsidR="00F72624" w:rsidRDefault="00F72624"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 xml:space="preserve">Sensitivity analyses quantified the influence of temporal weighting and data coverage on the site-level mean. A direct mean of all retained half-hourly observations yielded </w:t>
      </w:r>
      <w:r w:rsidR="0068119F">
        <w:rPr>
          <w:rFonts w:ascii="Times New Roman" w:eastAsia="Times New Roman" w:hAnsi="Times New Roman" w:cs="Times New Roman"/>
          <w:sz w:val="24"/>
          <w:szCs w:val="24"/>
          <w:lang w:eastAsia="en-GB"/>
          <w14:ligatures w14:val="none"/>
        </w:rPr>
        <w:t>800</w:t>
      </w:r>
      <w:r w:rsidRPr="00341C37">
        <w:rPr>
          <w:rFonts w:ascii="Times New Roman" w:eastAsia="Times New Roman" w:hAnsi="Times New Roman" w:cs="Times New Roman"/>
          <w:sz w:val="24"/>
          <w:szCs w:val="24"/>
          <w:lang w:eastAsia="en-GB"/>
          <w14:ligatures w14:val="none"/>
        </w:rPr>
        <w:t xml:space="preserve"> mg CH₄ m⁻² d⁻¹; because this approach gives greater influence to months and diel periods with more observations, it was treated as coverage sensitive rather than as the preferred site estimate. Alternative unweighted monthly, daily-to-monthly and monthly diel approaches without the three-day bin-replication criterion retained all 25 valid months and yielded estimates of </w:t>
      </w:r>
      <w:r w:rsidR="0068119F">
        <w:rPr>
          <w:rFonts w:ascii="Times New Roman" w:eastAsia="Times New Roman" w:hAnsi="Times New Roman" w:cs="Times New Roman"/>
          <w:sz w:val="24"/>
          <w:szCs w:val="24"/>
          <w:lang w:eastAsia="en-GB"/>
          <w14:ligatures w14:val="none"/>
        </w:rPr>
        <w:t>700</w:t>
      </w:r>
      <w:r w:rsidRPr="00341C37">
        <w:rPr>
          <w:rFonts w:ascii="Times New Roman" w:eastAsia="Times New Roman" w:hAnsi="Times New Roman" w:cs="Times New Roman"/>
          <w:sz w:val="24"/>
          <w:szCs w:val="24"/>
          <w:lang w:eastAsia="en-GB"/>
          <w14:ligatures w14:val="none"/>
        </w:rPr>
        <w:t>–711.4 mg CH₄ m⁻² d⁻¹. Weighting the 25 monthly diel estimates by the number of valid days yielded 77</w:t>
      </w:r>
      <w:r w:rsidR="0068119F">
        <w:rPr>
          <w:rFonts w:ascii="Times New Roman" w:eastAsia="Times New Roman" w:hAnsi="Times New Roman" w:cs="Times New Roman"/>
          <w:sz w:val="24"/>
          <w:szCs w:val="24"/>
          <w:lang w:eastAsia="en-GB"/>
          <w14:ligatures w14:val="none"/>
        </w:rPr>
        <w:t>2</w:t>
      </w:r>
      <w:r w:rsidRPr="00341C37">
        <w:rPr>
          <w:rFonts w:ascii="Times New Roman" w:eastAsia="Times New Roman" w:hAnsi="Times New Roman" w:cs="Times New Roman"/>
          <w:sz w:val="24"/>
          <w:szCs w:val="24"/>
          <w:lang w:eastAsia="en-GB"/>
          <w14:ligatures w14:val="none"/>
        </w:rPr>
        <w:t xml:space="preserve"> ± 366.0 mg CH₄ m⁻² d⁻¹, whereas weighting the same monthly values by the number of valid half-hourly observations yielded 81</w:t>
      </w:r>
      <w:r w:rsidR="00064C1B">
        <w:rPr>
          <w:rFonts w:ascii="Times New Roman" w:eastAsia="Times New Roman" w:hAnsi="Times New Roman" w:cs="Times New Roman"/>
          <w:sz w:val="24"/>
          <w:szCs w:val="24"/>
          <w:lang w:eastAsia="en-GB"/>
          <w14:ligatures w14:val="none"/>
        </w:rPr>
        <w:t>1</w:t>
      </w:r>
      <w:r w:rsidRPr="00341C37">
        <w:rPr>
          <w:rFonts w:ascii="Times New Roman" w:eastAsia="Times New Roman" w:hAnsi="Times New Roman" w:cs="Times New Roman"/>
          <w:sz w:val="24"/>
          <w:szCs w:val="24"/>
          <w:lang w:eastAsia="en-GB"/>
          <w14:ligatures w14:val="none"/>
        </w:rPr>
        <w:t xml:space="preserve"> ± 356.9 mg CH₄ m⁻² d⁻¹. The latter represents the highest predefined coverage-weighted sensitivity estimate and was not used as the principal site mean. An additional month-level coverage sensitivity requiring representation of at least 43 of the 48 diel bins retained 21 months and yielded 74</w:t>
      </w:r>
      <w:r w:rsidR="00F96836">
        <w:rPr>
          <w:rFonts w:ascii="Times New Roman" w:eastAsia="Times New Roman" w:hAnsi="Times New Roman" w:cs="Times New Roman"/>
          <w:sz w:val="24"/>
          <w:szCs w:val="24"/>
          <w:lang w:eastAsia="en-GB"/>
          <w14:ligatures w14:val="none"/>
        </w:rPr>
        <w:t>1</w:t>
      </w:r>
      <w:r w:rsidRPr="00341C37">
        <w:rPr>
          <w:rFonts w:ascii="Times New Roman" w:eastAsia="Times New Roman" w:hAnsi="Times New Roman" w:cs="Times New Roman"/>
          <w:sz w:val="24"/>
          <w:szCs w:val="24"/>
          <w:lang w:eastAsia="en-GB"/>
          <w14:ligatures w14:val="none"/>
        </w:rPr>
        <w:t xml:space="preserve"> ± 375.7 mg CH₄ m⁻² d⁻¹. Together, these analyses were used to assess the robustness of the reported site mean to alternative temporal-weighting and coverage assumptions.</w:t>
      </w:r>
    </w:p>
    <w:p w14:paraId="09D83985" w14:textId="77777777" w:rsidR="00822B58" w:rsidRPr="00341C37" w:rsidRDefault="00822B58" w:rsidP="00341C37">
      <w:pPr>
        <w:spacing w:after="0" w:line="240" w:lineRule="auto"/>
        <w:jc w:val="both"/>
        <w:rPr>
          <w:rFonts w:ascii="Times New Roman" w:eastAsia="Times New Roman" w:hAnsi="Times New Roman" w:cs="Times New Roman"/>
          <w:sz w:val="24"/>
          <w:szCs w:val="24"/>
          <w:lang w:eastAsia="en-GB"/>
          <w14:ligatures w14:val="none"/>
        </w:rPr>
      </w:pPr>
    </w:p>
    <w:p w14:paraId="10CF0059" w14:textId="77777777" w:rsidR="00F72624" w:rsidRDefault="00F72624"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 xml:space="preserve">The full recoverable FCH₄ record was used to characterise overall flux magnitude and temporal variability. Environmental-control analyses were restricted to a 12-month common-overlap period for which monthly quality-controlled FCH₄, GPPmax, water-table </w:t>
      </w:r>
      <w:r w:rsidRPr="00341C37">
        <w:rPr>
          <w:rFonts w:ascii="Times New Roman" w:eastAsia="Times New Roman" w:hAnsi="Times New Roman" w:cs="Times New Roman"/>
          <w:sz w:val="24"/>
          <w:szCs w:val="24"/>
          <w:lang w:eastAsia="en-GB"/>
          <w14:ligatures w14:val="none"/>
        </w:rPr>
        <w:lastRenderedPageBreak/>
        <w:t>position and MODIS greenness observations were simultaneously available. This analytical window comprised October–December 2023, January–March 2024 and July–December 2024. Data collected after two fires on 7 and 23 February 2025 were retained when quantifying the broader recoverable FCH₄ record but were excluded from environmental-control inference because fire damage and subsequent vegetation and tower-system recovery could have altered canopy structure, source-area characteristics and the environmental controls on CH₄ exchange.</w:t>
      </w:r>
    </w:p>
    <w:p w14:paraId="2D1FED3E" w14:textId="77777777" w:rsidR="00A0246C" w:rsidRDefault="00A0246C" w:rsidP="00341C37">
      <w:pPr>
        <w:spacing w:after="0" w:line="240" w:lineRule="auto"/>
        <w:jc w:val="both"/>
        <w:rPr>
          <w:rFonts w:ascii="Times New Roman" w:eastAsia="Times New Roman" w:hAnsi="Times New Roman" w:cs="Times New Roman"/>
          <w:sz w:val="24"/>
          <w:szCs w:val="24"/>
          <w:lang w:eastAsia="en-GB"/>
          <w14:ligatures w14:val="none"/>
        </w:rPr>
      </w:pPr>
    </w:p>
    <w:p w14:paraId="3405A797" w14:textId="26E764A2" w:rsidR="00A0246C" w:rsidRPr="00341C37" w:rsidRDefault="00A0246C" w:rsidP="00A0246C">
      <w:pPr>
        <w:spacing w:after="0" w:line="240" w:lineRule="auto"/>
        <w:jc w:val="both"/>
        <w:rPr>
          <w:rFonts w:ascii="Times New Roman" w:hAnsi="Times New Roman" w:cs="Times New Roman"/>
          <w:b/>
          <w:bCs/>
          <w:sz w:val="24"/>
          <w:szCs w:val="24"/>
        </w:rPr>
      </w:pPr>
      <w:r w:rsidRPr="00341C37">
        <w:rPr>
          <w:rFonts w:ascii="Times New Roman" w:hAnsi="Times New Roman" w:cs="Times New Roman"/>
          <w:b/>
          <w:bCs/>
          <w:sz w:val="24"/>
          <w:szCs w:val="24"/>
        </w:rPr>
        <w:t xml:space="preserve">Supplementary Method </w:t>
      </w:r>
      <w:r>
        <w:rPr>
          <w:rFonts w:ascii="Times New Roman" w:hAnsi="Times New Roman" w:cs="Times New Roman"/>
          <w:b/>
          <w:bCs/>
          <w:sz w:val="24"/>
          <w:szCs w:val="24"/>
        </w:rPr>
        <w:t>7</w:t>
      </w:r>
      <w:r w:rsidRPr="00341C37">
        <w:rPr>
          <w:rFonts w:ascii="Times New Roman" w:hAnsi="Times New Roman" w:cs="Times New Roman"/>
          <w:b/>
          <w:bCs/>
          <w:sz w:val="24"/>
          <w:szCs w:val="24"/>
        </w:rPr>
        <w:t xml:space="preserve"> | Manual chamber flux calculation and deployment metadata</w:t>
      </w:r>
    </w:p>
    <w:p w14:paraId="57FB25C5" w14:textId="77777777" w:rsidR="00A0246C" w:rsidRPr="00341C37" w:rsidRDefault="00A0246C" w:rsidP="00A0246C">
      <w:pPr>
        <w:spacing w:after="0" w:line="240" w:lineRule="auto"/>
        <w:jc w:val="both"/>
        <w:rPr>
          <w:rFonts w:ascii="Times New Roman" w:hAnsi="Times New Roman" w:cs="Times New Roman"/>
          <w:b/>
          <w:bCs/>
          <w:sz w:val="24"/>
          <w:szCs w:val="24"/>
        </w:rPr>
      </w:pPr>
    </w:p>
    <w:p w14:paraId="58E4CF35" w14:textId="587B6B0B"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Manual chamber measurements were included to assess whether pathway-scale FCH₄ from soil/water surfaces and plant-mediated emissions could reach magnitudes consistent with the EC tower estimate. Four chamber campaigns were conducted in the Mpologoma papyrus wetland surrounding the tower: February 2023, September 2023, February 2024 and August 2024. During chamber deployment, care was taken to minimise </w:t>
      </w:r>
      <w:r>
        <w:rPr>
          <w:rFonts w:ascii="Times New Roman" w:hAnsi="Times New Roman" w:cs="Times New Roman"/>
          <w:sz w:val="24"/>
          <w:szCs w:val="24"/>
        </w:rPr>
        <w:t>disturbance</w:t>
      </w:r>
      <w:r w:rsidRPr="00341C37">
        <w:rPr>
          <w:rFonts w:ascii="Times New Roman" w:hAnsi="Times New Roman" w:cs="Times New Roman"/>
          <w:sz w:val="24"/>
          <w:szCs w:val="24"/>
        </w:rPr>
        <w:t xml:space="preserve"> around the sampling point because movement on waterlogged or floating papyrus mats can disturb stored gas and stimulate artificial ebullition, a known issue in papyrus wetland chamber measurements</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&lt;EndNote&gt;&lt;Cite&gt;&lt;Author&gt;Were&lt;/Author&gt;&lt;Year&gt;2021&lt;/Year&gt;&lt;RecNum&gt;184&lt;/RecNum&gt;&lt;DisplayText&gt;&lt;style face="superscript"&gt;4&lt;/style&gt;&lt;/DisplayText&gt;&lt;record&gt;&lt;rec-number&gt;184&lt;/rec-number&gt;&lt;foreign-keys&gt;&lt;key app="EN" db-id="wf0e5fxd7vfsd2eaxf6v9efkdspdrrxvtz0f" timestamp="1777995627"&gt;184&lt;/key&gt;&lt;/foreign-keys&gt;&lt;ref-type name="Journal Article"&gt;17&lt;/ref-type&gt;&lt;contributors&gt;&lt;authors&gt;&lt;author&gt;Were, David&lt;/author&gt;&lt;author&gt;Kansiime, Frank&lt;/author&gt;&lt;author&gt;Fetahi, Tadesse&lt;/author&gt;&lt;author&gt;Hein, Thomas&lt;/author&gt;&lt;/authors&gt;&lt;/contributors&gt;&lt;titles&gt;&lt;title&gt;Carbon Dioxide and Methane Fluxes from Various Vegetation Communities of a Natural Tropical Freshwater Wetland in Different Seasons&lt;/title&gt;&lt;secondary-title&gt;Environmental Processes&lt;/secondary-title&gt;&lt;/titles&gt;&lt;periodical&gt;&lt;full-title&gt;Environmental Processes&lt;/full-title&gt;&lt;/periodical&gt;&lt;pages&gt;553-571&lt;/pages&gt;&lt;volume&gt;8&lt;/volume&gt;&lt;number&gt;2&lt;/number&gt;&lt;dates&gt;&lt;year&gt;2021&lt;/year&gt;&lt;pub-dates&gt;&lt;date&gt;2021/06/01&lt;/date&gt;&lt;/pub-dates&gt;&lt;/dates&gt;&lt;isbn&gt;2198-7505&lt;/isbn&gt;&lt;urls&gt;&lt;related-urls&gt;&lt;url&gt;https://doi.org/10.1007/s40710-021-00497-0&lt;/url&gt;&lt;/related-urls&gt;&lt;/urls&gt;&lt;electronic-resource-num&gt;10.1007/s40710-021-00497-0&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4</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 The chamber measurements were therefore interpreted as short-term pathway-scale estimates and were not designed to quantify ebullition events. Scaled plant-mediated estimates were used only to provide pathway-scale context for the tower measurements and were not used to gap-fill the EC</w:t>
      </w:r>
      <w:r>
        <w:rPr>
          <w:rFonts w:ascii="Times New Roman" w:hAnsi="Times New Roman" w:cs="Times New Roman"/>
          <w:sz w:val="24"/>
          <w:szCs w:val="24"/>
        </w:rPr>
        <w:t xml:space="preserve"> F</w:t>
      </w:r>
      <w:r w:rsidRPr="00341C37">
        <w:rPr>
          <w:rFonts w:ascii="Times New Roman" w:hAnsi="Times New Roman" w:cs="Times New Roman"/>
          <w:sz w:val="24"/>
          <w:szCs w:val="24"/>
        </w:rPr>
        <w:t>CH₄ record.</w:t>
      </w:r>
    </w:p>
    <w:p w14:paraId="5CEDF985" w14:textId="77777777" w:rsidR="00A0246C" w:rsidRPr="00341C37" w:rsidRDefault="00A0246C" w:rsidP="00A0246C">
      <w:pPr>
        <w:spacing w:after="0" w:line="240" w:lineRule="auto"/>
        <w:jc w:val="both"/>
        <w:rPr>
          <w:rFonts w:ascii="Times New Roman" w:hAnsi="Times New Roman" w:cs="Times New Roman"/>
          <w:sz w:val="24"/>
          <w:szCs w:val="24"/>
        </w:rPr>
      </w:pPr>
    </w:p>
    <w:p w14:paraId="308A5848" w14:textId="77777777" w:rsidR="00A0246C" w:rsidRDefault="00A0246C" w:rsidP="00A0246C">
      <w:pPr>
        <w:spacing w:after="0" w:line="240" w:lineRule="auto"/>
        <w:jc w:val="both"/>
        <w:rPr>
          <w:rFonts w:ascii="Times New Roman" w:hAnsi="Times New Roman" w:cs="Times New Roman"/>
          <w:sz w:val="24"/>
          <w:szCs w:val="24"/>
        </w:rPr>
      </w:pPr>
      <w:r w:rsidRPr="00012D50">
        <w:rPr>
          <w:rFonts w:ascii="Times New Roman" w:hAnsi="Times New Roman" w:cs="Times New Roman"/>
          <w:sz w:val="24"/>
          <w:szCs w:val="24"/>
        </w:rPr>
        <w:t>The chamber processing followed four audit stages: recorded auxiliary windows, successfully recovered CH₄ fluxes, the soil/water subset used for the seasonal pathway comparison, and the age-class subset used for plant ground-area scaling. The auxiliary metadata contained 30 soil/water chamber windows and 163 plant-mediated chamber windows. CH₄ fluxes were successfully recovered for 30 soil/water windows and 152 plant-mediated windows. Plant-mediated recovery was 87/87 in February 2023, 12/22 in September 2023, 27/27 in February 2024 and 26/27 in August 2024. The unrecovered plant windows reflected raw-file or timing mismatches and were not used in flux calculations.</w:t>
      </w:r>
      <w:r>
        <w:rPr>
          <w:rFonts w:ascii="Times New Roman" w:hAnsi="Times New Roman" w:cs="Times New Roman"/>
          <w:sz w:val="24"/>
          <w:szCs w:val="24"/>
        </w:rPr>
        <w:t xml:space="preserve"> </w:t>
      </w:r>
      <w:r w:rsidRPr="00341C37">
        <w:rPr>
          <w:rFonts w:ascii="Times New Roman" w:hAnsi="Times New Roman" w:cs="Times New Roman"/>
          <w:sz w:val="24"/>
          <w:szCs w:val="24"/>
        </w:rPr>
        <w:t>Most retained deployments were short, spanning 10 min.</w:t>
      </w:r>
    </w:p>
    <w:p w14:paraId="46698A63" w14:textId="77777777" w:rsidR="00A0246C" w:rsidRDefault="00A0246C" w:rsidP="00A0246C">
      <w:pPr>
        <w:spacing w:after="0" w:line="240" w:lineRule="auto"/>
        <w:jc w:val="both"/>
        <w:rPr>
          <w:rFonts w:ascii="Times New Roman" w:hAnsi="Times New Roman" w:cs="Times New Roman"/>
          <w:sz w:val="24"/>
          <w:szCs w:val="24"/>
        </w:rPr>
      </w:pPr>
    </w:p>
    <w:p w14:paraId="59EED5B3" w14:textId="77777777" w:rsidR="00A0246C" w:rsidRPr="001C5129" w:rsidRDefault="00A0246C" w:rsidP="00A0246C">
      <w:pPr>
        <w:spacing w:after="0" w:line="240" w:lineRule="auto"/>
        <w:jc w:val="both"/>
        <w:rPr>
          <w:rFonts w:ascii="Times New Roman" w:hAnsi="Times New Roman" w:cs="Times New Roman"/>
          <w:sz w:val="24"/>
          <w:szCs w:val="24"/>
        </w:rPr>
      </w:pPr>
      <w:r w:rsidRPr="001C5129">
        <w:rPr>
          <w:rFonts w:ascii="Times New Roman" w:hAnsi="Times New Roman" w:cs="Times New Roman"/>
          <w:sz w:val="24"/>
          <w:szCs w:val="24"/>
        </w:rPr>
        <w:t xml:space="preserve">Closure duration was audited separately for the soil/water subset used in the seasonal pathway comparison and for all recovered plant-mediated CH₄ fluxes. The retained soil/water subset used in Fig. 4 comprised 18 CH₄ time series, with closure durations of 5 min (1/18, 5.6%), 9 min (1/18, 5.6%) or 10 min (16/18, 88.9%); these deployments were collected between 06:46 and 16:48 local time. For plant-mediated chambers, CH₄ fluxes were recovered for 152 time series, with closure durations of 6 min (1/152, 0.7%), 7 min (4/152, 2.6%), 8 min (2/152, 1.3%), 9 min (12/152, 7.9%), 10 min (126/152, 82.9%), 11 min (3/152, 2.0%), 12 min (1/152, 0.7%), 13 min (2/152, 1.3%) or 15 min (1/152, 0.7%). Most recovered plant-mediated time series were collected during daylight hours, with 147 of 152 measurements made between 07:15 and 18:59 local time; the remaining five were collected outside full daylight conditions, comprising two before sunrise at 06:15 and 06:29, one near dawn at 06:55, and two after sunset at 19:30 and 19:47. These recovered plant-mediated fluxes included all available plant age classes and plant-part measurements </w:t>
      </w:r>
      <w:r w:rsidRPr="001C5129">
        <w:rPr>
          <w:rFonts w:ascii="Times New Roman" w:hAnsi="Times New Roman" w:cs="Times New Roman"/>
          <w:sz w:val="24"/>
          <w:szCs w:val="24"/>
        </w:rPr>
        <w:lastRenderedPageBreak/>
        <w:t>after raw-file matching; only juvenile and mature observations were subsequently used for the Farmer-style ground-area scaling shown in Fig. 4 and Extended Data Fig. 3.</w:t>
      </w:r>
    </w:p>
    <w:p w14:paraId="3A8916C9" w14:textId="77777777" w:rsidR="00A0246C" w:rsidRPr="00341C37" w:rsidRDefault="00A0246C" w:rsidP="00A0246C">
      <w:pPr>
        <w:spacing w:after="0" w:line="240" w:lineRule="auto"/>
        <w:jc w:val="both"/>
        <w:rPr>
          <w:rFonts w:ascii="Times New Roman" w:hAnsi="Times New Roman" w:cs="Times New Roman"/>
          <w:sz w:val="24"/>
          <w:szCs w:val="24"/>
        </w:rPr>
      </w:pPr>
    </w:p>
    <w:p w14:paraId="383BDFEE"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FCH₄ from this study were calculated from raw Los Gatos UGGA greenhouse-gas analyser concentration time series using chamber-specific field metadata. Soil/water fluxes were measured using a closed cylindrical chamber with a 27 L headspace volume and a 764.26 cm² footprint area, corresponding to an approximately 31.2 cm diameter footprint. For plant-mediated measurements, the effective chamber headspace was calculated as the air volume enclosed around the papyrus stem. This was obtained by summing the empty volume of the connected chamber modules and subtracting the enclosed plant volume estimated from field geometry measurements. Each 100 cm module had a 5.2 cm internal diameter, corresponding to a 21.24 cm² cross-sectional area and an empty headspace volume of approximately 2.12 L.</w:t>
      </w:r>
    </w:p>
    <w:p w14:paraId="6C0A8F2A" w14:textId="77777777" w:rsidR="00A0246C" w:rsidRPr="00341C37" w:rsidRDefault="00A0246C" w:rsidP="00A0246C">
      <w:pPr>
        <w:spacing w:after="0" w:line="240" w:lineRule="auto"/>
        <w:jc w:val="both"/>
        <w:rPr>
          <w:rFonts w:ascii="Times New Roman" w:hAnsi="Times New Roman" w:cs="Times New Roman"/>
          <w:sz w:val="24"/>
          <w:szCs w:val="24"/>
        </w:rPr>
      </w:pPr>
    </w:p>
    <w:p w14:paraId="6C233910" w14:textId="77777777" w:rsidR="00A0246C" w:rsidRPr="00341C37" w:rsidRDefault="00A0246C" w:rsidP="00A0246C">
      <w:pPr>
        <w:spacing w:after="0" w:line="240" w:lineRule="auto"/>
        <w:jc w:val="both"/>
        <w:rPr>
          <w:rFonts w:ascii="Times New Roman" w:hAnsi="Times New Roman" w:cs="Times New Roman"/>
          <w:sz w:val="24"/>
          <w:szCs w:val="24"/>
        </w:rPr>
      </w:pPr>
      <w:r w:rsidRPr="00825DD1">
        <w:rPr>
          <w:rFonts w:ascii="Times New Roman" w:hAnsi="Times New Roman" w:cs="Times New Roman"/>
          <w:sz w:val="24"/>
          <w:szCs w:val="24"/>
        </w:rPr>
        <w:t>Chamber temperature was available for all 30 recovered soil/water CH₄ fluxes and all 152 recovered plant-mediated CH₄ fluxes.</w:t>
      </w:r>
      <w:r>
        <w:rPr>
          <w:rFonts w:ascii="Times New Roman" w:hAnsi="Times New Roman" w:cs="Times New Roman"/>
          <w:sz w:val="24"/>
          <w:szCs w:val="24"/>
        </w:rPr>
        <w:t xml:space="preserve"> </w:t>
      </w:r>
      <w:r w:rsidRPr="00341C37">
        <w:rPr>
          <w:rFonts w:ascii="Times New Roman" w:hAnsi="Times New Roman" w:cs="Times New Roman"/>
          <w:sz w:val="24"/>
          <w:szCs w:val="24"/>
        </w:rPr>
        <w:t xml:space="preserve">Chamber temperatures ranged from 22.2 to 37.5 °C for soil/water measurements and from 23.9 to 40.5 °C for plant-mediated measurements. </w:t>
      </w:r>
    </w:p>
    <w:p w14:paraId="1E510FEE" w14:textId="77777777" w:rsidR="00A0246C" w:rsidRPr="00341C37" w:rsidRDefault="00A0246C" w:rsidP="00A0246C">
      <w:pPr>
        <w:spacing w:after="0" w:line="240" w:lineRule="auto"/>
        <w:jc w:val="both"/>
        <w:rPr>
          <w:rFonts w:ascii="Times New Roman" w:hAnsi="Times New Roman" w:cs="Times New Roman"/>
          <w:sz w:val="24"/>
          <w:szCs w:val="24"/>
        </w:rPr>
      </w:pPr>
    </w:p>
    <w:p w14:paraId="26DCCD58"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Flux calculation followed a closed-chamber mass-balance approach. For each chamber closure, dry CH₄ mole fraction was fitted as a linear function of elapsed time:</w:t>
      </w:r>
    </w:p>
    <w:p w14:paraId="7FBE5F10" w14:textId="77777777" w:rsidR="00A0246C" w:rsidRPr="00341C37" w:rsidRDefault="00A0246C" w:rsidP="00A0246C">
      <w:pPr>
        <w:spacing w:after="0" w:line="240" w:lineRule="auto"/>
        <w:jc w:val="both"/>
        <w:rPr>
          <w:rFonts w:ascii="Times New Roman" w:hAnsi="Times New Roman" w:cs="Times New Roman"/>
          <w:sz w:val="24"/>
          <w:szCs w:val="24"/>
        </w:rPr>
      </w:pPr>
    </w:p>
    <w:p w14:paraId="4551EE8F"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C(t) = a + bt</w:t>
      </w:r>
    </w:p>
    <w:p w14:paraId="7339C6A1"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where C is dry CH₄ mole fraction, t is elapsed time and b is the fitted concentration slope. </w:t>
      </w:r>
    </w:p>
    <w:p w14:paraId="0A85F0CC" w14:textId="77777777" w:rsidR="00A0246C" w:rsidRPr="00341C37" w:rsidRDefault="00A0246C" w:rsidP="00A0246C">
      <w:pPr>
        <w:spacing w:after="0" w:line="240" w:lineRule="auto"/>
        <w:jc w:val="both"/>
        <w:rPr>
          <w:rFonts w:ascii="Times New Roman" w:hAnsi="Times New Roman" w:cs="Times New Roman"/>
          <w:sz w:val="24"/>
          <w:szCs w:val="24"/>
        </w:rPr>
      </w:pPr>
    </w:p>
    <w:p w14:paraId="4F738193"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The dry-air amount in the chamber headspace was calculated using the ideal-gas relation:</w:t>
      </w:r>
    </w:p>
    <w:p w14:paraId="680B5E6D" w14:textId="77777777" w:rsidR="00822B58" w:rsidRDefault="00822B58" w:rsidP="00A0246C">
      <w:pPr>
        <w:spacing w:after="0" w:line="240" w:lineRule="auto"/>
        <w:jc w:val="both"/>
        <w:rPr>
          <w:rFonts w:ascii="Times New Roman" w:hAnsi="Times New Roman" w:cs="Times New Roman"/>
          <w:sz w:val="24"/>
          <w:szCs w:val="24"/>
        </w:rPr>
      </w:pPr>
    </w:p>
    <w:p w14:paraId="1D3EB879" w14:textId="1593F42F"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n = PVe(1 − H₂O/10⁶) / RT</w:t>
      </w:r>
    </w:p>
    <w:p w14:paraId="0A37CC28"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where n is the number of moles of dry chamber air, P is atmospheric pressure, Ve is the effective chamber headspace volume, H₂O is the measured water-vapour mole fraction in ppm, R is the universal gas constant and T is chamber air temperature in Kelvin. A pressure of 101.325 kPa was used. </w:t>
      </w:r>
    </w:p>
    <w:p w14:paraId="199FD7FA" w14:textId="77777777" w:rsidR="00A0246C" w:rsidRPr="00341C37" w:rsidRDefault="00A0246C" w:rsidP="00A0246C">
      <w:pPr>
        <w:spacing w:after="0" w:line="240" w:lineRule="auto"/>
        <w:jc w:val="both"/>
        <w:rPr>
          <w:rFonts w:ascii="Times New Roman" w:hAnsi="Times New Roman" w:cs="Times New Roman"/>
          <w:sz w:val="24"/>
          <w:szCs w:val="24"/>
        </w:rPr>
      </w:pPr>
    </w:p>
    <w:p w14:paraId="242D4333"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For soil/water chambers, FCH₄ was normalised by the chamber ground footprint area:</w:t>
      </w:r>
    </w:p>
    <w:p w14:paraId="05994699" w14:textId="77777777" w:rsidR="00822B58" w:rsidRDefault="00822B58" w:rsidP="00A0246C">
      <w:pPr>
        <w:spacing w:after="0" w:line="240" w:lineRule="auto"/>
        <w:jc w:val="both"/>
        <w:rPr>
          <w:rFonts w:ascii="Times New Roman" w:hAnsi="Times New Roman" w:cs="Times New Roman"/>
          <w:sz w:val="24"/>
          <w:szCs w:val="24"/>
        </w:rPr>
      </w:pPr>
    </w:p>
    <w:p w14:paraId="7777C9E6" w14:textId="17327403"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 = bn / A</w:t>
      </w:r>
    </w:p>
    <w:p w14:paraId="49897C9B"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where A is the chamber footprint area. Fluxes were then converted to daily CH₄ mass units and reported as mg CH₄ m⁻² d⁻¹.</w:t>
      </w:r>
    </w:p>
    <w:p w14:paraId="3A7E307C" w14:textId="77777777" w:rsidR="00A0246C" w:rsidRPr="00341C37" w:rsidRDefault="00A0246C" w:rsidP="00A0246C">
      <w:pPr>
        <w:spacing w:after="0" w:line="240" w:lineRule="auto"/>
        <w:jc w:val="both"/>
        <w:rPr>
          <w:rFonts w:ascii="Times New Roman" w:hAnsi="Times New Roman" w:cs="Times New Roman"/>
          <w:sz w:val="24"/>
          <w:szCs w:val="24"/>
        </w:rPr>
      </w:pPr>
    </w:p>
    <w:p w14:paraId="1616C749" w14:textId="017937BA"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The same closure-slope calculation was applied to plant-mediated chambers. Because these chambers enclosed papyrus stems rather than a fixed soil/water surface area, CH₄ accumulation was first expressed per enclosed stem. </w:t>
      </w:r>
      <w:r w:rsidRPr="005F2380">
        <w:rPr>
          <w:rFonts w:ascii="Times New Roman" w:hAnsi="Times New Roman" w:cs="Times New Roman"/>
          <w:sz w:val="24"/>
          <w:szCs w:val="24"/>
        </w:rPr>
        <w:t>Each plant observation used for age-class scaling was assigned to the ontogenetic class recorded in the field metadata.</w:t>
      </w:r>
      <w:r w:rsidRPr="00341C37">
        <w:rPr>
          <w:rFonts w:ascii="Times New Roman" w:hAnsi="Times New Roman" w:cs="Times New Roman"/>
          <w:sz w:val="24"/>
          <w:szCs w:val="24"/>
        </w:rPr>
        <w:t xml:space="preserve"> For comparison with Farmer et al.</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&lt;EndNote&gt;&lt;Cite&gt;&lt;Author&gt;Farmer&lt;/Author&gt;&lt;Year&gt;2026&lt;/Year&gt;&lt;RecNum&gt;210&lt;/RecNum&gt;&lt;DisplayText&gt;&lt;style face="superscript"&gt;5&lt;/style&gt;&lt;/DisplayText&gt;&lt;record&gt;&lt;rec-number&gt;210&lt;/rec-number&gt;&lt;foreign-keys&gt;&lt;key app="EN" db-id="wf0e5fxd7vfsd2eaxf6v9efkdspdrrxvtz0f" timestamp="1782155850"&gt;210&lt;/key&gt;&lt;/foreign-keys&gt;&lt;ref-type name="Journal Article"&gt;17&lt;/ref-type&gt;&lt;contributors&gt;&lt;authors&gt;&lt;author&gt;Farmer, J., Smith, J. U., Burton, H. and Teh, Y. A.&lt;/author&gt;&lt;/authors&gt;&lt;/contributors&gt;&lt;titles&gt;&lt;title&gt;Carbon dioxide and methane emissions from plants and peat soil in a Cyperus papyrus wetland in Uganda. &lt;/title&gt;&lt;secondary-title&gt;Philosophical Transactions of the Royal Society B&lt;/secondary-title&gt;&lt;/titles&gt;&lt;periodical&gt;&lt;full-title&gt;Philosophical Transactions of the Royal Society B&lt;/full-title&gt;&lt;/periodical&gt;&lt;dates&gt;&lt;year&gt;2026&lt;/year&gt;&lt;/dates&gt;&lt;urls&gt;&lt;/urls&gt;&lt;electronic-resource-num&gt;https://doi.org/10.1098/rstb.2025.0048&lt;/electronic-resource-num&gt;&lt;/record&gt;&lt;/Cite&gt;&lt;/EndNote&gt;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5</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 xml:space="preserve">, plant-mediated CH₄ fluxes from this study were calculated using juvenile and mature papyrus observations only, while senescent observations were retained to document sampling coverage but were not included in the cross-study plant-mediated estimate. The dry-season comparison used 29 juvenile+mature observations from </w:t>
      </w:r>
      <w:r w:rsidRPr="00341C37">
        <w:rPr>
          <w:rFonts w:ascii="Times New Roman" w:hAnsi="Times New Roman" w:cs="Times New Roman"/>
          <w:sz w:val="24"/>
          <w:szCs w:val="24"/>
        </w:rPr>
        <w:lastRenderedPageBreak/>
        <w:t>35 extracted plant observations in total (10 juvenile, 19 mature and 6 senescent). The wet-season comparison used 18 juvenile+mature observations from 26 extracted plant observations in total (9 juvenile, 9 mature and 8 senescent). For the comparison, campaign-level juvenile and mature mean plant-mediated fluxes were combined using a 25 stems m⁻² scenario weighted as 17% juvenile and 83% mature stems following the stem-density basis used for area-based papyrus plant-emission estimates by Farmer et al.</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&lt;EndNote&gt;&lt;Cite&gt;&lt;Author&gt;Farmer&lt;/Author&gt;&lt;Year&gt;2026&lt;/Year&gt;&lt;RecNum&gt;210&lt;/RecNum&gt;&lt;DisplayText&gt;&lt;style face="superscript"&gt;5&lt;/style&gt;&lt;/DisplayText&gt;&lt;record&gt;&lt;rec-number&gt;210&lt;/rec-number&gt;&lt;foreign-keys&gt;&lt;key app="EN" db-id="wf0e5fxd7vfsd2eaxf6v9efkdspdrrxvtz0f" timestamp="1782155850"&gt;210&lt;/key&gt;&lt;/foreign-keys&gt;&lt;ref-type name="Journal Article"&gt;17&lt;/ref-type&gt;&lt;contributors&gt;&lt;authors&gt;&lt;author&gt;Farmer, J., Smith, J. U., Burton, H. and Teh, Y. A.&lt;/author&gt;&lt;/authors&gt;&lt;/contributors&gt;&lt;titles&gt;&lt;title&gt;Carbon dioxide and methane emissions from plants and peat soil in a Cyperus papyrus wetland in Uganda. &lt;/title&gt;&lt;secondary-title&gt;Philosophical Transactions of the Royal Society B&lt;/secondary-title&gt;&lt;/titles&gt;&lt;periodical&gt;&lt;full-title&gt;Philosophical Transactions of the Royal Society B&lt;/full-title&gt;&lt;/periodical&gt;&lt;dates&gt;&lt;year&gt;2026&lt;/year&gt;&lt;/dates&gt;&lt;urls&gt;&lt;/urls&gt;&lt;electronic-resource-num&gt;https://doi.org/10.1098/rstb.2025.0048&lt;/electronic-resource-num&gt;&lt;/record&gt;&lt;/Cite&gt;&lt;/EndNote&gt;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5</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w:t>
      </w:r>
    </w:p>
    <w:p w14:paraId="02E804E1" w14:textId="77777777" w:rsidR="00A0246C" w:rsidRPr="00341C37" w:rsidRDefault="00A0246C" w:rsidP="00A0246C">
      <w:pPr>
        <w:spacing w:after="0" w:line="240" w:lineRule="auto"/>
        <w:jc w:val="both"/>
        <w:rPr>
          <w:rFonts w:ascii="Times New Roman" w:hAnsi="Times New Roman" w:cs="Times New Roman"/>
          <w:sz w:val="24"/>
          <w:szCs w:val="24"/>
        </w:rPr>
      </w:pPr>
    </w:p>
    <w:p w14:paraId="1A0FD88C" w14:textId="258F9A28"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Published comparison datasets were harmonised to daily ground-area CH₄ mass units (mg CH₄ m⁻² d⁻¹) before comparison with this study. Farmer et al.</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&lt;EndNote&gt;&lt;Cite&gt;&lt;Author&gt;Farmer&lt;/Author&gt;&lt;Year&gt;2026&lt;/Year&gt;&lt;RecNum&gt;210&lt;/RecNum&gt;&lt;DisplayText&gt;&lt;style face="superscript"&gt;5&lt;/style&gt;&lt;/DisplayText&gt;&lt;record&gt;&lt;rec-number&gt;210&lt;/rec-number&gt;&lt;foreign-keys&gt;&lt;key app="EN" db-id="wf0e5fxd7vfsd2eaxf6v9efkdspdrrxvtz0f" timestamp="1782155850"&gt;210&lt;/key&gt;&lt;/foreign-keys&gt;&lt;ref-type name="Journal Article"&gt;17&lt;/ref-type&gt;&lt;contributors&gt;&lt;authors&gt;&lt;author&gt;Farmer, J., Smith, J. U., Burton, H. and Teh, Y. A.&lt;/author&gt;&lt;/authors&gt;&lt;/contributors&gt;&lt;titles&gt;&lt;title&gt;Carbon dioxide and methane emissions from plants and peat soil in a Cyperus papyrus wetland in Uganda. &lt;/title&gt;&lt;secondary-title&gt;Philosophical Transactions of the Royal Society B&lt;/secondary-title&gt;&lt;/titles&gt;&lt;periodical&gt;&lt;full-title&gt;Philosophical Transactions of the Royal Society B&lt;/full-title&gt;&lt;/periodical&gt;&lt;dates&gt;&lt;year&gt;2026&lt;/year&gt;&lt;/dates&gt;&lt;urls&gt;&lt;/urls&gt;&lt;electronic-resource-num&gt;https://doi.org/10.1098/rstb.2025.0048&lt;/electronic-resource-num&gt;&lt;/record&gt;&lt;/Cite&gt;&lt;/EndNote&gt;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5</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 xml:space="preserve"> reported Mpologoma papyrus chamber values as area-normalised FCH₄ in nmol CH₄ m⁻² s⁻¹, separated into plant-mediated and soil/water chamber components. Their published seasonal grouping was retained, with January–April treated as the dry season and May–December treated as the wet season. Because these values were already expressed per square metre, no area correction was applied. Values were converted only from molar FCH₄ per second to daily CH₄ mass flux:</w:t>
      </w:r>
    </w:p>
    <w:p w14:paraId="6CF33E2A" w14:textId="77777777" w:rsidR="00A0246C" w:rsidRPr="00341C37" w:rsidRDefault="00A0246C" w:rsidP="00A0246C">
      <w:pPr>
        <w:spacing w:after="0" w:line="240" w:lineRule="auto"/>
        <w:jc w:val="both"/>
        <w:rPr>
          <w:rFonts w:ascii="Times New Roman" w:hAnsi="Times New Roman" w:cs="Times New Roman"/>
          <w:sz w:val="24"/>
          <w:szCs w:val="24"/>
        </w:rPr>
      </w:pPr>
    </w:p>
    <w:p w14:paraId="4AA4B0CB"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 = nmol CH₄ m⁻² s⁻¹ × 1.385856</w:t>
      </w:r>
    </w:p>
    <w:p w14:paraId="2B1F2600" w14:textId="11BFF252"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where 1.385856 = 10⁻⁹ mol nmol⁻¹ × 16.04 g mol⁻¹ × 1000 mg g⁻¹ × 86,400 s d⁻¹. Using this conversion, the Farmer et al. </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&lt;EndNote&gt;&lt;Cite&gt;&lt;Author&gt;Farmer&lt;/Author&gt;&lt;Year&gt;2026&lt;/Year&gt;&lt;RecNum&gt;210&lt;/RecNum&gt;&lt;DisplayText&gt;&lt;style face="superscript"&gt;5&lt;/style&gt;&lt;/DisplayText&gt;&lt;record&gt;&lt;rec-number&gt;210&lt;/rec-number&gt;&lt;foreign-keys&gt;&lt;key app="EN" db-id="wf0e5fxd7vfsd2eaxf6v9efkdspdrrxvtz0f" timestamp="1782155850"&gt;210&lt;/key&gt;&lt;/foreign-keys&gt;&lt;ref-type name="Journal Article"&gt;17&lt;/ref-type&gt;&lt;contributors&gt;&lt;authors&gt;&lt;author&gt;Farmer, J., Smith, J. U., Burton, H. and Teh, Y. A.&lt;/author&gt;&lt;/authors&gt;&lt;/contributors&gt;&lt;titles&gt;&lt;title&gt;Carbon dioxide and methane emissions from plants and peat soil in a Cyperus papyrus wetland in Uganda. &lt;/title&gt;&lt;secondary-title&gt;Philosophical Transactions of the Royal Society B&lt;/secondary-title&gt;&lt;/titles&gt;&lt;periodical&gt;&lt;full-title&gt;Philosophical Transactions of the Royal Society B&lt;/full-title&gt;&lt;/periodical&gt;&lt;dates&gt;&lt;year&gt;2026&lt;/year&gt;&lt;/dates&gt;&lt;urls&gt;&lt;/urls&gt;&lt;electronic-resource-num&gt;https://doi.org/10.1098/rstb.2025.0048&lt;/electronic-resource-num&gt;&lt;/record&gt;&lt;/Cite&gt;&lt;/EndNote&gt;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5</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 xml:space="preserve"> plant-mediated values were 3.63 and 145.91 nmol CH₄ m⁻² s⁻¹, equivalent to 5.0 and 202.2 mg CH₄ m⁻² d⁻¹ for the dry and wet seasons, respectively. Their soil/water chamber values were 27.84 and 918.3 nmol CH₄ m⁻² s⁻¹, equivalent to 38.6 and 1,272.6 mg CH₄ m⁻² d⁻¹ for the dry and wet seasons, respectively.</w:t>
      </w:r>
    </w:p>
    <w:p w14:paraId="6501A810" w14:textId="77777777" w:rsidR="00A0246C" w:rsidRPr="00341C37" w:rsidRDefault="00A0246C" w:rsidP="00A0246C">
      <w:pPr>
        <w:spacing w:after="0" w:line="240" w:lineRule="auto"/>
        <w:jc w:val="both"/>
        <w:rPr>
          <w:rFonts w:ascii="Times New Roman" w:hAnsi="Times New Roman" w:cs="Times New Roman"/>
          <w:sz w:val="24"/>
          <w:szCs w:val="24"/>
        </w:rPr>
      </w:pPr>
    </w:p>
    <w:p w14:paraId="0B995465" w14:textId="20463BEA"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Were et al. </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&lt;EndNote&gt;&lt;Cite&gt;&lt;Author&gt;Were&lt;/Author&gt;&lt;Year&gt;2021&lt;/Year&gt;&lt;RecNum&gt;184&lt;/RecNum&gt;&lt;DisplayText&gt;&lt;style face="superscript"&gt;4&lt;/style&gt;&lt;/DisplayText&gt;&lt;record&gt;&lt;rec-number&gt;184&lt;/rec-number&gt;&lt;foreign-keys&gt;&lt;key app="EN" db-id="wf0e5fxd7vfsd2eaxf6v9efkdspdrrxvtz0f" timestamp="1777995627"&gt;184&lt;/key&gt;&lt;/foreign-keys&gt;&lt;ref-type name="Journal Article"&gt;17&lt;/ref-type&gt;&lt;contributors&gt;&lt;authors&gt;&lt;author&gt;Were, David&lt;/author&gt;&lt;author&gt;Kansiime, Frank&lt;/author&gt;&lt;author&gt;Fetahi, Tadesse&lt;/author&gt;&lt;author&gt;Hein, Thomas&lt;/author&gt;&lt;/authors&gt;&lt;/contributors&gt;&lt;titles&gt;&lt;title&gt;Carbon Dioxide and Methane Fluxes from Various Vegetation Communities of a Natural Tropical Freshwater Wetland in Different Seasons&lt;/title&gt;&lt;secondary-title&gt;Environmental Processes&lt;/secondary-title&gt;&lt;/titles&gt;&lt;periodical&gt;&lt;full-title&gt;Environmental Processes&lt;/full-title&gt;&lt;/periodical&gt;&lt;pages&gt;553-571&lt;/pages&gt;&lt;volume&gt;8&lt;/volume&gt;&lt;number&gt;2&lt;/number&gt;&lt;dates&gt;&lt;year&gt;2021&lt;/year&gt;&lt;pub-dates&gt;&lt;date&gt;2021/06/01&lt;/date&gt;&lt;/pub-dates&gt;&lt;/dates&gt;&lt;isbn&gt;2198-7505&lt;/isbn&gt;&lt;urls&gt;&lt;related-urls&gt;&lt;url&gt;https://doi.org/10.1007/s40710-021-00497-0&lt;/url&gt;&lt;/related-urls&gt;&lt;/urls&gt;&lt;electronic-resource-num&gt;10.1007/s40710-021-00497-0&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4</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 xml:space="preserve"> reported papyrus chamber FCH₄ for dry-season February–April and wet-season August–October campaigns in Naigombwa wetland, Uganda, using CH₄-C mass units per unit area per hour. These values were converted to whole-molecule CH₄ mass units by multiplying by 24 h d⁻¹ and by the molecular-mass ratio CH₄:C = 16.04/12.011:</w:t>
      </w:r>
    </w:p>
    <w:p w14:paraId="14474D5B" w14:textId="77777777" w:rsidR="00A0246C" w:rsidRPr="00341C37" w:rsidRDefault="00A0246C" w:rsidP="00A0246C">
      <w:pPr>
        <w:spacing w:after="0" w:line="240" w:lineRule="auto"/>
        <w:jc w:val="both"/>
        <w:rPr>
          <w:rFonts w:ascii="Times New Roman" w:hAnsi="Times New Roman" w:cs="Times New Roman"/>
          <w:sz w:val="24"/>
          <w:szCs w:val="24"/>
        </w:rPr>
      </w:pPr>
    </w:p>
    <w:p w14:paraId="0E6F6B69" w14:textId="77777777"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 = mg CH₄-C m⁻² h⁻¹ × 24 × (16.04 / 12.011)</w:t>
      </w:r>
    </w:p>
    <w:p w14:paraId="63785C55" w14:textId="77777777" w:rsidR="00A0246C" w:rsidRPr="00341C37" w:rsidRDefault="00A0246C" w:rsidP="00A0246C">
      <w:pPr>
        <w:spacing w:after="0" w:line="240" w:lineRule="auto"/>
        <w:jc w:val="both"/>
        <w:rPr>
          <w:rFonts w:ascii="Times New Roman" w:hAnsi="Times New Roman" w:cs="Times New Roman"/>
          <w:sz w:val="24"/>
          <w:szCs w:val="24"/>
        </w:rPr>
      </w:pPr>
    </w:p>
    <w:p w14:paraId="1B7B03C5" w14:textId="4B8E9185" w:rsidR="00A0246C" w:rsidRPr="00341C37" w:rsidRDefault="00A0246C" w:rsidP="00A0246C">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The papyrus monthly values used for the Were et al.</w:t>
      </w:r>
      <w:r w:rsidRPr="00341C37">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&lt;EndNote&gt;&lt;Cite&gt;&lt;Author&gt;Were&lt;/Author&gt;&lt;Year&gt;2021&lt;/Year&gt;&lt;RecNum&gt;184&lt;/RecNum&gt;&lt;DisplayText&gt;&lt;style face="superscript"&gt;4&lt;/style&gt;&lt;/DisplayText&gt;&lt;record&gt;&lt;rec-number&gt;184&lt;/rec-number&gt;&lt;foreign-keys&gt;&lt;key app="EN" db-id="wf0e5fxd7vfsd2eaxf6v9efkdspdrrxvtz0f" timestamp="1777995627"&gt;184&lt;/key&gt;&lt;/foreign-keys&gt;&lt;ref-type name="Journal Article"&gt;17&lt;/ref-type&gt;&lt;contributors&gt;&lt;authors&gt;&lt;author&gt;Were, David&lt;/author&gt;&lt;author&gt;Kansiime, Frank&lt;/author&gt;&lt;author&gt;Fetahi, Tadesse&lt;/author&gt;&lt;author&gt;Hein, Thomas&lt;/author&gt;&lt;/authors&gt;&lt;/contributors&gt;&lt;titles&gt;&lt;title&gt;Carbon Dioxide and Methane Fluxes from Various Vegetation Communities of a Natural Tropical Freshwater Wetland in Different Seasons&lt;/title&gt;&lt;secondary-title&gt;Environmental Processes&lt;/secondary-title&gt;&lt;/titles&gt;&lt;periodical&gt;&lt;full-title&gt;Environmental Processes&lt;/full-title&gt;&lt;/periodical&gt;&lt;pages&gt;553-571&lt;/pages&gt;&lt;volume&gt;8&lt;/volume&gt;&lt;number&gt;2&lt;/number&gt;&lt;dates&gt;&lt;year&gt;2021&lt;/year&gt;&lt;pub-dates&gt;&lt;date&gt;2021/06/01&lt;/date&gt;&lt;/pub-dates&gt;&lt;/dates&gt;&lt;isbn&gt;2198-7505&lt;/isbn&gt;&lt;urls&gt;&lt;related-urls&gt;&lt;url&gt;https://doi.org/10.1007/s40710-021-00497-0&lt;/url&gt;&lt;/related-urls&gt;&lt;/urls&gt;&lt;electronic-resource-num&gt;10.1007/s40710-021-00497-0&lt;/electronic-resource-num&gt;&lt;/record&gt;&lt;/Cite&gt;&lt;/EndNote&gt;</w:instrText>
      </w:r>
      <w:r w:rsidRPr="00341C37">
        <w:rPr>
          <w:rFonts w:ascii="Times New Roman" w:hAnsi="Times New Roman" w:cs="Times New Roman"/>
          <w:sz w:val="24"/>
          <w:szCs w:val="24"/>
        </w:rPr>
        <w:fldChar w:fldCharType="separate"/>
      </w:r>
      <w:r w:rsidRPr="00A0246C">
        <w:rPr>
          <w:rFonts w:ascii="Times New Roman" w:hAnsi="Times New Roman" w:cs="Times New Roman"/>
          <w:noProof/>
          <w:sz w:val="24"/>
          <w:szCs w:val="24"/>
          <w:vertAlign w:val="superscript"/>
        </w:rPr>
        <w:t>4</w:t>
      </w:r>
      <w:r w:rsidRPr="00341C37">
        <w:rPr>
          <w:rFonts w:ascii="Times New Roman" w:hAnsi="Times New Roman" w:cs="Times New Roman"/>
          <w:sz w:val="24"/>
          <w:szCs w:val="24"/>
        </w:rPr>
        <w:fldChar w:fldCharType="end"/>
      </w:r>
      <w:r w:rsidRPr="00341C37">
        <w:rPr>
          <w:rFonts w:ascii="Times New Roman" w:hAnsi="Times New Roman" w:cs="Times New Roman"/>
          <w:sz w:val="24"/>
          <w:szCs w:val="24"/>
        </w:rPr>
        <w:t xml:space="preserve"> comparison were 9.613, 15.268 and 17.547 mg CH₄-C m⁻² h⁻¹ for February, March and April, equivalent to 308.1, 489.3 and 562.4 mg CH₄ m⁻² d⁻¹. The dry-season comparison value was the mean of these converted monthly values: 453.3 mg CH₄ m⁻² d⁻¹. The wet-season papyrus values were 9.466, 12.352 and 29.423 mg CH₄-C m⁻² h⁻¹ for August, September and October, equivalent to 303.4, 395.9 and 943.0 mg CH₄ m⁻² d⁻¹. The wet-season comparison value was the mean of these converted monthly values: 547.4 mg CH₄ m⁻² d⁻¹.</w:t>
      </w:r>
    </w:p>
    <w:p w14:paraId="0DBEB383" w14:textId="77777777" w:rsidR="00A0246C" w:rsidRDefault="00A0246C" w:rsidP="00341C37">
      <w:pPr>
        <w:spacing w:after="0" w:line="240" w:lineRule="auto"/>
        <w:jc w:val="both"/>
        <w:rPr>
          <w:rFonts w:ascii="Times New Roman" w:eastAsia="Times New Roman" w:hAnsi="Times New Roman" w:cs="Times New Roman"/>
          <w:sz w:val="24"/>
          <w:szCs w:val="24"/>
          <w:lang w:eastAsia="en-GB"/>
          <w14:ligatures w14:val="none"/>
        </w:rPr>
      </w:pPr>
    </w:p>
    <w:p w14:paraId="334AD583" w14:textId="7A1EA6C6" w:rsidR="00A0134A" w:rsidRDefault="00A0134A" w:rsidP="00A0134A">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hAnsi="Times New Roman" w:cs="Times New Roman"/>
          <w:b/>
          <w:bCs/>
          <w:sz w:val="24"/>
          <w:szCs w:val="24"/>
        </w:rPr>
        <w:t xml:space="preserve">Supplementary Method </w:t>
      </w:r>
      <w:r w:rsidR="00A0246C">
        <w:rPr>
          <w:rFonts w:ascii="Times New Roman" w:hAnsi="Times New Roman" w:cs="Times New Roman"/>
          <w:b/>
          <w:bCs/>
          <w:sz w:val="24"/>
          <w:szCs w:val="24"/>
        </w:rPr>
        <w:t>8</w:t>
      </w:r>
      <w:r w:rsidRPr="00341C37">
        <w:rPr>
          <w:rFonts w:ascii="Times New Roman" w:hAnsi="Times New Roman" w:cs="Times New Roman"/>
          <w:b/>
          <w:bCs/>
          <w:sz w:val="24"/>
          <w:szCs w:val="24"/>
        </w:rPr>
        <w:t xml:space="preserve"> | Statistical analyses of environmental controls</w:t>
      </w:r>
    </w:p>
    <w:p w14:paraId="38AF2C7F" w14:textId="77777777" w:rsidR="00A0134A" w:rsidRDefault="00A0134A" w:rsidP="00341C37">
      <w:pPr>
        <w:spacing w:after="0" w:line="240" w:lineRule="auto"/>
        <w:jc w:val="both"/>
        <w:rPr>
          <w:rFonts w:ascii="Times New Roman" w:hAnsi="Times New Roman" w:cs="Times New Roman"/>
          <w:b/>
          <w:bCs/>
          <w:sz w:val="24"/>
          <w:szCs w:val="24"/>
        </w:rPr>
      </w:pPr>
    </w:p>
    <w:p w14:paraId="727E0115" w14:textId="6893F710" w:rsidR="006727A6" w:rsidRDefault="006727A6"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Statistical analyses were performed in Python 3.9.19 using monthly observations from the 12-month common-overlap period defined in Supplementary Method </w:t>
      </w:r>
      <w:r w:rsidR="00840928">
        <w:rPr>
          <w:rFonts w:ascii="Times New Roman" w:hAnsi="Times New Roman" w:cs="Times New Roman"/>
          <w:sz w:val="24"/>
          <w:szCs w:val="24"/>
        </w:rPr>
        <w:t>6</w:t>
      </w:r>
      <w:r w:rsidRPr="00341C37">
        <w:rPr>
          <w:rFonts w:ascii="Times New Roman" w:hAnsi="Times New Roman" w:cs="Times New Roman"/>
          <w:sz w:val="24"/>
          <w:szCs w:val="24"/>
        </w:rPr>
        <w:t xml:space="preserve">. Bivariate relationships were evaluated using ordinary least-squares regression, with monthly mean FCH₄ regressed separately against GPPmax, MODIS EVI, realised GPP, MODIS NDVI, water-table position (WT), air temperature, vapour-pressure deficit (VPD) and evapotranspiration (ET). For each regression, the slope, intercept, coefficient of </w:t>
      </w:r>
      <w:r w:rsidRPr="00341C37">
        <w:rPr>
          <w:rFonts w:ascii="Times New Roman" w:hAnsi="Times New Roman" w:cs="Times New Roman"/>
          <w:sz w:val="24"/>
          <w:szCs w:val="24"/>
        </w:rPr>
        <w:lastRenderedPageBreak/>
        <w:t>determination (R²), P value and number of monthly observations were calculated. Given the limited monthly sample size, R² and regression outputs were interpreted as measures of association and relative explanatory strength rather than as evidence of causality.</w:t>
      </w:r>
    </w:p>
    <w:p w14:paraId="0A999E35" w14:textId="77777777" w:rsidR="00D56524" w:rsidRPr="00341C37" w:rsidRDefault="00D56524" w:rsidP="00341C37">
      <w:pPr>
        <w:spacing w:after="0" w:line="240" w:lineRule="auto"/>
        <w:jc w:val="both"/>
        <w:rPr>
          <w:rFonts w:ascii="Times New Roman" w:hAnsi="Times New Roman" w:cs="Times New Roman"/>
          <w:sz w:val="24"/>
          <w:szCs w:val="24"/>
        </w:rPr>
      </w:pPr>
    </w:p>
    <w:p w14:paraId="66FC8347" w14:textId="77777777" w:rsidR="006727A6" w:rsidRDefault="006727A6"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Each relationship was evaluated over two predefined analytical windows: the nine months preceding the late-2024 high-water anomaly and the complete 12-month common-overlap period including October–December 2024. The anomalous months were retained in the full-period analysis because they represented observed hydrological conditions rather than statistical outliers. Comparison of the two analytical windows was used to assess whether relationships identified under usual seasonal conditions persisted when the abrupt late-2024 high-water event was included.</w:t>
      </w:r>
    </w:p>
    <w:p w14:paraId="1CD349CE" w14:textId="77777777" w:rsidR="00A625BF" w:rsidRPr="00341C37" w:rsidRDefault="00A625BF" w:rsidP="00341C37">
      <w:pPr>
        <w:spacing w:after="0" w:line="240" w:lineRule="auto"/>
        <w:jc w:val="both"/>
        <w:rPr>
          <w:rFonts w:ascii="Times New Roman" w:hAnsi="Times New Roman" w:cs="Times New Roman"/>
          <w:sz w:val="24"/>
          <w:szCs w:val="24"/>
        </w:rPr>
      </w:pPr>
    </w:p>
    <w:p w14:paraId="0045365B" w14:textId="70C3130A" w:rsidR="006727A6" w:rsidRDefault="006727A6"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To determine whether WT explained additional variation in FCH₄ after accounting for productivity, residual analyses were performed separately for each analytical window. Monthly FCH₄ was first regressed against GPPmax, and residual FCH₄ was calculated as the observed value minus the value predicted by the corresponding GPPmax regression. These residuals were then regressed against monthly WT. In parallel, a multiple linear regression of the form</w:t>
      </w:r>
      <w:r w:rsidR="00A625BF">
        <w:rPr>
          <w:rFonts w:ascii="Times New Roman" w:hAnsi="Times New Roman" w:cs="Times New Roman"/>
          <w:sz w:val="24"/>
          <w:szCs w:val="24"/>
        </w:rPr>
        <w:t>:</w:t>
      </w:r>
    </w:p>
    <w:p w14:paraId="4E3A56FE" w14:textId="77777777" w:rsidR="00A625BF" w:rsidRPr="00341C37" w:rsidRDefault="00A625BF" w:rsidP="00341C37">
      <w:pPr>
        <w:spacing w:after="0" w:line="240" w:lineRule="auto"/>
        <w:jc w:val="both"/>
        <w:rPr>
          <w:rFonts w:ascii="Times New Roman" w:hAnsi="Times New Roman" w:cs="Times New Roman"/>
          <w:sz w:val="24"/>
          <w:szCs w:val="24"/>
        </w:rPr>
      </w:pPr>
    </w:p>
    <w:p w14:paraId="7A42E253" w14:textId="77777777" w:rsidR="006727A6" w:rsidRPr="00F06DC0" w:rsidRDefault="006727A6" w:rsidP="00341C37">
      <w:pPr>
        <w:spacing w:after="0" w:line="240" w:lineRule="auto"/>
        <w:jc w:val="both"/>
        <w:rPr>
          <w:rFonts w:ascii="Times New Roman" w:hAnsi="Times New Roman" w:cs="Times New Roman"/>
          <w:sz w:val="24"/>
          <w:szCs w:val="24"/>
        </w:rPr>
      </w:pPr>
      <w:r w:rsidRPr="00F06DC0">
        <w:rPr>
          <w:rFonts w:ascii="Times New Roman" w:hAnsi="Times New Roman" w:cs="Times New Roman"/>
          <w:sz w:val="24"/>
          <w:szCs w:val="24"/>
        </w:rPr>
        <w:t>FCH₄ = β₀ + β₁GPPmax + β₂WT + ε</w:t>
      </w:r>
    </w:p>
    <w:p w14:paraId="3471FCDF" w14:textId="77777777" w:rsidR="00A625BF" w:rsidRPr="00341C37" w:rsidRDefault="00A625BF" w:rsidP="00341C37">
      <w:pPr>
        <w:spacing w:after="0" w:line="240" w:lineRule="auto"/>
        <w:jc w:val="both"/>
        <w:rPr>
          <w:rFonts w:ascii="Times New Roman" w:hAnsi="Times New Roman" w:cs="Times New Roman"/>
          <w:sz w:val="24"/>
          <w:szCs w:val="24"/>
        </w:rPr>
      </w:pPr>
    </w:p>
    <w:p w14:paraId="72F17CDE" w14:textId="77777777" w:rsidR="006727A6" w:rsidRDefault="006727A6"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was fitted for each analytical window. The additional explanatory contribution of WT was quantified as the difference in R² between the combined GPPmax + WT model and the corresponding GPPmax-only model.</w:t>
      </w:r>
    </w:p>
    <w:p w14:paraId="2D635DA0" w14:textId="77777777" w:rsidR="00A625BF" w:rsidRPr="00341C37" w:rsidRDefault="00A625BF" w:rsidP="00341C37">
      <w:pPr>
        <w:spacing w:after="0" w:line="240" w:lineRule="auto"/>
        <w:jc w:val="both"/>
        <w:rPr>
          <w:rFonts w:ascii="Times New Roman" w:hAnsi="Times New Roman" w:cs="Times New Roman"/>
          <w:sz w:val="24"/>
          <w:szCs w:val="24"/>
        </w:rPr>
      </w:pPr>
    </w:p>
    <w:p w14:paraId="35503C79" w14:textId="57DA4AB6" w:rsidR="006727A6" w:rsidRDefault="006727A6"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Daily hydrological diagnostics were used only to support interpretation of the contrasting high-water trajectories and were not treated as independent tests of the monthly environmental-control relationships. Daily FCH₄, GPP and WT records were summarised using the daily and centred 7-day metrics described in the main Methods and Supplementary Method </w:t>
      </w:r>
      <w:r w:rsidR="007C130F">
        <w:rPr>
          <w:rFonts w:ascii="Times New Roman" w:hAnsi="Times New Roman" w:cs="Times New Roman"/>
          <w:sz w:val="24"/>
          <w:szCs w:val="24"/>
        </w:rPr>
        <w:t>4</w:t>
      </w:r>
      <w:r w:rsidRPr="00341C37">
        <w:rPr>
          <w:rFonts w:ascii="Times New Roman" w:hAnsi="Times New Roman" w:cs="Times New Roman"/>
          <w:sz w:val="24"/>
          <w:szCs w:val="24"/>
        </w:rPr>
        <w:t>.</w:t>
      </w:r>
    </w:p>
    <w:p w14:paraId="388F6365" w14:textId="77777777" w:rsidR="007C130F" w:rsidRDefault="007C130F" w:rsidP="00341C37">
      <w:pPr>
        <w:spacing w:after="0" w:line="240" w:lineRule="auto"/>
        <w:jc w:val="both"/>
        <w:rPr>
          <w:rFonts w:ascii="Times New Roman" w:hAnsi="Times New Roman" w:cs="Times New Roman"/>
          <w:sz w:val="24"/>
          <w:szCs w:val="24"/>
        </w:rPr>
      </w:pPr>
    </w:p>
    <w:p w14:paraId="2AA6C46E" w14:textId="2B797EF2" w:rsidR="007C130F" w:rsidRDefault="007C130F" w:rsidP="007C130F">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hAnsi="Times New Roman" w:cs="Times New Roman"/>
          <w:b/>
          <w:bCs/>
          <w:sz w:val="24"/>
          <w:szCs w:val="24"/>
        </w:rPr>
        <w:t xml:space="preserve">Supplementary Method </w:t>
      </w:r>
      <w:r w:rsidR="00A0246C">
        <w:rPr>
          <w:rFonts w:ascii="Times New Roman" w:hAnsi="Times New Roman" w:cs="Times New Roman"/>
          <w:b/>
          <w:bCs/>
          <w:sz w:val="24"/>
          <w:szCs w:val="24"/>
        </w:rPr>
        <w:t>9</w:t>
      </w:r>
      <w:r w:rsidRPr="00341C37">
        <w:rPr>
          <w:rFonts w:ascii="Times New Roman" w:hAnsi="Times New Roman" w:cs="Times New Roman"/>
          <w:b/>
          <w:bCs/>
          <w:sz w:val="24"/>
          <w:szCs w:val="24"/>
        </w:rPr>
        <w:t xml:space="preserve"> | </w:t>
      </w:r>
      <w:r w:rsidRPr="007C130F">
        <w:rPr>
          <w:rFonts w:ascii="Times New Roman" w:hAnsi="Times New Roman" w:cs="Times New Roman"/>
          <w:b/>
          <w:bCs/>
          <w:sz w:val="24"/>
          <w:szCs w:val="24"/>
        </w:rPr>
        <w:t>Global comparison with published wetland eddy-covariance CH₄ fluxes</w:t>
      </w:r>
    </w:p>
    <w:p w14:paraId="3C628576" w14:textId="77777777" w:rsidR="007C130F" w:rsidRPr="00341C37" w:rsidRDefault="007C130F" w:rsidP="00341C37">
      <w:pPr>
        <w:spacing w:after="0" w:line="240" w:lineRule="auto"/>
        <w:jc w:val="both"/>
        <w:rPr>
          <w:rFonts w:ascii="Times New Roman" w:hAnsi="Times New Roman" w:cs="Times New Roman"/>
          <w:sz w:val="24"/>
          <w:szCs w:val="24"/>
        </w:rPr>
      </w:pPr>
    </w:p>
    <w:p w14:paraId="7C51EF1B" w14:textId="0CD44400" w:rsidR="00B62C30" w:rsidRDefault="00B62C30"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Published eddy-covariance CH₄ records were compiled to place Mpologoma in the context of available natural-wetland tower observations. The compilation included sites represented in FLUXNET-CH₄</w:t>
      </w:r>
      <w:r w:rsidR="0096695E">
        <w:rPr>
          <w:rFonts w:ascii="Times New Roman" w:eastAsia="Times New Roman" w:hAnsi="Times New Roman" w:cs="Times New Roman"/>
          <w:sz w:val="24"/>
          <w:szCs w:val="24"/>
          <w:lang w:eastAsia="en-GB"/>
          <w14:ligatures w14:val="none"/>
        </w:rPr>
        <w:fldChar w:fldCharType="begin">
          <w:fldData xml:space="preserve">PEVuZE5vdGU+PENpdGU+PEF1dGhvcj5EZWx3aWNoZTwvQXV0aG9yPjxZZWFyPjIwMjE8L1llYXI+
PFJlY051bT4xMTU8L1JlY051bT48RGlzcGxheVRleHQ+PHN0eWxlIGZhY2U9InN1cGVyc2NyaXB0
Ij42PC9zdHlsZT48L0Rpc3BsYXlUZXh0PjxyZWNvcmQ+PHJlYy1udW1iZXI+MTE1PC9yZWMtbnVt
YmVyPjxmb3JlaWduLWtleXM+PGtleSBhcHA9IkVOIiBkYi1pZD0id2YwZTVmeGQ3dmZzZDJlYXhm
NnY5ZWZrZHNwZHJyeHZ0ejBmIiB0aW1lc3RhbXA9IjE3NDM0MjMxNDkiPjExNTwva2V5PjwvZm9y
ZWlnbi1rZXlzPjxyZWYtdHlwZSBuYW1lPSJKb3VybmFsIEFydGljbGUiPjE3PC9yZWYtdHlwZT48
Y29udHJpYnV0b3JzPjxhdXRob3JzPjxhdXRob3I+RGVsd2ljaGUsIEsuIEIuPC9hdXRob3I+PGF1
dGhvcj5Lbm94LCBTLiBILjwvYXV0aG9yPjxhdXRob3I+TWFsaG90cmEsIEEuPC9hdXRob3I+PGF1
dGhvcj5GbHVldC1DaG91aW5hcmQsIEUuPC9hdXRob3I+PGF1dGhvcj5NY05pY29sLCBHLjwvYXV0
aG9yPjxhdXRob3I+RmVyb24sIFMuPC9hdXRob3I+PGF1dGhvcj5PdXlhbmcsIFouPC9hdXRob3I+
PGF1dGhvcj5QYXBhbGUsIEQuPC9hdXRob3I+PGF1dGhvcj5Ucm90dGEsIEMuPC9hdXRob3I+PGF1
dGhvcj5DYW5mb3JhLCBFLjwvYXV0aG9yPjxhdXRob3I+Q2hlYWgsIFkuIFcuPC9hdXRob3I+PGF1
dGhvcj5DaHJpc3RpYW5zb24sIEQuPC9hdXRob3I+PGF1dGhvcj5BbGJlcnRvLCBNYSBDLiBSLjwv
YXV0aG9yPjxhdXRob3I+QWxla3NleWNoaWssIFAuPC9hdXRob3I+PGF1dGhvcj5BdXJlbGEsIE0u
PC9hdXRob3I+PGF1dGhvcj5CYWxkb2NjaGksIEQuPC9hdXRob3I+PGF1dGhvcj5CYW5zYWwsIFMu
PC9hdXRob3I+PGF1dGhvcj5CaWxsZXNiYWNoLCBELiBQLjwvYXV0aG9yPjxhdXRob3I+Qm9ocmVy
LCBHLjwvYXV0aG9yPjxhdXRob3I+QnJhY2hvLCBSLjwvYXV0aG9yPjxhdXRob3I+QnVjaG1hbm4s
IE4uPC9hdXRob3I+PGF1dGhvcj5DYW1wYmVsbCwgRC4gSS48L2F1dGhvcj48YXV0aG9yPkNlbGlz
LCBHLjwvYXV0aG9yPjxhdXRob3I+Q2hlbiwgSi48L2F1dGhvcj48YXV0aG9yPkNoZW4sIFcuPC9h
dXRob3I+PGF1dGhvcj5DaHUsIEguPC9hdXRob3I+PGF1dGhvcj5EYWxtYWdybywgSC4gSi48L2F1
dGhvcj48YXV0aG9yPkRlbmdlbCwgUy48L2F1dGhvcj48YXV0aG9yPkRlc2FpLCBBLiBSLjwvYXV0
aG9yPjxhdXRob3I+RGV0dG8sIE0uPC9hdXRob3I+PGF1dGhvcj5Eb2xtYW4sIEguPC9hdXRob3I+
PGF1dGhvcj5FaWNoZWxtYW5uLCBFLjwvYXV0aG9yPjxhdXRob3I+RXVza2lyY2hlbiwgRS48L2F1
dGhvcj48YXV0aG9yPkZhbXVsYXJpLCBELjwvYXV0aG9yPjxhdXRob3I+RnVjaHMsIEsuPC9hdXRo
b3I+PGF1dGhvcj5Hb2Vja2VkZSwgTS48L2F1dGhvcj48YXV0aG9yPkdvZ28sIFMuPC9hdXRob3I+
PGF1dGhvcj5Hb25kd2UsIE0uIEouPC9hdXRob3I+PGF1dGhvcj5Hb29kcmljaCwgSi4gUC48L2F1
dGhvcj48YXV0aG9yPkdvdHRzY2hhbGssIFAuPC9hdXRob3I+PGF1dGhvcj5HcmFoYW0sIFMuIEwu
PC9hdXRob3I+PGF1dGhvcj5IZWltYW5uLCBNLjwvYXV0aG9yPjxhdXRob3I+SGVsYmlnLCBNLjwv
YXV0aG9yPjxhdXRob3I+SGVsZnRlciwgQy48L2F1dGhvcj48YXV0aG9yPkhlbWVzLCBLLiBTLjwv
YXV0aG9yPjxhdXRob3I+SGlyYW5vLCBULjwvYXV0aG9yPjxhdXRob3I+SG9sbGluZ2VyLCBELjwv
YXV0aG9yPjxhdXRob3I+SMO2cnRuYWdsLCBMLjwvYXV0aG9yPjxhdXRob3I+SXdhdGEsIEguPC9h
dXRob3I+PGF1dGhvcj5KYWNvdG90LCBBLjwvYXV0aG9yPjxhdXRob3I+SnVyYXNpbnNraSwgRy48
L2F1dGhvcj48YXV0aG9yPkthbmcsIE0uPC9hdXRob3I+PGF1dGhvcj5LYXNhaywgSy48L2F1dGhv
cj48YXV0aG9yPktpbmcsIEouPC9hdXRob3I+PGF1dGhvcj5LbGF0dCwgSi48L2F1dGhvcj48YXV0
aG9yPktvZWJzY2gsIEYuPC9hdXRob3I+PGF1dGhvcj5LcmF1c3MsIEsuIFcuPC9hdXRob3I+PGF1
dGhvcj5MYWksIEQuIFkuIEYuPC9hdXRob3I+PGF1dGhvcj5Mb2hpbGEsIEEuPC9hdXRob3I+PGF1
dGhvcj5NYW1tYXJlbGxhLCBJLjwvYXV0aG9yPjxhdXRob3I+QmVsZWxsaSBNYXJjaGVzaW5pLCBM
LjwvYXV0aG9yPjxhdXRob3I+TWFuY2EsIEcuPC9hdXRob3I+PGF1dGhvcj5NYXR0aGVzLCBKLiBI
LjwvYXV0aG9yPjxhdXRob3I+TWF4aW1vdiwgVC48L2F1dGhvcj48YXV0aG9yPk1lcmJvbGQsIEwu
PC9hdXRob3I+PGF1dGhvcj5NaXRyYSwgQi48L2F1dGhvcj48YXV0aG9yPk1vcmluLCBULiBILjwv
YXV0aG9yPjxhdXRob3I+TmVtaXR6LCBFLjwvYXV0aG9yPjxhdXRob3I+Tmlsc3NvbiwgTS4gQi48
L2F1dGhvcj48YXV0aG9yPk5pdSwgUy48L2F1dGhvcj48YXV0aG9yPk9lY2hlbCwgVy4gQy48L2F1
dGhvcj48YXV0aG9yPk9pa2F3YSwgUC4gWS48L2F1dGhvcj48YXV0aG9yPk9ubywgSy48L2F1dGhv
cj48YXV0aG9yPlBlaWNobCwgTS48L2F1dGhvcj48YXV0aG9yPlBlbHRvbGEsIE8uPC9hdXRob3I+
PGF1dGhvcj5SZWJhLCBNLiBMLjwvYXV0aG9yPjxhdXRob3I+UmljaGFyZHNvbiwgQS4gRC48L2F1
dGhvcj48YXV0aG9yPlJpbGV5LCBXLjwvYXV0aG9yPjxhdXRob3I+UnVua2xlLCBCLiBSLiBLLjwv
YXV0aG9yPjxhdXRob3I+Unl1LCBZLjwvYXV0aG9yPjxhdXRob3I+U2FjaHMsIFQuPC9hdXRob3I+
PGF1dGhvcj5TYWthYmUsIEEuPC9hdXRob3I+PGF1dGhvcj5TYW5jaGV6LCBDLiBSLjwvYXV0aG9y
PjxhdXRob3I+U2NodXVyLCBFLiBBLjwvYXV0aG9yPjxhdXRob3I+U2Now6RmZXIsIEsuIFYuIFIu
PC9hdXRob3I+PGF1dGhvcj5Tb25uZW50YWcsIE8uPC9hdXRob3I+PGF1dGhvcj5TcGFya3MsIEou
IFAuPC9hdXRob3I+PGF1dGhvcj5TdHVhcnQtSGHDq250amVucywgRS48L2F1dGhvcj48YXV0aG9y
PlN0dXJ0ZXZhbnQsIEMuPC9hdXRob3I+PGF1dGhvcj5TdWxsaXZhbiwgUi4gQy48L2F1dGhvcj48
YXV0aG9yPlN6dXR1LCBELiBKLjwvYXV0aG9yPjxhdXRob3I+VGhvbSwgSi4gRS48L2F1dGhvcj48
YXV0aG9yPlRvcm4sIE0uIFMuPC9hdXRob3I+PGF1dGhvcj5UdWl0dGlsYSwgRS4gUy48L2F1dGhv
cj48YXV0aG9yPlR1cm5lciwgSi48L2F1dGhvcj48YXV0aG9yPlVleWFtYSwgTS48L2F1dGhvcj48
YXV0aG9yPlZhbGFjaCwgQS4gQy48L2F1dGhvcj48YXV0aG9yPlZhcmdhcywgUi48L2F1dGhvcj48
YXV0aG9yPlZhcmxhZ2luLCBBLjwvYXV0aG9yPjxhdXRob3I+VmF6cXVlei1MdWxlLCBBLjwvYXV0
aG9yPjxhdXRob3I+VmVyZmFpbGxpZSwgSi4gRy48L2F1dGhvcj48YXV0aG9yPlZlc2FsYSwgVC48
L2F1dGhvcj48YXV0aG9yPlZvdXJsaXRpcywgRy4gTC48L2F1dGhvcj48YXV0aG9yPldhcmQsIEUu
IEouPC9hdXRob3I+PGF1dGhvcj5XaWxsZSwgQy48L2F1dGhvcj48YXV0aG9yPldvaGxmYWhydCwg
Ry48L2F1dGhvcj48YXV0aG9yPldvbmcsIEcuIFguPC9hdXRob3I+PGF1dGhvcj5aaGFuZywgWi48
L2F1dGhvcj48YXV0aG9yPlpvbmEsIEQuPC9hdXRob3I+PGF1dGhvcj5XaW5kaGFtLU15ZXJzLCBM
LjwvYXV0aG9yPjxhdXRob3I+UG91bHRlciwgQi48L2F1dGhvcj48YXV0aG9yPkphY2tzb24sIFIu
IEIuPC9hdXRob3I+PC9hdXRob3JzPjwvY29udHJpYnV0b3JzPjx0aXRsZXM+PHRpdGxlPkZMVVhO
RVQtQ0g0OiBhIGdsb2JhbCwgbXVsdGktZWNvc3lzdGVtIGRhdGFzZXQgYW5kIGFuYWx5c2lzIG9m
IG1ldGhhbmUgc2Vhc29uYWxpdHkgZnJvbSBmcmVzaHdhdGVyIHdldGxhbmRzPC90aXRsZT48c2Vj
b25kYXJ5LXRpdGxlPkVhcnRoIFN5c3QuIFNjaS4gRGF0YTwvc2Vjb25kYXJ5LXRpdGxlPjwvdGl0
bGVzPjxwZXJpb2RpY2FsPjxmdWxsLXRpdGxlPkVhcnRoIFN5c3QuIFNjaS4gRGF0YTwvZnVsbC10
aXRsZT48L3BlcmlvZGljYWw+PHBhZ2VzPjM2MDctMzY4OTwvcGFnZXM+PHZvbHVtZT4xMzwvdm9s
dW1lPjxudW1iZXI+NzwvbnVtYmVyPjxkYXRlcz48eWVhcj4yMDIxPC95ZWFyPjwvZGF0ZXM+PHB1
Ymxpc2hlcj5Db3Blcm5pY3VzIFB1YmxpY2F0aW9uczwvcHVibGlzaGVyPjxpc2JuPjE4NjYtMzUx
NjwvaXNibj48dXJscz48cmVsYXRlZC11cmxzPjx1cmw+aHR0cHM6Ly9lc3NkLmNvcGVybmljdXMu
b3JnL2FydGljbGVzLzEzLzM2MDcvMjAyMS88L3VybD48L3JlbGF0ZWQtdXJscz48L3VybHM+PGVs
ZWN0cm9uaWMtcmVzb3VyY2UtbnVtPjEwLjUxOTQvZXNzZC0xMy0zNjA3LTIwMjE8L2VsZWN0cm9u
aWMtcmVzb3VyY2UtbnVtPjwvcmVjb3JkPjwvQ2l0ZT48L0VuZE5vdGU+
</w:fldData>
        </w:fldChar>
      </w:r>
      <w:r w:rsidR="00A0246C">
        <w:rPr>
          <w:rFonts w:ascii="Times New Roman" w:eastAsia="Times New Roman" w:hAnsi="Times New Roman" w:cs="Times New Roman"/>
          <w:sz w:val="24"/>
          <w:szCs w:val="24"/>
          <w:lang w:eastAsia="en-GB"/>
          <w14:ligatures w14:val="none"/>
        </w:rPr>
        <w:instrText xml:space="preserve"> ADDIN EN.CITE </w:instrText>
      </w:r>
      <w:r w:rsidR="00A0246C">
        <w:rPr>
          <w:rFonts w:ascii="Times New Roman" w:eastAsia="Times New Roman" w:hAnsi="Times New Roman" w:cs="Times New Roman"/>
          <w:sz w:val="24"/>
          <w:szCs w:val="24"/>
          <w:lang w:eastAsia="en-GB"/>
          <w14:ligatures w14:val="none"/>
        </w:rPr>
        <w:fldChar w:fldCharType="begin">
          <w:fldData xml:space="preserve">PEVuZE5vdGU+PENpdGU+PEF1dGhvcj5EZWx3aWNoZTwvQXV0aG9yPjxZZWFyPjIwMjE8L1llYXI+
PFJlY051bT4xMTU8L1JlY051bT48RGlzcGxheVRleHQ+PHN0eWxlIGZhY2U9InN1cGVyc2NyaXB0
Ij42PC9zdHlsZT48L0Rpc3BsYXlUZXh0PjxyZWNvcmQ+PHJlYy1udW1iZXI+MTE1PC9yZWMtbnVt
YmVyPjxmb3JlaWduLWtleXM+PGtleSBhcHA9IkVOIiBkYi1pZD0id2YwZTVmeGQ3dmZzZDJlYXhm
NnY5ZWZrZHNwZHJyeHZ0ejBmIiB0aW1lc3RhbXA9IjE3NDM0MjMxNDkiPjExNTwva2V5PjwvZm9y
ZWlnbi1rZXlzPjxyZWYtdHlwZSBuYW1lPSJKb3VybmFsIEFydGljbGUiPjE3PC9yZWYtdHlwZT48
Y29udHJpYnV0b3JzPjxhdXRob3JzPjxhdXRob3I+RGVsd2ljaGUsIEsuIEIuPC9hdXRob3I+PGF1
dGhvcj5Lbm94LCBTLiBILjwvYXV0aG9yPjxhdXRob3I+TWFsaG90cmEsIEEuPC9hdXRob3I+PGF1
dGhvcj5GbHVldC1DaG91aW5hcmQsIEUuPC9hdXRob3I+PGF1dGhvcj5NY05pY29sLCBHLjwvYXV0
aG9yPjxhdXRob3I+RmVyb24sIFMuPC9hdXRob3I+PGF1dGhvcj5PdXlhbmcsIFouPC9hdXRob3I+
PGF1dGhvcj5QYXBhbGUsIEQuPC9hdXRob3I+PGF1dGhvcj5Ucm90dGEsIEMuPC9hdXRob3I+PGF1
dGhvcj5DYW5mb3JhLCBFLjwvYXV0aG9yPjxhdXRob3I+Q2hlYWgsIFkuIFcuPC9hdXRob3I+PGF1
dGhvcj5DaHJpc3RpYW5zb24sIEQuPC9hdXRob3I+PGF1dGhvcj5BbGJlcnRvLCBNYSBDLiBSLjwv
YXV0aG9yPjxhdXRob3I+QWxla3NleWNoaWssIFAuPC9hdXRob3I+PGF1dGhvcj5BdXJlbGEsIE0u
PC9hdXRob3I+PGF1dGhvcj5CYWxkb2NjaGksIEQuPC9hdXRob3I+PGF1dGhvcj5CYW5zYWwsIFMu
PC9hdXRob3I+PGF1dGhvcj5CaWxsZXNiYWNoLCBELiBQLjwvYXV0aG9yPjxhdXRob3I+Qm9ocmVy
LCBHLjwvYXV0aG9yPjxhdXRob3I+QnJhY2hvLCBSLjwvYXV0aG9yPjxhdXRob3I+QnVjaG1hbm4s
IE4uPC9hdXRob3I+PGF1dGhvcj5DYW1wYmVsbCwgRC4gSS48L2F1dGhvcj48YXV0aG9yPkNlbGlz
LCBHLjwvYXV0aG9yPjxhdXRob3I+Q2hlbiwgSi48L2F1dGhvcj48YXV0aG9yPkNoZW4sIFcuPC9h
dXRob3I+PGF1dGhvcj5DaHUsIEguPC9hdXRob3I+PGF1dGhvcj5EYWxtYWdybywgSC4gSi48L2F1
dGhvcj48YXV0aG9yPkRlbmdlbCwgUy48L2F1dGhvcj48YXV0aG9yPkRlc2FpLCBBLiBSLjwvYXV0
aG9yPjxhdXRob3I+RGV0dG8sIE0uPC9hdXRob3I+PGF1dGhvcj5Eb2xtYW4sIEguPC9hdXRob3I+
PGF1dGhvcj5FaWNoZWxtYW5uLCBFLjwvYXV0aG9yPjxhdXRob3I+RXVza2lyY2hlbiwgRS48L2F1
dGhvcj48YXV0aG9yPkZhbXVsYXJpLCBELjwvYXV0aG9yPjxhdXRob3I+RnVjaHMsIEsuPC9hdXRo
b3I+PGF1dGhvcj5Hb2Vja2VkZSwgTS48L2F1dGhvcj48YXV0aG9yPkdvZ28sIFMuPC9hdXRob3I+
PGF1dGhvcj5Hb25kd2UsIE0uIEouPC9hdXRob3I+PGF1dGhvcj5Hb29kcmljaCwgSi4gUC48L2F1
dGhvcj48YXV0aG9yPkdvdHRzY2hhbGssIFAuPC9hdXRob3I+PGF1dGhvcj5HcmFoYW0sIFMuIEwu
PC9hdXRob3I+PGF1dGhvcj5IZWltYW5uLCBNLjwvYXV0aG9yPjxhdXRob3I+SGVsYmlnLCBNLjwv
YXV0aG9yPjxhdXRob3I+SGVsZnRlciwgQy48L2F1dGhvcj48YXV0aG9yPkhlbWVzLCBLLiBTLjwv
YXV0aG9yPjxhdXRob3I+SGlyYW5vLCBULjwvYXV0aG9yPjxhdXRob3I+SG9sbGluZ2VyLCBELjwv
YXV0aG9yPjxhdXRob3I+SMO2cnRuYWdsLCBMLjwvYXV0aG9yPjxhdXRob3I+SXdhdGEsIEguPC9h
dXRob3I+PGF1dGhvcj5KYWNvdG90LCBBLjwvYXV0aG9yPjxhdXRob3I+SnVyYXNpbnNraSwgRy48
L2F1dGhvcj48YXV0aG9yPkthbmcsIE0uPC9hdXRob3I+PGF1dGhvcj5LYXNhaywgSy48L2F1dGhv
cj48YXV0aG9yPktpbmcsIEouPC9hdXRob3I+PGF1dGhvcj5LbGF0dCwgSi48L2F1dGhvcj48YXV0
aG9yPktvZWJzY2gsIEYuPC9hdXRob3I+PGF1dGhvcj5LcmF1c3MsIEsuIFcuPC9hdXRob3I+PGF1
dGhvcj5MYWksIEQuIFkuIEYuPC9hdXRob3I+PGF1dGhvcj5Mb2hpbGEsIEEuPC9hdXRob3I+PGF1
dGhvcj5NYW1tYXJlbGxhLCBJLjwvYXV0aG9yPjxhdXRob3I+QmVsZWxsaSBNYXJjaGVzaW5pLCBM
LjwvYXV0aG9yPjxhdXRob3I+TWFuY2EsIEcuPC9hdXRob3I+PGF1dGhvcj5NYXR0aGVzLCBKLiBI
LjwvYXV0aG9yPjxhdXRob3I+TWF4aW1vdiwgVC48L2F1dGhvcj48YXV0aG9yPk1lcmJvbGQsIEwu
PC9hdXRob3I+PGF1dGhvcj5NaXRyYSwgQi48L2F1dGhvcj48YXV0aG9yPk1vcmluLCBULiBILjwv
YXV0aG9yPjxhdXRob3I+TmVtaXR6LCBFLjwvYXV0aG9yPjxhdXRob3I+Tmlsc3NvbiwgTS4gQi48
L2F1dGhvcj48YXV0aG9yPk5pdSwgUy48L2F1dGhvcj48YXV0aG9yPk9lY2hlbCwgVy4gQy48L2F1
dGhvcj48YXV0aG9yPk9pa2F3YSwgUC4gWS48L2F1dGhvcj48YXV0aG9yPk9ubywgSy48L2F1dGhv
cj48YXV0aG9yPlBlaWNobCwgTS48L2F1dGhvcj48YXV0aG9yPlBlbHRvbGEsIE8uPC9hdXRob3I+
PGF1dGhvcj5SZWJhLCBNLiBMLjwvYXV0aG9yPjxhdXRob3I+UmljaGFyZHNvbiwgQS4gRC48L2F1
dGhvcj48YXV0aG9yPlJpbGV5LCBXLjwvYXV0aG9yPjxhdXRob3I+UnVua2xlLCBCLiBSLiBLLjwv
YXV0aG9yPjxhdXRob3I+Unl1LCBZLjwvYXV0aG9yPjxhdXRob3I+U2FjaHMsIFQuPC9hdXRob3I+
PGF1dGhvcj5TYWthYmUsIEEuPC9hdXRob3I+PGF1dGhvcj5TYW5jaGV6LCBDLiBSLjwvYXV0aG9y
PjxhdXRob3I+U2NodXVyLCBFLiBBLjwvYXV0aG9yPjxhdXRob3I+U2Now6RmZXIsIEsuIFYuIFIu
PC9hdXRob3I+PGF1dGhvcj5Tb25uZW50YWcsIE8uPC9hdXRob3I+PGF1dGhvcj5TcGFya3MsIEou
IFAuPC9hdXRob3I+PGF1dGhvcj5TdHVhcnQtSGHDq250amVucywgRS48L2F1dGhvcj48YXV0aG9y
PlN0dXJ0ZXZhbnQsIEMuPC9hdXRob3I+PGF1dGhvcj5TdWxsaXZhbiwgUi4gQy48L2F1dGhvcj48
YXV0aG9yPlN6dXR1LCBELiBKLjwvYXV0aG9yPjxhdXRob3I+VGhvbSwgSi4gRS48L2F1dGhvcj48
YXV0aG9yPlRvcm4sIE0uIFMuPC9hdXRob3I+PGF1dGhvcj5UdWl0dGlsYSwgRS4gUy48L2F1dGhv
cj48YXV0aG9yPlR1cm5lciwgSi48L2F1dGhvcj48YXV0aG9yPlVleWFtYSwgTS48L2F1dGhvcj48
YXV0aG9yPlZhbGFjaCwgQS4gQy48L2F1dGhvcj48YXV0aG9yPlZhcmdhcywgUi48L2F1dGhvcj48
YXV0aG9yPlZhcmxhZ2luLCBBLjwvYXV0aG9yPjxhdXRob3I+VmF6cXVlei1MdWxlLCBBLjwvYXV0
aG9yPjxhdXRob3I+VmVyZmFpbGxpZSwgSi4gRy48L2F1dGhvcj48YXV0aG9yPlZlc2FsYSwgVC48
L2F1dGhvcj48YXV0aG9yPlZvdXJsaXRpcywgRy4gTC48L2F1dGhvcj48YXV0aG9yPldhcmQsIEUu
IEouPC9hdXRob3I+PGF1dGhvcj5XaWxsZSwgQy48L2F1dGhvcj48YXV0aG9yPldvaGxmYWhydCwg
Ry48L2F1dGhvcj48YXV0aG9yPldvbmcsIEcuIFguPC9hdXRob3I+PGF1dGhvcj5aaGFuZywgWi48
L2F1dGhvcj48YXV0aG9yPlpvbmEsIEQuPC9hdXRob3I+PGF1dGhvcj5XaW5kaGFtLU15ZXJzLCBM
LjwvYXV0aG9yPjxhdXRob3I+UG91bHRlciwgQi48L2F1dGhvcj48YXV0aG9yPkphY2tzb24sIFIu
IEIuPC9hdXRob3I+PC9hdXRob3JzPjwvY29udHJpYnV0b3JzPjx0aXRsZXM+PHRpdGxlPkZMVVhO
RVQtQ0g0OiBhIGdsb2JhbCwgbXVsdGktZWNvc3lzdGVtIGRhdGFzZXQgYW5kIGFuYWx5c2lzIG9m
IG1ldGhhbmUgc2Vhc29uYWxpdHkgZnJvbSBmcmVzaHdhdGVyIHdldGxhbmRzPC90aXRsZT48c2Vj
b25kYXJ5LXRpdGxlPkVhcnRoIFN5c3QuIFNjaS4gRGF0YTwvc2Vjb25kYXJ5LXRpdGxlPjwvdGl0
bGVzPjxwZXJpb2RpY2FsPjxmdWxsLXRpdGxlPkVhcnRoIFN5c3QuIFNjaS4gRGF0YTwvZnVsbC10
aXRsZT48L3BlcmlvZGljYWw+PHBhZ2VzPjM2MDctMzY4OTwvcGFnZXM+PHZvbHVtZT4xMzwvdm9s
dW1lPjxudW1iZXI+NzwvbnVtYmVyPjxkYXRlcz48eWVhcj4yMDIxPC95ZWFyPjwvZGF0ZXM+PHB1
Ymxpc2hlcj5Db3Blcm5pY3VzIFB1YmxpY2F0aW9uczwvcHVibGlzaGVyPjxpc2JuPjE4NjYtMzUx
NjwvaXNibj48dXJscz48cmVsYXRlZC11cmxzPjx1cmw+aHR0cHM6Ly9lc3NkLmNvcGVybmljdXMu
b3JnL2FydGljbGVzLzEzLzM2MDcvMjAyMS88L3VybD48L3JlbGF0ZWQtdXJscz48L3VybHM+PGVs
ZWN0cm9uaWMtcmVzb3VyY2UtbnVtPjEwLjUxOTQvZXNzZC0xMy0zNjA3LTIwMjE8L2VsZWN0cm9u
aWMtcmVzb3VyY2UtbnVtPjwvcmVjb3JkPjwvQ2l0ZT48L0VuZE5vdGU+
</w:fldData>
        </w:fldChar>
      </w:r>
      <w:r w:rsidR="00A0246C">
        <w:rPr>
          <w:rFonts w:ascii="Times New Roman" w:eastAsia="Times New Roman" w:hAnsi="Times New Roman" w:cs="Times New Roman"/>
          <w:sz w:val="24"/>
          <w:szCs w:val="24"/>
          <w:lang w:eastAsia="en-GB"/>
          <w14:ligatures w14:val="none"/>
        </w:rPr>
        <w:instrText xml:space="preserve"> ADDIN EN.CITE.DATA </w:instrText>
      </w:r>
      <w:r w:rsidR="00A0246C">
        <w:rPr>
          <w:rFonts w:ascii="Times New Roman" w:eastAsia="Times New Roman" w:hAnsi="Times New Roman" w:cs="Times New Roman"/>
          <w:sz w:val="24"/>
          <w:szCs w:val="24"/>
          <w:lang w:eastAsia="en-GB"/>
          <w14:ligatures w14:val="none"/>
        </w:rPr>
      </w:r>
      <w:r w:rsidR="00A0246C">
        <w:rPr>
          <w:rFonts w:ascii="Times New Roman" w:eastAsia="Times New Roman" w:hAnsi="Times New Roman" w:cs="Times New Roman"/>
          <w:sz w:val="24"/>
          <w:szCs w:val="24"/>
          <w:lang w:eastAsia="en-GB"/>
          <w14:ligatures w14:val="none"/>
        </w:rPr>
        <w:fldChar w:fldCharType="end"/>
      </w:r>
      <w:r w:rsidR="0096695E">
        <w:rPr>
          <w:rFonts w:ascii="Times New Roman" w:eastAsia="Times New Roman" w:hAnsi="Times New Roman" w:cs="Times New Roman"/>
          <w:sz w:val="24"/>
          <w:szCs w:val="24"/>
          <w:lang w:eastAsia="en-GB"/>
          <w14:ligatures w14:val="none"/>
        </w:rPr>
      </w:r>
      <w:r w:rsidR="0096695E">
        <w:rPr>
          <w:rFonts w:ascii="Times New Roman" w:eastAsia="Times New Roman" w:hAnsi="Times New Roman" w:cs="Times New Roman"/>
          <w:sz w:val="24"/>
          <w:szCs w:val="24"/>
          <w:lang w:eastAsia="en-GB"/>
          <w14:ligatures w14:val="none"/>
        </w:rPr>
        <w:fldChar w:fldCharType="separate"/>
      </w:r>
      <w:r w:rsidR="00A0246C" w:rsidRPr="00A0246C">
        <w:rPr>
          <w:rFonts w:ascii="Times New Roman" w:eastAsia="Times New Roman" w:hAnsi="Times New Roman" w:cs="Times New Roman"/>
          <w:noProof/>
          <w:sz w:val="24"/>
          <w:szCs w:val="24"/>
          <w:vertAlign w:val="superscript"/>
          <w:lang w:eastAsia="en-GB"/>
          <w14:ligatures w14:val="none"/>
        </w:rPr>
        <w:t>6</w:t>
      </w:r>
      <w:r w:rsidR="0096695E">
        <w:rPr>
          <w:rFonts w:ascii="Times New Roman" w:eastAsia="Times New Roman" w:hAnsi="Times New Roman" w:cs="Times New Roman"/>
          <w:sz w:val="24"/>
          <w:szCs w:val="24"/>
          <w:lang w:eastAsia="en-GB"/>
          <w14:ligatures w14:val="none"/>
        </w:rPr>
        <w:fldChar w:fldCharType="end"/>
      </w:r>
      <w:r w:rsidRPr="00341C37">
        <w:rPr>
          <w:rFonts w:ascii="Times New Roman" w:eastAsia="Times New Roman" w:hAnsi="Times New Roman" w:cs="Times New Roman"/>
          <w:sz w:val="24"/>
          <w:szCs w:val="24"/>
          <w:lang w:eastAsia="en-GB"/>
          <w14:ligatures w14:val="none"/>
        </w:rPr>
        <w:t xml:space="preserve"> together with additional tropical and low-latitude wetland EC studies identified from the published literature. Degraded, restored or otherwise human-managed systems, including drained wetlands, agricultural or pasture sites, logging-affected sites, reservoirs and wastewater systems, were excluded from the natural-wetland comparison.</w:t>
      </w:r>
    </w:p>
    <w:p w14:paraId="2811254B" w14:textId="77777777" w:rsidR="0096695E" w:rsidRPr="00341C37" w:rsidRDefault="0096695E" w:rsidP="00341C37">
      <w:pPr>
        <w:spacing w:after="0" w:line="240" w:lineRule="auto"/>
        <w:jc w:val="both"/>
        <w:rPr>
          <w:rFonts w:ascii="Times New Roman" w:eastAsia="Times New Roman" w:hAnsi="Times New Roman" w:cs="Times New Roman"/>
          <w:sz w:val="24"/>
          <w:szCs w:val="24"/>
          <w:lang w:eastAsia="en-GB"/>
          <w14:ligatures w14:val="none"/>
        </w:rPr>
      </w:pPr>
    </w:p>
    <w:p w14:paraId="6E4EDB69" w14:textId="4319D097" w:rsidR="00B62C30" w:rsidRDefault="00B62C30"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Two complementary site-level metrics were compiled separately: observation-period or annual mean FCH₄, and maximum monthly-scale FCH₄. Reported fluxes were harmonised to mg CH₄ m⁻² d⁻¹. Where a study reported multiple complete annual budgets for the same site, annual values were averaged to obtain a single site-level mean for the observation-</w:t>
      </w:r>
      <w:r w:rsidRPr="00341C37">
        <w:rPr>
          <w:rFonts w:ascii="Times New Roman" w:eastAsia="Times New Roman" w:hAnsi="Times New Roman" w:cs="Times New Roman"/>
          <w:sz w:val="24"/>
          <w:szCs w:val="24"/>
          <w:lang w:eastAsia="en-GB"/>
          <w14:ligatures w14:val="none"/>
        </w:rPr>
        <w:lastRenderedPageBreak/>
        <w:t>period comparison. For the monthly-scale comparison, the highest reported monthly mean was used where monthly estimates were available. For FLUXNET-CH₄ sites lacking directly reported monthly maxima, the maximum fitted seasonal peak reported by Delwiche et al.</w:t>
      </w:r>
      <w:r w:rsidR="005E21B2">
        <w:rPr>
          <w:rFonts w:ascii="Times New Roman" w:eastAsia="Times New Roman" w:hAnsi="Times New Roman" w:cs="Times New Roman"/>
          <w:sz w:val="24"/>
          <w:szCs w:val="24"/>
          <w:lang w:eastAsia="en-GB"/>
          <w14:ligatures w14:val="none"/>
        </w:rPr>
        <w:fldChar w:fldCharType="begin">
          <w:fldData xml:space="preserve">PEVuZE5vdGU+PENpdGU+PEF1dGhvcj5EZWx3aWNoZTwvQXV0aG9yPjxZZWFyPjIwMjE8L1llYXI+
PFJlY051bT4xMTU8L1JlY051bT48RGlzcGxheVRleHQ+PHN0eWxlIGZhY2U9InN1cGVyc2NyaXB0
Ij42PC9zdHlsZT48L0Rpc3BsYXlUZXh0PjxyZWNvcmQ+PHJlYy1udW1iZXI+MTE1PC9yZWMtbnVt
YmVyPjxmb3JlaWduLWtleXM+PGtleSBhcHA9IkVOIiBkYi1pZD0id2YwZTVmeGQ3dmZzZDJlYXhm
NnY5ZWZrZHNwZHJyeHZ0ejBmIiB0aW1lc3RhbXA9IjE3NDM0MjMxNDkiPjExNTwva2V5PjwvZm9y
ZWlnbi1rZXlzPjxyZWYtdHlwZSBuYW1lPSJKb3VybmFsIEFydGljbGUiPjE3PC9yZWYtdHlwZT48
Y29udHJpYnV0b3JzPjxhdXRob3JzPjxhdXRob3I+RGVsd2ljaGUsIEsuIEIuPC9hdXRob3I+PGF1
dGhvcj5Lbm94LCBTLiBILjwvYXV0aG9yPjxhdXRob3I+TWFsaG90cmEsIEEuPC9hdXRob3I+PGF1
dGhvcj5GbHVldC1DaG91aW5hcmQsIEUuPC9hdXRob3I+PGF1dGhvcj5NY05pY29sLCBHLjwvYXV0
aG9yPjxhdXRob3I+RmVyb24sIFMuPC9hdXRob3I+PGF1dGhvcj5PdXlhbmcsIFouPC9hdXRob3I+
PGF1dGhvcj5QYXBhbGUsIEQuPC9hdXRob3I+PGF1dGhvcj5Ucm90dGEsIEMuPC9hdXRob3I+PGF1
dGhvcj5DYW5mb3JhLCBFLjwvYXV0aG9yPjxhdXRob3I+Q2hlYWgsIFkuIFcuPC9hdXRob3I+PGF1
dGhvcj5DaHJpc3RpYW5zb24sIEQuPC9hdXRob3I+PGF1dGhvcj5BbGJlcnRvLCBNYSBDLiBSLjwv
YXV0aG9yPjxhdXRob3I+QWxla3NleWNoaWssIFAuPC9hdXRob3I+PGF1dGhvcj5BdXJlbGEsIE0u
PC9hdXRob3I+PGF1dGhvcj5CYWxkb2NjaGksIEQuPC9hdXRob3I+PGF1dGhvcj5CYW5zYWwsIFMu
PC9hdXRob3I+PGF1dGhvcj5CaWxsZXNiYWNoLCBELiBQLjwvYXV0aG9yPjxhdXRob3I+Qm9ocmVy
LCBHLjwvYXV0aG9yPjxhdXRob3I+QnJhY2hvLCBSLjwvYXV0aG9yPjxhdXRob3I+QnVjaG1hbm4s
IE4uPC9hdXRob3I+PGF1dGhvcj5DYW1wYmVsbCwgRC4gSS48L2F1dGhvcj48YXV0aG9yPkNlbGlz
LCBHLjwvYXV0aG9yPjxhdXRob3I+Q2hlbiwgSi48L2F1dGhvcj48YXV0aG9yPkNoZW4sIFcuPC9h
dXRob3I+PGF1dGhvcj5DaHUsIEguPC9hdXRob3I+PGF1dGhvcj5EYWxtYWdybywgSC4gSi48L2F1
dGhvcj48YXV0aG9yPkRlbmdlbCwgUy48L2F1dGhvcj48YXV0aG9yPkRlc2FpLCBBLiBSLjwvYXV0
aG9yPjxhdXRob3I+RGV0dG8sIE0uPC9hdXRob3I+PGF1dGhvcj5Eb2xtYW4sIEguPC9hdXRob3I+
PGF1dGhvcj5FaWNoZWxtYW5uLCBFLjwvYXV0aG9yPjxhdXRob3I+RXVza2lyY2hlbiwgRS48L2F1
dGhvcj48YXV0aG9yPkZhbXVsYXJpLCBELjwvYXV0aG9yPjxhdXRob3I+RnVjaHMsIEsuPC9hdXRo
b3I+PGF1dGhvcj5Hb2Vja2VkZSwgTS48L2F1dGhvcj48YXV0aG9yPkdvZ28sIFMuPC9hdXRob3I+
PGF1dGhvcj5Hb25kd2UsIE0uIEouPC9hdXRob3I+PGF1dGhvcj5Hb29kcmljaCwgSi4gUC48L2F1
dGhvcj48YXV0aG9yPkdvdHRzY2hhbGssIFAuPC9hdXRob3I+PGF1dGhvcj5HcmFoYW0sIFMuIEwu
PC9hdXRob3I+PGF1dGhvcj5IZWltYW5uLCBNLjwvYXV0aG9yPjxhdXRob3I+SGVsYmlnLCBNLjwv
YXV0aG9yPjxhdXRob3I+SGVsZnRlciwgQy48L2F1dGhvcj48YXV0aG9yPkhlbWVzLCBLLiBTLjwv
YXV0aG9yPjxhdXRob3I+SGlyYW5vLCBULjwvYXV0aG9yPjxhdXRob3I+SG9sbGluZ2VyLCBELjwv
YXV0aG9yPjxhdXRob3I+SMO2cnRuYWdsLCBMLjwvYXV0aG9yPjxhdXRob3I+SXdhdGEsIEguPC9h
dXRob3I+PGF1dGhvcj5KYWNvdG90LCBBLjwvYXV0aG9yPjxhdXRob3I+SnVyYXNpbnNraSwgRy48
L2F1dGhvcj48YXV0aG9yPkthbmcsIE0uPC9hdXRob3I+PGF1dGhvcj5LYXNhaywgSy48L2F1dGhv
cj48YXV0aG9yPktpbmcsIEouPC9hdXRob3I+PGF1dGhvcj5LbGF0dCwgSi48L2F1dGhvcj48YXV0
aG9yPktvZWJzY2gsIEYuPC9hdXRob3I+PGF1dGhvcj5LcmF1c3MsIEsuIFcuPC9hdXRob3I+PGF1
dGhvcj5MYWksIEQuIFkuIEYuPC9hdXRob3I+PGF1dGhvcj5Mb2hpbGEsIEEuPC9hdXRob3I+PGF1
dGhvcj5NYW1tYXJlbGxhLCBJLjwvYXV0aG9yPjxhdXRob3I+QmVsZWxsaSBNYXJjaGVzaW5pLCBM
LjwvYXV0aG9yPjxhdXRob3I+TWFuY2EsIEcuPC9hdXRob3I+PGF1dGhvcj5NYXR0aGVzLCBKLiBI
LjwvYXV0aG9yPjxhdXRob3I+TWF4aW1vdiwgVC48L2F1dGhvcj48YXV0aG9yPk1lcmJvbGQsIEwu
PC9hdXRob3I+PGF1dGhvcj5NaXRyYSwgQi48L2F1dGhvcj48YXV0aG9yPk1vcmluLCBULiBILjwv
YXV0aG9yPjxhdXRob3I+TmVtaXR6LCBFLjwvYXV0aG9yPjxhdXRob3I+Tmlsc3NvbiwgTS4gQi48
L2F1dGhvcj48YXV0aG9yPk5pdSwgUy48L2F1dGhvcj48YXV0aG9yPk9lY2hlbCwgVy4gQy48L2F1
dGhvcj48YXV0aG9yPk9pa2F3YSwgUC4gWS48L2F1dGhvcj48YXV0aG9yPk9ubywgSy48L2F1dGhv
cj48YXV0aG9yPlBlaWNobCwgTS48L2F1dGhvcj48YXV0aG9yPlBlbHRvbGEsIE8uPC9hdXRob3I+
PGF1dGhvcj5SZWJhLCBNLiBMLjwvYXV0aG9yPjxhdXRob3I+UmljaGFyZHNvbiwgQS4gRC48L2F1
dGhvcj48YXV0aG9yPlJpbGV5LCBXLjwvYXV0aG9yPjxhdXRob3I+UnVua2xlLCBCLiBSLiBLLjwv
YXV0aG9yPjxhdXRob3I+Unl1LCBZLjwvYXV0aG9yPjxhdXRob3I+U2FjaHMsIFQuPC9hdXRob3I+
PGF1dGhvcj5TYWthYmUsIEEuPC9hdXRob3I+PGF1dGhvcj5TYW5jaGV6LCBDLiBSLjwvYXV0aG9y
PjxhdXRob3I+U2NodXVyLCBFLiBBLjwvYXV0aG9yPjxhdXRob3I+U2Now6RmZXIsIEsuIFYuIFIu
PC9hdXRob3I+PGF1dGhvcj5Tb25uZW50YWcsIE8uPC9hdXRob3I+PGF1dGhvcj5TcGFya3MsIEou
IFAuPC9hdXRob3I+PGF1dGhvcj5TdHVhcnQtSGHDq250amVucywgRS48L2F1dGhvcj48YXV0aG9y
PlN0dXJ0ZXZhbnQsIEMuPC9hdXRob3I+PGF1dGhvcj5TdWxsaXZhbiwgUi4gQy48L2F1dGhvcj48
YXV0aG9yPlN6dXR1LCBELiBKLjwvYXV0aG9yPjxhdXRob3I+VGhvbSwgSi4gRS48L2F1dGhvcj48
YXV0aG9yPlRvcm4sIE0uIFMuPC9hdXRob3I+PGF1dGhvcj5UdWl0dGlsYSwgRS4gUy48L2F1dGhv
cj48YXV0aG9yPlR1cm5lciwgSi48L2F1dGhvcj48YXV0aG9yPlVleWFtYSwgTS48L2F1dGhvcj48
YXV0aG9yPlZhbGFjaCwgQS4gQy48L2F1dGhvcj48YXV0aG9yPlZhcmdhcywgUi48L2F1dGhvcj48
YXV0aG9yPlZhcmxhZ2luLCBBLjwvYXV0aG9yPjxhdXRob3I+VmF6cXVlei1MdWxlLCBBLjwvYXV0
aG9yPjxhdXRob3I+VmVyZmFpbGxpZSwgSi4gRy48L2F1dGhvcj48YXV0aG9yPlZlc2FsYSwgVC48
L2F1dGhvcj48YXV0aG9yPlZvdXJsaXRpcywgRy4gTC48L2F1dGhvcj48YXV0aG9yPldhcmQsIEUu
IEouPC9hdXRob3I+PGF1dGhvcj5XaWxsZSwgQy48L2F1dGhvcj48YXV0aG9yPldvaGxmYWhydCwg
Ry48L2F1dGhvcj48YXV0aG9yPldvbmcsIEcuIFguPC9hdXRob3I+PGF1dGhvcj5aaGFuZywgWi48
L2F1dGhvcj48YXV0aG9yPlpvbmEsIEQuPC9hdXRob3I+PGF1dGhvcj5XaW5kaGFtLU15ZXJzLCBM
LjwvYXV0aG9yPjxhdXRob3I+UG91bHRlciwgQi48L2F1dGhvcj48YXV0aG9yPkphY2tzb24sIFIu
IEIuPC9hdXRob3I+PC9hdXRob3JzPjwvY29udHJpYnV0b3JzPjx0aXRsZXM+PHRpdGxlPkZMVVhO
RVQtQ0g0OiBhIGdsb2JhbCwgbXVsdGktZWNvc3lzdGVtIGRhdGFzZXQgYW5kIGFuYWx5c2lzIG9m
IG1ldGhhbmUgc2Vhc29uYWxpdHkgZnJvbSBmcmVzaHdhdGVyIHdldGxhbmRzPC90aXRsZT48c2Vj
b25kYXJ5LXRpdGxlPkVhcnRoIFN5c3QuIFNjaS4gRGF0YTwvc2Vjb25kYXJ5LXRpdGxlPjwvdGl0
bGVzPjxwZXJpb2RpY2FsPjxmdWxsLXRpdGxlPkVhcnRoIFN5c3QuIFNjaS4gRGF0YTwvZnVsbC10
aXRsZT48L3BlcmlvZGljYWw+PHBhZ2VzPjM2MDctMzY4OTwvcGFnZXM+PHZvbHVtZT4xMzwvdm9s
dW1lPjxudW1iZXI+NzwvbnVtYmVyPjxkYXRlcz48eWVhcj4yMDIxPC95ZWFyPjwvZGF0ZXM+PHB1
Ymxpc2hlcj5Db3Blcm5pY3VzIFB1YmxpY2F0aW9uczwvcHVibGlzaGVyPjxpc2JuPjE4NjYtMzUx
NjwvaXNibj48dXJscz48cmVsYXRlZC11cmxzPjx1cmw+aHR0cHM6Ly9lc3NkLmNvcGVybmljdXMu
b3JnL2FydGljbGVzLzEzLzM2MDcvMjAyMS88L3VybD48L3JlbGF0ZWQtdXJscz48L3VybHM+PGVs
ZWN0cm9uaWMtcmVzb3VyY2UtbnVtPjEwLjUxOTQvZXNzZC0xMy0zNjA3LTIwMjE8L2VsZWN0cm9u
aWMtcmVzb3VyY2UtbnVtPjwvcmVjb3JkPjwvQ2l0ZT48L0VuZE5vdGU+
</w:fldData>
        </w:fldChar>
      </w:r>
      <w:r w:rsidR="00A0246C">
        <w:rPr>
          <w:rFonts w:ascii="Times New Roman" w:eastAsia="Times New Roman" w:hAnsi="Times New Roman" w:cs="Times New Roman"/>
          <w:sz w:val="24"/>
          <w:szCs w:val="24"/>
          <w:lang w:eastAsia="en-GB"/>
          <w14:ligatures w14:val="none"/>
        </w:rPr>
        <w:instrText xml:space="preserve"> ADDIN EN.CITE </w:instrText>
      </w:r>
      <w:r w:rsidR="00A0246C">
        <w:rPr>
          <w:rFonts w:ascii="Times New Roman" w:eastAsia="Times New Roman" w:hAnsi="Times New Roman" w:cs="Times New Roman"/>
          <w:sz w:val="24"/>
          <w:szCs w:val="24"/>
          <w:lang w:eastAsia="en-GB"/>
          <w14:ligatures w14:val="none"/>
        </w:rPr>
        <w:fldChar w:fldCharType="begin">
          <w:fldData xml:space="preserve">PEVuZE5vdGU+PENpdGU+PEF1dGhvcj5EZWx3aWNoZTwvQXV0aG9yPjxZZWFyPjIwMjE8L1llYXI+
PFJlY051bT4xMTU8L1JlY051bT48RGlzcGxheVRleHQ+PHN0eWxlIGZhY2U9InN1cGVyc2NyaXB0
Ij42PC9zdHlsZT48L0Rpc3BsYXlUZXh0PjxyZWNvcmQ+PHJlYy1udW1iZXI+MTE1PC9yZWMtbnVt
YmVyPjxmb3JlaWduLWtleXM+PGtleSBhcHA9IkVOIiBkYi1pZD0id2YwZTVmeGQ3dmZzZDJlYXhm
NnY5ZWZrZHNwZHJyeHZ0ejBmIiB0aW1lc3RhbXA9IjE3NDM0MjMxNDkiPjExNTwva2V5PjwvZm9y
ZWlnbi1rZXlzPjxyZWYtdHlwZSBuYW1lPSJKb3VybmFsIEFydGljbGUiPjE3PC9yZWYtdHlwZT48
Y29udHJpYnV0b3JzPjxhdXRob3JzPjxhdXRob3I+RGVsd2ljaGUsIEsuIEIuPC9hdXRob3I+PGF1
dGhvcj5Lbm94LCBTLiBILjwvYXV0aG9yPjxhdXRob3I+TWFsaG90cmEsIEEuPC9hdXRob3I+PGF1
dGhvcj5GbHVldC1DaG91aW5hcmQsIEUuPC9hdXRob3I+PGF1dGhvcj5NY05pY29sLCBHLjwvYXV0
aG9yPjxhdXRob3I+RmVyb24sIFMuPC9hdXRob3I+PGF1dGhvcj5PdXlhbmcsIFouPC9hdXRob3I+
PGF1dGhvcj5QYXBhbGUsIEQuPC9hdXRob3I+PGF1dGhvcj5Ucm90dGEsIEMuPC9hdXRob3I+PGF1
dGhvcj5DYW5mb3JhLCBFLjwvYXV0aG9yPjxhdXRob3I+Q2hlYWgsIFkuIFcuPC9hdXRob3I+PGF1
dGhvcj5DaHJpc3RpYW5zb24sIEQuPC9hdXRob3I+PGF1dGhvcj5BbGJlcnRvLCBNYSBDLiBSLjwv
YXV0aG9yPjxhdXRob3I+QWxla3NleWNoaWssIFAuPC9hdXRob3I+PGF1dGhvcj5BdXJlbGEsIE0u
PC9hdXRob3I+PGF1dGhvcj5CYWxkb2NjaGksIEQuPC9hdXRob3I+PGF1dGhvcj5CYW5zYWwsIFMu
PC9hdXRob3I+PGF1dGhvcj5CaWxsZXNiYWNoLCBELiBQLjwvYXV0aG9yPjxhdXRob3I+Qm9ocmVy
LCBHLjwvYXV0aG9yPjxhdXRob3I+QnJhY2hvLCBSLjwvYXV0aG9yPjxhdXRob3I+QnVjaG1hbm4s
IE4uPC9hdXRob3I+PGF1dGhvcj5DYW1wYmVsbCwgRC4gSS48L2F1dGhvcj48YXV0aG9yPkNlbGlz
LCBHLjwvYXV0aG9yPjxhdXRob3I+Q2hlbiwgSi48L2F1dGhvcj48YXV0aG9yPkNoZW4sIFcuPC9h
dXRob3I+PGF1dGhvcj5DaHUsIEguPC9hdXRob3I+PGF1dGhvcj5EYWxtYWdybywgSC4gSi48L2F1
dGhvcj48YXV0aG9yPkRlbmdlbCwgUy48L2F1dGhvcj48YXV0aG9yPkRlc2FpLCBBLiBSLjwvYXV0
aG9yPjxhdXRob3I+RGV0dG8sIE0uPC9hdXRob3I+PGF1dGhvcj5Eb2xtYW4sIEguPC9hdXRob3I+
PGF1dGhvcj5FaWNoZWxtYW5uLCBFLjwvYXV0aG9yPjxhdXRob3I+RXVza2lyY2hlbiwgRS48L2F1
dGhvcj48YXV0aG9yPkZhbXVsYXJpLCBELjwvYXV0aG9yPjxhdXRob3I+RnVjaHMsIEsuPC9hdXRo
b3I+PGF1dGhvcj5Hb2Vja2VkZSwgTS48L2F1dGhvcj48YXV0aG9yPkdvZ28sIFMuPC9hdXRob3I+
PGF1dGhvcj5Hb25kd2UsIE0uIEouPC9hdXRob3I+PGF1dGhvcj5Hb29kcmljaCwgSi4gUC48L2F1
dGhvcj48YXV0aG9yPkdvdHRzY2hhbGssIFAuPC9hdXRob3I+PGF1dGhvcj5HcmFoYW0sIFMuIEwu
PC9hdXRob3I+PGF1dGhvcj5IZWltYW5uLCBNLjwvYXV0aG9yPjxhdXRob3I+SGVsYmlnLCBNLjwv
YXV0aG9yPjxhdXRob3I+SGVsZnRlciwgQy48L2F1dGhvcj48YXV0aG9yPkhlbWVzLCBLLiBTLjwv
YXV0aG9yPjxhdXRob3I+SGlyYW5vLCBULjwvYXV0aG9yPjxhdXRob3I+SG9sbGluZ2VyLCBELjwv
YXV0aG9yPjxhdXRob3I+SMO2cnRuYWdsLCBMLjwvYXV0aG9yPjxhdXRob3I+SXdhdGEsIEguPC9h
dXRob3I+PGF1dGhvcj5KYWNvdG90LCBBLjwvYXV0aG9yPjxhdXRob3I+SnVyYXNpbnNraSwgRy48
L2F1dGhvcj48YXV0aG9yPkthbmcsIE0uPC9hdXRob3I+PGF1dGhvcj5LYXNhaywgSy48L2F1dGhv
cj48YXV0aG9yPktpbmcsIEouPC9hdXRob3I+PGF1dGhvcj5LbGF0dCwgSi48L2F1dGhvcj48YXV0
aG9yPktvZWJzY2gsIEYuPC9hdXRob3I+PGF1dGhvcj5LcmF1c3MsIEsuIFcuPC9hdXRob3I+PGF1
dGhvcj5MYWksIEQuIFkuIEYuPC9hdXRob3I+PGF1dGhvcj5Mb2hpbGEsIEEuPC9hdXRob3I+PGF1
dGhvcj5NYW1tYXJlbGxhLCBJLjwvYXV0aG9yPjxhdXRob3I+QmVsZWxsaSBNYXJjaGVzaW5pLCBM
LjwvYXV0aG9yPjxhdXRob3I+TWFuY2EsIEcuPC9hdXRob3I+PGF1dGhvcj5NYXR0aGVzLCBKLiBI
LjwvYXV0aG9yPjxhdXRob3I+TWF4aW1vdiwgVC48L2F1dGhvcj48YXV0aG9yPk1lcmJvbGQsIEwu
PC9hdXRob3I+PGF1dGhvcj5NaXRyYSwgQi48L2F1dGhvcj48YXV0aG9yPk1vcmluLCBULiBILjwv
YXV0aG9yPjxhdXRob3I+TmVtaXR6LCBFLjwvYXV0aG9yPjxhdXRob3I+Tmlsc3NvbiwgTS4gQi48
L2F1dGhvcj48YXV0aG9yPk5pdSwgUy48L2F1dGhvcj48YXV0aG9yPk9lY2hlbCwgVy4gQy48L2F1
dGhvcj48YXV0aG9yPk9pa2F3YSwgUC4gWS48L2F1dGhvcj48YXV0aG9yPk9ubywgSy48L2F1dGhv
cj48YXV0aG9yPlBlaWNobCwgTS48L2F1dGhvcj48YXV0aG9yPlBlbHRvbGEsIE8uPC9hdXRob3I+
PGF1dGhvcj5SZWJhLCBNLiBMLjwvYXV0aG9yPjxhdXRob3I+UmljaGFyZHNvbiwgQS4gRC48L2F1
dGhvcj48YXV0aG9yPlJpbGV5LCBXLjwvYXV0aG9yPjxhdXRob3I+UnVua2xlLCBCLiBSLiBLLjwv
YXV0aG9yPjxhdXRob3I+Unl1LCBZLjwvYXV0aG9yPjxhdXRob3I+U2FjaHMsIFQuPC9hdXRob3I+
PGF1dGhvcj5TYWthYmUsIEEuPC9hdXRob3I+PGF1dGhvcj5TYW5jaGV6LCBDLiBSLjwvYXV0aG9y
PjxhdXRob3I+U2NodXVyLCBFLiBBLjwvYXV0aG9yPjxhdXRob3I+U2Now6RmZXIsIEsuIFYuIFIu
PC9hdXRob3I+PGF1dGhvcj5Tb25uZW50YWcsIE8uPC9hdXRob3I+PGF1dGhvcj5TcGFya3MsIEou
IFAuPC9hdXRob3I+PGF1dGhvcj5TdHVhcnQtSGHDq250amVucywgRS48L2F1dGhvcj48YXV0aG9y
PlN0dXJ0ZXZhbnQsIEMuPC9hdXRob3I+PGF1dGhvcj5TdWxsaXZhbiwgUi4gQy48L2F1dGhvcj48
YXV0aG9yPlN6dXR1LCBELiBKLjwvYXV0aG9yPjxhdXRob3I+VGhvbSwgSi4gRS48L2F1dGhvcj48
YXV0aG9yPlRvcm4sIE0uIFMuPC9hdXRob3I+PGF1dGhvcj5UdWl0dGlsYSwgRS4gUy48L2F1dGhv
cj48YXV0aG9yPlR1cm5lciwgSi48L2F1dGhvcj48YXV0aG9yPlVleWFtYSwgTS48L2F1dGhvcj48
YXV0aG9yPlZhbGFjaCwgQS4gQy48L2F1dGhvcj48YXV0aG9yPlZhcmdhcywgUi48L2F1dGhvcj48
YXV0aG9yPlZhcmxhZ2luLCBBLjwvYXV0aG9yPjxhdXRob3I+VmF6cXVlei1MdWxlLCBBLjwvYXV0
aG9yPjxhdXRob3I+VmVyZmFpbGxpZSwgSi4gRy48L2F1dGhvcj48YXV0aG9yPlZlc2FsYSwgVC48
L2F1dGhvcj48YXV0aG9yPlZvdXJsaXRpcywgRy4gTC48L2F1dGhvcj48YXV0aG9yPldhcmQsIEUu
IEouPC9hdXRob3I+PGF1dGhvcj5XaWxsZSwgQy48L2F1dGhvcj48YXV0aG9yPldvaGxmYWhydCwg
Ry48L2F1dGhvcj48YXV0aG9yPldvbmcsIEcuIFguPC9hdXRob3I+PGF1dGhvcj5aaGFuZywgWi48
L2F1dGhvcj48YXV0aG9yPlpvbmEsIEQuPC9hdXRob3I+PGF1dGhvcj5XaW5kaGFtLU15ZXJzLCBM
LjwvYXV0aG9yPjxhdXRob3I+UG91bHRlciwgQi48L2F1dGhvcj48YXV0aG9yPkphY2tzb24sIFIu
IEIuPC9hdXRob3I+PC9hdXRob3JzPjwvY29udHJpYnV0b3JzPjx0aXRsZXM+PHRpdGxlPkZMVVhO
RVQtQ0g0OiBhIGdsb2JhbCwgbXVsdGktZWNvc3lzdGVtIGRhdGFzZXQgYW5kIGFuYWx5c2lzIG9m
IG1ldGhhbmUgc2Vhc29uYWxpdHkgZnJvbSBmcmVzaHdhdGVyIHdldGxhbmRzPC90aXRsZT48c2Vj
b25kYXJ5LXRpdGxlPkVhcnRoIFN5c3QuIFNjaS4gRGF0YTwvc2Vjb25kYXJ5LXRpdGxlPjwvdGl0
bGVzPjxwZXJpb2RpY2FsPjxmdWxsLXRpdGxlPkVhcnRoIFN5c3QuIFNjaS4gRGF0YTwvZnVsbC10
aXRsZT48L3BlcmlvZGljYWw+PHBhZ2VzPjM2MDctMzY4OTwvcGFnZXM+PHZvbHVtZT4xMzwvdm9s
dW1lPjxudW1iZXI+NzwvbnVtYmVyPjxkYXRlcz48eWVhcj4yMDIxPC95ZWFyPjwvZGF0ZXM+PHB1
Ymxpc2hlcj5Db3Blcm5pY3VzIFB1YmxpY2F0aW9uczwvcHVibGlzaGVyPjxpc2JuPjE4NjYtMzUx
NjwvaXNibj48dXJscz48cmVsYXRlZC11cmxzPjx1cmw+aHR0cHM6Ly9lc3NkLmNvcGVybmljdXMu
b3JnL2FydGljbGVzLzEzLzM2MDcvMjAyMS88L3VybD48L3JlbGF0ZWQtdXJscz48L3VybHM+PGVs
ZWN0cm9uaWMtcmVzb3VyY2UtbnVtPjEwLjUxOTQvZXNzZC0xMy0zNjA3LTIwMjE8L2VsZWN0cm9u
aWMtcmVzb3VyY2UtbnVtPjwvcmVjb3JkPjwvQ2l0ZT48L0VuZE5vdGU+
</w:fldData>
        </w:fldChar>
      </w:r>
      <w:r w:rsidR="00A0246C">
        <w:rPr>
          <w:rFonts w:ascii="Times New Roman" w:eastAsia="Times New Roman" w:hAnsi="Times New Roman" w:cs="Times New Roman"/>
          <w:sz w:val="24"/>
          <w:szCs w:val="24"/>
          <w:lang w:eastAsia="en-GB"/>
          <w14:ligatures w14:val="none"/>
        </w:rPr>
        <w:instrText xml:space="preserve"> ADDIN EN.CITE.DATA </w:instrText>
      </w:r>
      <w:r w:rsidR="00A0246C">
        <w:rPr>
          <w:rFonts w:ascii="Times New Roman" w:eastAsia="Times New Roman" w:hAnsi="Times New Roman" w:cs="Times New Roman"/>
          <w:sz w:val="24"/>
          <w:szCs w:val="24"/>
          <w:lang w:eastAsia="en-GB"/>
          <w14:ligatures w14:val="none"/>
        </w:rPr>
      </w:r>
      <w:r w:rsidR="00A0246C">
        <w:rPr>
          <w:rFonts w:ascii="Times New Roman" w:eastAsia="Times New Roman" w:hAnsi="Times New Roman" w:cs="Times New Roman"/>
          <w:sz w:val="24"/>
          <w:szCs w:val="24"/>
          <w:lang w:eastAsia="en-GB"/>
          <w14:ligatures w14:val="none"/>
        </w:rPr>
        <w:fldChar w:fldCharType="end"/>
      </w:r>
      <w:r w:rsidR="005E21B2">
        <w:rPr>
          <w:rFonts w:ascii="Times New Roman" w:eastAsia="Times New Roman" w:hAnsi="Times New Roman" w:cs="Times New Roman"/>
          <w:sz w:val="24"/>
          <w:szCs w:val="24"/>
          <w:lang w:eastAsia="en-GB"/>
          <w14:ligatures w14:val="none"/>
        </w:rPr>
      </w:r>
      <w:r w:rsidR="005E21B2">
        <w:rPr>
          <w:rFonts w:ascii="Times New Roman" w:eastAsia="Times New Roman" w:hAnsi="Times New Roman" w:cs="Times New Roman"/>
          <w:sz w:val="24"/>
          <w:szCs w:val="24"/>
          <w:lang w:eastAsia="en-GB"/>
          <w14:ligatures w14:val="none"/>
        </w:rPr>
        <w:fldChar w:fldCharType="separate"/>
      </w:r>
      <w:r w:rsidR="00A0246C" w:rsidRPr="00A0246C">
        <w:rPr>
          <w:rFonts w:ascii="Times New Roman" w:eastAsia="Times New Roman" w:hAnsi="Times New Roman" w:cs="Times New Roman"/>
          <w:noProof/>
          <w:sz w:val="24"/>
          <w:szCs w:val="24"/>
          <w:vertAlign w:val="superscript"/>
          <w:lang w:eastAsia="en-GB"/>
          <w14:ligatures w14:val="none"/>
        </w:rPr>
        <w:t>6</w:t>
      </w:r>
      <w:r w:rsidR="005E21B2">
        <w:rPr>
          <w:rFonts w:ascii="Times New Roman" w:eastAsia="Times New Roman" w:hAnsi="Times New Roman" w:cs="Times New Roman"/>
          <w:sz w:val="24"/>
          <w:szCs w:val="24"/>
          <w:lang w:eastAsia="en-GB"/>
          <w14:ligatures w14:val="none"/>
        </w:rPr>
        <w:fldChar w:fldCharType="end"/>
      </w:r>
      <w:r w:rsidRPr="00341C37">
        <w:rPr>
          <w:rFonts w:ascii="Times New Roman" w:eastAsia="Times New Roman" w:hAnsi="Times New Roman" w:cs="Times New Roman"/>
          <w:sz w:val="24"/>
          <w:szCs w:val="24"/>
          <w:lang w:eastAsia="en-GB"/>
          <w14:ligatures w14:val="none"/>
        </w:rPr>
        <w:t xml:space="preserve"> was used, as indicated in Extended Data Table 2.</w:t>
      </w:r>
    </w:p>
    <w:p w14:paraId="37253DBB" w14:textId="77777777" w:rsidR="005E21B2" w:rsidRPr="00341C37" w:rsidRDefault="005E21B2" w:rsidP="00341C37">
      <w:pPr>
        <w:spacing w:after="0" w:line="240" w:lineRule="auto"/>
        <w:jc w:val="both"/>
        <w:rPr>
          <w:rFonts w:ascii="Times New Roman" w:eastAsia="Times New Roman" w:hAnsi="Times New Roman" w:cs="Times New Roman"/>
          <w:sz w:val="24"/>
          <w:szCs w:val="24"/>
          <w:lang w:eastAsia="en-GB"/>
          <w14:ligatures w14:val="none"/>
        </w:rPr>
      </w:pPr>
    </w:p>
    <w:p w14:paraId="62444E0B" w14:textId="00B23F1E" w:rsidR="00B62C30" w:rsidRDefault="00B62C30"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 xml:space="preserve">Mpologoma was represented in the observation-period comparison by the FCH₄ estimate of 720.5 mg CH₄ m⁻² d⁻¹ derived using the monthly diel-coverage approach described in Supplementary Method </w:t>
      </w:r>
      <w:r w:rsidR="009C611F">
        <w:rPr>
          <w:rFonts w:ascii="Times New Roman" w:eastAsia="Times New Roman" w:hAnsi="Times New Roman" w:cs="Times New Roman"/>
          <w:sz w:val="24"/>
          <w:szCs w:val="24"/>
          <w:lang w:eastAsia="en-GB"/>
          <w14:ligatures w14:val="none"/>
        </w:rPr>
        <w:t>6</w:t>
      </w:r>
      <w:r w:rsidRPr="00341C37">
        <w:rPr>
          <w:rFonts w:ascii="Times New Roman" w:eastAsia="Times New Roman" w:hAnsi="Times New Roman" w:cs="Times New Roman"/>
          <w:sz w:val="24"/>
          <w:szCs w:val="24"/>
          <w:lang w:eastAsia="en-GB"/>
          <w14:ligatures w14:val="none"/>
        </w:rPr>
        <w:t>. For the monthly-scale comparison, Mpologoma was represented by its maximum calendar-month mean of 1,706.2 mg CH₄ m⁻² d⁻¹. Observation-period means and monthly maxima were analysed separately because they represent distinct aspects of ecosystem CH₄ exchange: sustained average emission magnitude and short-term seasonal emission intensity, respectively.</w:t>
      </w:r>
    </w:p>
    <w:p w14:paraId="244B0965" w14:textId="77777777" w:rsidR="009C611F" w:rsidRPr="00341C37" w:rsidRDefault="009C611F" w:rsidP="00341C37">
      <w:pPr>
        <w:spacing w:after="0" w:line="240" w:lineRule="auto"/>
        <w:jc w:val="both"/>
        <w:rPr>
          <w:rFonts w:ascii="Times New Roman" w:eastAsia="Times New Roman" w:hAnsi="Times New Roman" w:cs="Times New Roman"/>
          <w:sz w:val="24"/>
          <w:szCs w:val="24"/>
          <w:lang w:eastAsia="en-GB"/>
          <w14:ligatures w14:val="none"/>
        </w:rPr>
      </w:pPr>
    </w:p>
    <w:p w14:paraId="7172E26C" w14:textId="77777777" w:rsidR="00B62C30" w:rsidRDefault="00B62C30"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The comparison was intended to provide quantitative context rather than a formal meta-analysis. Individual tower records differed in duration, temporal coverage, flux-processing methodology, wetland type and hydrological setting; rankings therefore describe Mpologoma relative to the available published natural-wetland EC record rather than implying methodological equivalence among all sites.</w:t>
      </w:r>
    </w:p>
    <w:p w14:paraId="3299E5C0" w14:textId="77777777" w:rsidR="009C611F" w:rsidRPr="00341C37" w:rsidRDefault="009C611F" w:rsidP="00341C37">
      <w:pPr>
        <w:spacing w:after="0" w:line="240" w:lineRule="auto"/>
        <w:jc w:val="both"/>
        <w:rPr>
          <w:rFonts w:ascii="Times New Roman" w:eastAsia="Times New Roman" w:hAnsi="Times New Roman" w:cs="Times New Roman"/>
          <w:sz w:val="24"/>
          <w:szCs w:val="24"/>
          <w:lang w:eastAsia="en-GB"/>
          <w14:ligatures w14:val="none"/>
        </w:rPr>
      </w:pPr>
    </w:p>
    <w:p w14:paraId="24A945ED" w14:textId="146E009E" w:rsidR="004A7FC0" w:rsidRDefault="004A7FC0" w:rsidP="00341C37">
      <w:pPr>
        <w:spacing w:after="0" w:line="240" w:lineRule="auto"/>
        <w:jc w:val="both"/>
        <w:rPr>
          <w:rFonts w:ascii="Times New Roman" w:hAnsi="Times New Roman" w:cs="Times New Roman"/>
          <w:b/>
          <w:bCs/>
          <w:sz w:val="24"/>
          <w:szCs w:val="24"/>
        </w:rPr>
      </w:pPr>
      <w:r w:rsidRPr="00341C37">
        <w:rPr>
          <w:rFonts w:ascii="Times New Roman" w:hAnsi="Times New Roman" w:cs="Times New Roman"/>
          <w:b/>
          <w:bCs/>
          <w:sz w:val="24"/>
          <w:szCs w:val="24"/>
        </w:rPr>
        <w:t xml:space="preserve">Supplementary Method </w:t>
      </w:r>
      <w:r w:rsidR="00A0246C">
        <w:rPr>
          <w:rFonts w:ascii="Times New Roman" w:hAnsi="Times New Roman" w:cs="Times New Roman"/>
          <w:b/>
          <w:bCs/>
          <w:sz w:val="24"/>
          <w:szCs w:val="24"/>
        </w:rPr>
        <w:t>10</w:t>
      </w:r>
      <w:r w:rsidRPr="00341C37">
        <w:rPr>
          <w:rFonts w:ascii="Times New Roman" w:hAnsi="Times New Roman" w:cs="Times New Roman"/>
          <w:b/>
          <w:bCs/>
          <w:sz w:val="24"/>
          <w:szCs w:val="24"/>
        </w:rPr>
        <w:t>. Microbial community processing and identification of methane-cycling taxa</w:t>
      </w:r>
    </w:p>
    <w:p w14:paraId="30F4E9D6" w14:textId="77777777" w:rsidR="00F27DEB" w:rsidRPr="00341C37" w:rsidRDefault="00F27DEB" w:rsidP="00341C37">
      <w:pPr>
        <w:spacing w:after="0" w:line="240" w:lineRule="auto"/>
        <w:jc w:val="both"/>
        <w:rPr>
          <w:rFonts w:ascii="Times New Roman" w:hAnsi="Times New Roman" w:cs="Times New Roman"/>
          <w:b/>
          <w:bCs/>
          <w:sz w:val="24"/>
          <w:szCs w:val="24"/>
        </w:rPr>
      </w:pPr>
    </w:p>
    <w:p w14:paraId="0CEC632D" w14:textId="77777777" w:rsidR="004A7FC0" w:rsidRDefault="004A7FC0"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Microbial community composition was characterised by 16S rRNA gene sequencing of peat samples collected at 5, 10, 15, 20, 25, 50, 95, 150 and 200 cm depth and from the basal peat, using the extraction, amplification and sequencing procedures described in the main Methods. Raw sequence data were processed in R 4.4.3 using DADA2 version 1.34.0 to infer amplicon sequence variants (ASVs). Taxonomy was assigned using the SILVA 138.1 reference database, and the resulting abundance and taxonomic data were organised in phyloseq version 1.50.0 for downstream analysis.</w:t>
      </w:r>
    </w:p>
    <w:p w14:paraId="3DA36A6C" w14:textId="77777777" w:rsidR="00F27DEB" w:rsidRPr="00341C37" w:rsidRDefault="00F27DEB" w:rsidP="00341C37">
      <w:pPr>
        <w:spacing w:after="0" w:line="240" w:lineRule="auto"/>
        <w:jc w:val="both"/>
        <w:rPr>
          <w:rFonts w:ascii="Times New Roman" w:hAnsi="Times New Roman" w:cs="Times New Roman"/>
          <w:sz w:val="24"/>
          <w:szCs w:val="24"/>
        </w:rPr>
      </w:pPr>
    </w:p>
    <w:p w14:paraId="63A57329" w14:textId="1AD25BC3" w:rsidR="004A7FC0" w:rsidRDefault="004A7FC0"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 xml:space="preserve">Methanogen- and methanotroph-affiliated taxa were identified from the SILVA taxonomic assignments and cross-referenced against published information on established methane-cycling groups. Taxa were classified according to their reported methane-cycling affiliation at the lowest taxonomic level that could be supported by the 16S assignment and the available literature. The resulting classification comprised 42 methanogen-affiliated and 35 methanotroph-affiliated taxa </w:t>
      </w:r>
      <w:r w:rsidR="007D096C" w:rsidRPr="0039061D">
        <w:rPr>
          <w:rFonts w:ascii="Times New Roman" w:hAnsi="Times New Roman" w:cs="Times New Roman"/>
          <w:sz w:val="24"/>
          <w:szCs w:val="24"/>
        </w:rPr>
        <w:t>(</w:t>
      </w:r>
      <w:r w:rsidR="007D096C">
        <w:rPr>
          <w:rFonts w:ascii="Times New Roman" w:hAnsi="Times New Roman" w:cs="Times New Roman"/>
          <w:i/>
          <w:iCs/>
          <w:sz w:val="24"/>
          <w:szCs w:val="24"/>
        </w:rPr>
        <w:t>t</w:t>
      </w:r>
      <w:r w:rsidR="007D096C" w:rsidRPr="00236B2C">
        <w:rPr>
          <w:rFonts w:ascii="Times New Roman" w:hAnsi="Times New Roman" w:cs="Times New Roman"/>
          <w:i/>
          <w:iCs/>
          <w:sz w:val="24"/>
          <w:szCs w:val="24"/>
        </w:rPr>
        <w:t>he complete taxonomic assignments and literature basis for their classification are provided</w:t>
      </w:r>
      <w:r w:rsidR="007D096C">
        <w:rPr>
          <w:rFonts w:ascii="Times New Roman" w:hAnsi="Times New Roman" w:cs="Times New Roman"/>
          <w:sz w:val="24"/>
          <w:szCs w:val="24"/>
        </w:rPr>
        <w:t xml:space="preserve"> </w:t>
      </w:r>
      <w:r w:rsidR="007D096C" w:rsidRPr="00236B2C">
        <w:rPr>
          <w:rFonts w:ascii="Times New Roman" w:hAnsi="Times New Roman" w:cs="Times New Roman"/>
          <w:i/>
          <w:iCs/>
          <w:sz w:val="24"/>
          <w:szCs w:val="24"/>
        </w:rPr>
        <w:t>in</w:t>
      </w:r>
      <w:r w:rsidR="007D096C">
        <w:rPr>
          <w:rFonts w:ascii="Times New Roman" w:hAnsi="Times New Roman" w:cs="Times New Roman"/>
          <w:sz w:val="24"/>
          <w:szCs w:val="24"/>
        </w:rPr>
        <w:t xml:space="preserve"> </w:t>
      </w:r>
      <w:r w:rsidR="007D096C" w:rsidRPr="00236B2C">
        <w:rPr>
          <w:rFonts w:ascii="Times New Roman" w:hAnsi="Times New Roman" w:cs="Times New Roman"/>
          <w:i/>
          <w:iCs/>
          <w:sz w:val="24"/>
          <w:szCs w:val="24"/>
        </w:rPr>
        <w:t>M. Jenkins et al., manuscript under review</w:t>
      </w:r>
      <w:r w:rsidR="007D096C" w:rsidRPr="00D00A7B">
        <w:rPr>
          <w:rFonts w:ascii="Times New Roman" w:hAnsi="Times New Roman" w:cs="Times New Roman"/>
          <w:sz w:val="24"/>
          <w:szCs w:val="24"/>
        </w:rPr>
        <w:t>).</w:t>
      </w:r>
    </w:p>
    <w:p w14:paraId="13EE5CEA" w14:textId="77777777" w:rsidR="001405C8" w:rsidRPr="00341C37" w:rsidRDefault="001405C8" w:rsidP="00341C37">
      <w:pPr>
        <w:spacing w:after="0" w:line="240" w:lineRule="auto"/>
        <w:jc w:val="both"/>
        <w:rPr>
          <w:rFonts w:ascii="Times New Roman" w:hAnsi="Times New Roman" w:cs="Times New Roman"/>
          <w:sz w:val="24"/>
          <w:szCs w:val="24"/>
        </w:rPr>
      </w:pPr>
    </w:p>
    <w:p w14:paraId="5D3FE67A" w14:textId="77777777" w:rsidR="004A7FC0" w:rsidRPr="00341C37" w:rsidRDefault="004A7FC0"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t>For each sampled depth, ASV abundances assigned to each methane-cycling group were summed separately and expressed as a percentage of the total microbial community represented in that sample. These relative abundances were used to generate the downcore methanogen and methanotroph profiles shown in Fig. 5. Relative abundance was interpreted as evidence for the occurrence and distribution of methane-cycling microbial groups and not as a direct measure of methanogenesis or methane-oxidation rates.</w:t>
      </w:r>
    </w:p>
    <w:p w14:paraId="34A6DF2F" w14:textId="77777777" w:rsidR="006727A6" w:rsidRPr="00341C37" w:rsidRDefault="006727A6" w:rsidP="00341C37">
      <w:pPr>
        <w:spacing w:after="0" w:line="240" w:lineRule="auto"/>
        <w:jc w:val="both"/>
        <w:rPr>
          <w:rFonts w:ascii="Times New Roman" w:hAnsi="Times New Roman" w:cs="Times New Roman"/>
          <w:sz w:val="24"/>
          <w:szCs w:val="24"/>
        </w:rPr>
      </w:pPr>
    </w:p>
    <w:p w14:paraId="255097CE" w14:textId="77777777" w:rsidR="00430A04" w:rsidRPr="00341C37" w:rsidRDefault="00430A04" w:rsidP="00341C37">
      <w:pPr>
        <w:spacing w:after="0" w:line="240" w:lineRule="auto"/>
        <w:jc w:val="both"/>
        <w:rPr>
          <w:rFonts w:ascii="Times New Roman" w:hAnsi="Times New Roman" w:cs="Times New Roman"/>
          <w:sz w:val="24"/>
          <w:szCs w:val="24"/>
        </w:rPr>
      </w:pPr>
    </w:p>
    <w:p w14:paraId="68CA2BAB" w14:textId="77777777" w:rsidR="00430A04" w:rsidRPr="00341C37" w:rsidRDefault="00430A04" w:rsidP="00341C37">
      <w:pPr>
        <w:spacing w:after="0" w:line="240" w:lineRule="auto"/>
        <w:jc w:val="both"/>
        <w:rPr>
          <w:rFonts w:ascii="Times New Roman" w:hAnsi="Times New Roman" w:cs="Times New Roman"/>
          <w:sz w:val="24"/>
          <w:szCs w:val="24"/>
        </w:rPr>
      </w:pPr>
    </w:p>
    <w:p w14:paraId="37C29EC4" w14:textId="18AC6778" w:rsidR="00430A04" w:rsidRDefault="00430A04"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b/>
          <w:bCs/>
          <w:sz w:val="24"/>
          <w:szCs w:val="24"/>
        </w:rPr>
        <w:t xml:space="preserve">Supplementary </w:t>
      </w:r>
      <w:r w:rsidRPr="00E67C9F">
        <w:rPr>
          <w:rFonts w:ascii="Times New Roman" w:hAnsi="Times New Roman" w:cs="Times New Roman"/>
          <w:b/>
          <w:bCs/>
          <w:sz w:val="24"/>
          <w:szCs w:val="24"/>
        </w:rPr>
        <w:t xml:space="preserve">Note 1 | </w:t>
      </w:r>
      <w:r w:rsidR="007E50E9" w:rsidRPr="00E67C9F">
        <w:rPr>
          <w:rFonts w:ascii="Times New Roman" w:hAnsi="Times New Roman" w:cs="Times New Roman"/>
          <w:b/>
          <w:bCs/>
          <w:sz w:val="24"/>
          <w:szCs w:val="24"/>
        </w:rPr>
        <w:t>Catchment and regional papyrus-wetland scaling</w:t>
      </w:r>
    </w:p>
    <w:p w14:paraId="1D3E970B" w14:textId="77777777" w:rsidR="00E67C9F" w:rsidRPr="00341C37" w:rsidRDefault="00E67C9F" w:rsidP="00341C37">
      <w:pPr>
        <w:spacing w:after="0" w:line="240" w:lineRule="auto"/>
        <w:jc w:val="both"/>
        <w:rPr>
          <w:rFonts w:ascii="Times New Roman" w:hAnsi="Times New Roman" w:cs="Times New Roman"/>
          <w:sz w:val="24"/>
          <w:szCs w:val="24"/>
        </w:rPr>
      </w:pPr>
    </w:p>
    <w:p w14:paraId="4EE21D90" w14:textId="1CC85F66" w:rsidR="00CB6F16"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 xml:space="preserve">The scaling calculations reported in the manuscript were intended to contextualise the magnitude of the tower-derived CH₄ flux rather than to provide spatially resolved emission budgets. The Mpologoma mean of 720.5 mg CH₄ m⁻² d⁻¹ corresponds to 263.0 g CH₄ m⁻² yr⁻¹, or 2.63 t CH₄ ha⁻¹ yr⁻¹, using the unit conversions described in Supplementary Method </w:t>
      </w:r>
      <w:r w:rsidR="00123FD2">
        <w:rPr>
          <w:rFonts w:ascii="Times New Roman" w:eastAsia="Times New Roman" w:hAnsi="Times New Roman" w:cs="Times New Roman"/>
          <w:sz w:val="24"/>
          <w:szCs w:val="24"/>
          <w:lang w:eastAsia="en-GB"/>
          <w14:ligatures w14:val="none"/>
        </w:rPr>
        <w:t>6</w:t>
      </w:r>
      <w:r w:rsidRPr="00341C37">
        <w:rPr>
          <w:rFonts w:ascii="Times New Roman" w:eastAsia="Times New Roman" w:hAnsi="Times New Roman" w:cs="Times New Roman"/>
          <w:sz w:val="24"/>
          <w:szCs w:val="24"/>
          <w:lang w:eastAsia="en-GB"/>
          <w14:ligatures w14:val="none"/>
        </w:rPr>
        <w:t>.</w:t>
      </w:r>
    </w:p>
    <w:p w14:paraId="655A7F10" w14:textId="77777777" w:rsidR="00E67C9F" w:rsidRPr="00341C37" w:rsidRDefault="00E67C9F" w:rsidP="00341C37">
      <w:pPr>
        <w:spacing w:after="0" w:line="240" w:lineRule="auto"/>
        <w:jc w:val="both"/>
        <w:rPr>
          <w:rFonts w:ascii="Times New Roman" w:eastAsia="Times New Roman" w:hAnsi="Times New Roman" w:cs="Times New Roman"/>
          <w:sz w:val="24"/>
          <w:szCs w:val="24"/>
          <w:lang w:eastAsia="en-GB"/>
          <w14:ligatures w14:val="none"/>
        </w:rPr>
      </w:pPr>
    </w:p>
    <w:p w14:paraId="5394ECBC" w14:textId="1B242E6C" w:rsidR="00CB6F16"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For the Mpologoma catchment-scale extrapolation, the reported catchment area of approximately 12,915 km² and wetland fraction of approximately 20%</w:t>
      </w:r>
      <w:r w:rsidR="00D2424A">
        <w:rPr>
          <w:rFonts w:ascii="Times New Roman" w:eastAsia="Times New Roman" w:hAnsi="Times New Roman" w:cs="Times New Roman"/>
          <w:sz w:val="24"/>
          <w:szCs w:val="24"/>
          <w:lang w:eastAsia="en-GB"/>
          <w14:ligatures w14:val="none"/>
        </w:rPr>
        <w:fldChar w:fldCharType="begin"/>
      </w:r>
      <w:r w:rsidR="00D2424A">
        <w:rPr>
          <w:rFonts w:ascii="Times New Roman" w:eastAsia="Times New Roman" w:hAnsi="Times New Roman" w:cs="Times New Roman"/>
          <w:sz w:val="24"/>
          <w:szCs w:val="24"/>
          <w:lang w:eastAsia="en-GB"/>
          <w14:ligatures w14:val="none"/>
        </w:rPr>
        <w:instrText xml:space="preserve"> ADDIN EN.CITE &lt;EndNote&gt;&lt;Cite&gt;&lt;Author&gt;Bunyangha&lt;/Author&gt;&lt;Year&gt;2022&lt;/Year&gt;&lt;RecNum&gt;126&lt;/RecNum&gt;&lt;DisplayText&gt;&lt;style face="superscript"&gt;7,8&lt;/style&gt;&lt;/DisplayText&gt;&lt;record&gt;&lt;rec-number&gt;126&lt;/rec-number&gt;&lt;foreign-keys&gt;&lt;key app="EN" db-id="wf0e5fxd7vfsd2eaxf6v9efkdspdrrxvtz0f" timestamp="1773929928"&gt;126&lt;/key&gt;&lt;/foreign-keys&gt;&lt;ref-type name="Journal Article"&gt;17&lt;/ref-type&gt;&lt;contributors&gt;&lt;authors&gt;&lt;author&gt;Bunyangha, Jackson&lt;/author&gt;&lt;author&gt;Muthumbi, Agnes. W. N.&lt;/author&gt;&lt;author&gt;Egeru, Anthony&lt;/author&gt;&lt;author&gt;Asiimwe, Robert&lt;/author&gt;&lt;author&gt;Ulwodi, Dunston W.&lt;/author&gt;&lt;author&gt;Gichuki, Nathan. N.&lt;/author&gt;&lt;author&gt;Majaliwa, Mwanjalolo. J. G.&lt;/author&gt;&lt;/authors&gt;&lt;/contributors&gt;&lt;titles&gt;&lt;title&gt;Preferred Attributes for Sustainable Wetland Management in Mpologoma Catchment, Uganda: A Discrete Choice Experiment&lt;/title&gt;&lt;secondary-title&gt;Land&lt;/secondary-title&gt;&lt;/titles&gt;&lt;periodical&gt;&lt;full-title&gt;Land&lt;/full-title&gt;&lt;/periodical&gt;&lt;pages&gt;962&lt;/pages&gt;&lt;volume&gt;11&lt;/volume&gt;&lt;number&gt;7&lt;/number&gt;&lt;dates&gt;&lt;year&gt;2022&lt;/year&gt;&lt;/dates&gt;&lt;isbn&gt;2073-445X&lt;/isbn&gt;&lt;accession-num&gt;doi:10.3390/land11070962&lt;/accession-num&gt;&lt;urls&gt;&lt;related-urls&gt;&lt;url&gt;https://www.mdpi.com/2073-445X/11/7/962&lt;/url&gt;&lt;/related-urls&gt;&lt;/urls&gt;&lt;/record&gt;&lt;/Cite&gt;&lt;Cite&gt;&lt;Author&gt;MWE&lt;/Author&gt;&lt;Year&gt;2018&lt;/Year&gt;&lt;RecNum&gt;215&lt;/RecNum&gt;&lt;record&gt;&lt;rec-number&gt;215&lt;/rec-number&gt;&lt;foreign-keys&gt;&lt;key app="EN" db-id="wf0e5fxd7vfsd2eaxf6v9efkdspdrrxvtz0f" timestamp="1782744303"&gt;215&lt;/key&gt;&lt;/foreign-keys&gt;&lt;ref-type name="Report"&gt;27&lt;/ref-type&gt;&lt;contributors&gt;&lt;authors&gt;&lt;author&gt;MWE&lt;/author&gt;&lt;/authors&gt;&lt;/contributors&gt;&lt;titles&gt;&lt;title&gt;Mpologoma Catchment Management Plan&lt;/title&gt;&lt;secondary-title&gt;Ministry of Water and Environment&lt;/secondary-title&gt;&lt;/titles&gt;&lt;dates&gt;&lt;year&gt;2018&lt;/year&gt;&lt;/dates&gt;&lt;pub-location&gt;Kampala, Uganda&lt;/pub-location&gt;&lt;publisher&gt;Directorate of Water Resources Management, Kyoga Water Management Zone, Ministry of Water and Environment&lt;/publisher&gt;&lt;urls&gt;&lt;related-urls&gt;&lt;url&gt;https://s3-eu-west-1.amazonaws.com/s3.sourceafrica.net/documents/119628/Mpologoma-CMP.pdf&lt;/url&gt;&lt;/related-urls&gt;&lt;/urls&gt;&lt;/record&gt;&lt;/Cite&gt;&lt;/EndNote&gt;</w:instrText>
      </w:r>
      <w:r w:rsidR="00D2424A">
        <w:rPr>
          <w:rFonts w:ascii="Times New Roman" w:eastAsia="Times New Roman" w:hAnsi="Times New Roman" w:cs="Times New Roman"/>
          <w:sz w:val="24"/>
          <w:szCs w:val="24"/>
          <w:lang w:eastAsia="en-GB"/>
          <w14:ligatures w14:val="none"/>
        </w:rPr>
        <w:fldChar w:fldCharType="separate"/>
      </w:r>
      <w:r w:rsidR="00D2424A" w:rsidRPr="00D2424A">
        <w:rPr>
          <w:rFonts w:ascii="Times New Roman" w:eastAsia="Times New Roman" w:hAnsi="Times New Roman" w:cs="Times New Roman"/>
          <w:noProof/>
          <w:sz w:val="24"/>
          <w:szCs w:val="24"/>
          <w:vertAlign w:val="superscript"/>
          <w:lang w:eastAsia="en-GB"/>
          <w14:ligatures w14:val="none"/>
        </w:rPr>
        <w:t>7,8</w:t>
      </w:r>
      <w:r w:rsidR="00D2424A">
        <w:rPr>
          <w:rFonts w:ascii="Times New Roman" w:eastAsia="Times New Roman" w:hAnsi="Times New Roman" w:cs="Times New Roman"/>
          <w:sz w:val="24"/>
          <w:szCs w:val="24"/>
          <w:lang w:eastAsia="en-GB"/>
          <w14:ligatures w14:val="none"/>
        </w:rPr>
        <w:fldChar w:fldCharType="end"/>
      </w:r>
      <w:r w:rsidRPr="00341C37">
        <w:rPr>
          <w:rFonts w:ascii="Times New Roman" w:eastAsia="Times New Roman" w:hAnsi="Times New Roman" w:cs="Times New Roman"/>
          <w:sz w:val="24"/>
          <w:szCs w:val="24"/>
          <w:lang w:eastAsia="en-GB"/>
          <w14:ligatures w14:val="none"/>
        </w:rPr>
        <w:t xml:space="preserve"> correspond to an estimated wetland area of 2,583 km² (258,300 ha). Applying the Mpologoma flux uniformly across this area gives:</w:t>
      </w:r>
    </w:p>
    <w:p w14:paraId="5A8C534D" w14:textId="77777777" w:rsidR="00E67C9F" w:rsidRPr="00341C37" w:rsidRDefault="00E67C9F" w:rsidP="00341C37">
      <w:pPr>
        <w:spacing w:after="0" w:line="240" w:lineRule="auto"/>
        <w:jc w:val="both"/>
        <w:rPr>
          <w:rFonts w:ascii="Times New Roman" w:eastAsia="Times New Roman" w:hAnsi="Times New Roman" w:cs="Times New Roman"/>
          <w:sz w:val="24"/>
          <w:szCs w:val="24"/>
          <w:lang w:eastAsia="en-GB"/>
          <w14:ligatures w14:val="none"/>
        </w:rPr>
      </w:pPr>
    </w:p>
    <w:p w14:paraId="134AD6D2" w14:textId="77777777" w:rsidR="00CB6F16" w:rsidRPr="00F06DC0"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F06DC0">
        <w:rPr>
          <w:rFonts w:ascii="Times New Roman" w:eastAsia="Times New Roman" w:hAnsi="Times New Roman" w:cs="Times New Roman"/>
          <w:sz w:val="24"/>
          <w:szCs w:val="24"/>
          <w:lang w:eastAsia="en-GB"/>
          <w14:ligatures w14:val="none"/>
        </w:rPr>
        <w:t>2.63 t CH₄ ha⁻¹ yr⁻¹ × 258,300 ha = 679,329 t CH₄ yr⁻¹ = 0.679 Tg CH₄ yr⁻¹.</w:t>
      </w:r>
    </w:p>
    <w:p w14:paraId="116DD8BB" w14:textId="77777777" w:rsidR="00F01B92" w:rsidRPr="00F06DC0" w:rsidRDefault="00F01B92" w:rsidP="00341C37">
      <w:pPr>
        <w:spacing w:after="0" w:line="240" w:lineRule="auto"/>
        <w:jc w:val="both"/>
        <w:rPr>
          <w:rFonts w:ascii="Times New Roman" w:eastAsia="Times New Roman" w:hAnsi="Times New Roman" w:cs="Times New Roman"/>
          <w:sz w:val="24"/>
          <w:szCs w:val="24"/>
          <w:lang w:eastAsia="en-GB"/>
          <w14:ligatures w14:val="none"/>
        </w:rPr>
      </w:pPr>
    </w:p>
    <w:p w14:paraId="391FE6B2" w14:textId="61DA1FEC" w:rsidR="00CB6F16" w:rsidRPr="00F06DC0"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F06DC0">
        <w:rPr>
          <w:rFonts w:ascii="Times New Roman" w:eastAsia="Times New Roman" w:hAnsi="Times New Roman" w:cs="Times New Roman"/>
          <w:sz w:val="24"/>
          <w:szCs w:val="24"/>
          <w:lang w:eastAsia="en-GB"/>
          <w14:ligatures w14:val="none"/>
        </w:rPr>
        <w:t>Using GWP20 = 81.2, the Mpologoma flux corresponds to 213.5 t CO₂-e ha⁻¹ yr⁻¹, giving an illustrative catchment-scale value of approximately 55.1 Mt CO₂-e yr⁻¹. The resulting 0.679 Tg CH₄ yr⁻¹ represents approximately 0.27% of the 248 Tg CH₄ yr⁻¹ bottom-up estimate of combined global wetland and inland-freshwater CH₄ emissions for 2010–2019</w:t>
      </w:r>
      <w:r w:rsidR="00666BBD">
        <w:rPr>
          <w:rFonts w:ascii="Times New Roman" w:eastAsia="Times New Roman" w:hAnsi="Times New Roman" w:cs="Times New Roman"/>
          <w:sz w:val="24"/>
          <w:szCs w:val="24"/>
          <w:lang w:eastAsia="en-GB"/>
          <w14:ligatures w14:val="none"/>
        </w:rPr>
        <w:fldChar w:fldCharType="begin">
          <w:fldData xml:space="preserve">PEVuZE5vdGU+PENpdGU+PEF1dGhvcj5TYXVub2lzPC9BdXRob3I+PFllYXI+MjAyNTwvWWVhcj48
UmVjTnVtPjEzOTwvUmVjTnVtPjxEaXNwbGF5VGV4dD48c3R5bGUgZmFjZT0ic3VwZXJzY3JpcHQi
Pjk8L3N0eWxlPjwvRGlzcGxheVRleHQ+PHJlY29yZD48cmVjLW51bWJlcj4xMzk8L3JlYy1udW1i
ZXI+PGZvcmVpZ24ta2V5cz48a2V5IGFwcD0iRU4iIGRiLWlkPSJ3ZjBlNWZ4ZDd2ZnNkMmVheGY2
djllZmtkc3BkcnJ4dnR6MGYiIHRpbWVzdGFtcD0iMTc3NzM5NjgxNSI+MTM5PC9rZXk+PC9mb3Jl
aWduLWtleXM+PHJlZi10eXBlIG5hbWU9IkpvdXJuYWwgQXJ0aWNsZSI+MTc8L3JlZi10eXBlPjxj
b250cmlidXRvcnM+PGF1dGhvcnM+PGF1dGhvcj5TYXVub2lzLCBNLjwvYXV0aG9yPjxhdXRob3I+
TWFydGluZXosIEEuPC9hdXRob3I+PGF1dGhvcj5Qb3VsdGVyLCBCLjwvYXV0aG9yPjxhdXRob3I+
WmhhbmcsIFouPC9hdXRob3I+PGF1dGhvcj5SYXltb25kLCBQLiBBLjwvYXV0aG9yPjxhdXRob3I+
UmVnbmllciwgUC48L2F1dGhvcj48YXV0aG9yPkNhbmFkZWxsLCBKLiBHLjwvYXV0aG9yPjxhdXRo
b3I+SmFja3NvbiwgUi4gQi48L2F1dGhvcj48YXV0aG9yPlBhdHJhLCBQLiBLLjwvYXV0aG9yPjxh
dXRob3I+Qm91c3F1ZXQsIFAuPC9hdXRob3I+PGF1dGhvcj5DaWFpcywgUC48L2F1dGhvcj48YXV0
aG9yPkRsdWdva2VuY2t5LCBFLiBKLjwvYXV0aG9yPjxhdXRob3I+TGFuLCBYLjwvYXV0aG9yPjxh
dXRob3I+QWxsZW4sIEcuIEguPC9hdXRob3I+PGF1dGhvcj5CYXN0dmlrZW4sIEQuPC9hdXRob3I+
PGF1dGhvcj5CZWVybGluZywgRC4gSi48L2F1dGhvcj48YXV0aG9yPkJlbGlrb3YsIEQuIEEuPC9h
dXRob3I+PGF1dGhvcj5CbGFrZSwgRC4gUi48L2F1dGhvcj48YXV0aG9yPkNhc3RhbGRpLCBTLjwv
YXV0aG9yPjxhdXRob3I+Q3JpcHBhLCBNLjwvYXV0aG9yPjxhdXRob3I+RGVlbWVyLCBCLiBSLjwv
YXV0aG9yPjxhdXRob3I+RGVubmlzb24sIEYuPC9hdXRob3I+PGF1dGhvcj5FdGlvcGUsIEcuPC9h
dXRob3I+PGF1dGhvcj5HZWRuZXksIE4uPC9hdXRob3I+PGF1dGhvcj5Iw7ZnbHVuZC1Jc2Frc3Nv
biwgTC48L2F1dGhvcj48YXV0aG9yPkhvbGdlcnNvbiwgTS4gQS48L2F1dGhvcj48YXV0aG9yPkhv
cGNyb2Z0LCBQLiBPLjwvYXV0aG9yPjxhdXRob3I+SHVnZWxpdXMsIEcuPC9hdXRob3I+PGF1dGhv
cj5JdG8sIEEuPC9hdXRob3I+PGF1dGhvcj5KYWluLCBBLiBLLjwvYXV0aG9yPjxhdXRob3I+SmFu
YXJkYW5hbiwgUi48L2F1dGhvcj48YXV0aG9yPkpvaG5zb24sIE0uIFMuPC9hdXRob3I+PGF1dGhv
cj5LbGVpbmVuLCBULjwvYXV0aG9yPjxhdXRob3I+S3J1bW1lbCwgUC4gQi48L2F1dGhvcj48YXV0
aG9yPkxhdWVyd2FsZCwgUi48L2F1dGhvcj48YXV0aG9yPkxpLCBULjwvYXV0aG9yPjxhdXRob3I+
TGl1LCBYLjwvYXV0aG9yPjxhdXRob3I+TWNEb25hbGQsIEsuIEMuPC9hdXRob3I+PGF1dGhvcj5N
ZWx0b24sIEouIFIuPC9hdXRob3I+PGF1dGhvcj5Nw7xobGUsIEouPC9hdXRob3I+PGF1dGhvcj5N
w7xsbGVyLCBKLjwvYXV0aG9yPjxhdXRob3I+TXVyZ3VpYS1GbG9yZXMsIEYuPC9hdXRob3I+PGF1
dGhvcj5OaXdhLCBZLjwvYXV0aG9yPjxhdXRob3I+Tm9jZSwgUy48L2F1dGhvcj48YXV0aG9yPlBh
biwgUy48L2F1dGhvcj48YXV0aG9yPlBhcmtlciwgUi4gSi48L2F1dGhvcj48YXV0aG9yPlBlbmcs
IEMuPC9hdXRob3I+PGF1dGhvcj5SYW1vbmV0LCBNLjwvYXV0aG9yPjxhdXRob3I+UmlsZXksIFcu
IEouPC9hdXRob3I+PGF1dGhvcj5Sb2NoZXItUm9zLCBHLjwvYXV0aG9yPjxhdXRob3I+Um9zZW50
cmV0ZXIsIEouIEEuPC9hdXRob3I+PGF1dGhvcj5TYXNha2F3YSwgTS48L2F1dGhvcj48YXV0aG9y
PlNlZ2VycywgQS48L2F1dGhvcj48YXV0aG9yPlNtaXRoLCBTLiBKLjwvYXV0aG9yPjxhdXRob3I+
U3RhbmxleSwgRS4gSC48L2F1dGhvcj48YXV0aG9yPlRoYW53ZXJkYXMsIEouPC9hdXRob3I+PGF1
dGhvcj5UaWFuLCBILjwvYXV0aG9yPjxhdXRob3I+VHN1cnV0YSwgQS48L2F1dGhvcj48YXV0aG9y
PlR1YmllbGxvLCBGLiBOLjwvYXV0aG9yPjxhdXRob3I+V2ViZXIsIFQuIFMuPC9hdXRob3I+PGF1
dGhvcj52YW4gZGVyIFdlcmYsIEcuIFIuPC9hdXRob3I+PGF1dGhvcj5Xb3J0aHksIEQuIEUuIEou
PC9hdXRob3I+PGF1dGhvcj5YaSwgWS48L2F1dGhvcj48YXV0aG9yPllvc2hpZGEsIFkuPC9hdXRo
b3I+PGF1dGhvcj5aaGFuZywgVy48L2F1dGhvcj48YXV0aG9yPlpoZW5nLCBCLjwvYXV0aG9yPjxh
dXRob3I+Wmh1LCBRLjwvYXV0aG9yPjxhdXRob3I+Wmh1LCBRLjwvYXV0aG9yPjxhdXRob3I+Wmh1
YW5nLCBRLjwvYXV0aG9yPjwvYXV0aG9ycz48L2NvbnRyaWJ1dG9ycz48dGl0bGVzPjx0aXRsZT5H
bG9iYWwgTWV0aGFuZSBCdWRnZXQgMjAwMOKAkzIwMjA8L3RpdGxlPjxzZWNvbmRhcnktdGl0bGU+
RWFydGggU3lzdC4gU2NpLiBEYXRhPC9zZWNvbmRhcnktdGl0bGU+PC90aXRsZXM+PHBlcmlvZGlj
YWw+PGZ1bGwtdGl0bGU+RWFydGggU3lzdC4gU2NpLiBEYXRhPC9mdWxsLXRpdGxlPjwvcGVyaW9k
aWNhbD48cGFnZXM+MTg3My0xOTU4PC9wYWdlcz48dm9sdW1lPjE3PC92b2x1bWU+PG51bWJlcj41
PC9udW1iZXI+PGRhdGVzPjx5ZWFyPjIwMjU8L3llYXI+PC9kYXRlcz48cHVibGlzaGVyPkNvcGVy
bmljdXMgUHVibGljYXRpb25zPC9wdWJsaXNoZXI+PGlzYm4+MTg2Ni0zNTE2PC9pc2JuPjx1cmxz
PjxyZWxhdGVkLXVybHM+PHVybD5odHRwczovL2Vzc2QuY29wZXJuaWN1cy5vcmcvYXJ0aWNsZXMv
MTcvMTg3My8yMDI1LzwvdXJsPjwvcmVsYXRlZC11cmxzPjwvdXJscz48ZWxlY3Ryb25pYy1yZXNv
dXJjZS1udW0+MTAuNTE5NC9lc3NkLTE3LTE4NzMtMjAyNTwvZWxlY3Ryb25pYy1yZXNvdXJjZS1u
dW0+PC9yZWNvcmQ+PC9DaXRlPjwvRW5kTm90ZT5=
</w:fldData>
        </w:fldChar>
      </w:r>
      <w:r w:rsidR="00F12448">
        <w:rPr>
          <w:rFonts w:ascii="Times New Roman" w:eastAsia="Times New Roman" w:hAnsi="Times New Roman" w:cs="Times New Roman"/>
          <w:sz w:val="24"/>
          <w:szCs w:val="24"/>
          <w:lang w:eastAsia="en-GB"/>
          <w14:ligatures w14:val="none"/>
        </w:rPr>
        <w:instrText xml:space="preserve"> ADDIN EN.CITE </w:instrText>
      </w:r>
      <w:r w:rsidR="00F12448">
        <w:rPr>
          <w:rFonts w:ascii="Times New Roman" w:eastAsia="Times New Roman" w:hAnsi="Times New Roman" w:cs="Times New Roman"/>
          <w:sz w:val="24"/>
          <w:szCs w:val="24"/>
          <w:lang w:eastAsia="en-GB"/>
          <w14:ligatures w14:val="none"/>
        </w:rPr>
        <w:fldChar w:fldCharType="begin">
          <w:fldData xml:space="preserve">PEVuZE5vdGU+PENpdGU+PEF1dGhvcj5TYXVub2lzPC9BdXRob3I+PFllYXI+MjAyNTwvWWVhcj48
UmVjTnVtPjEzOTwvUmVjTnVtPjxEaXNwbGF5VGV4dD48c3R5bGUgZmFjZT0ic3VwZXJzY3JpcHQi
Pjk8L3N0eWxlPjwvRGlzcGxheVRleHQ+PHJlY29yZD48cmVjLW51bWJlcj4xMzk8L3JlYy1udW1i
ZXI+PGZvcmVpZ24ta2V5cz48a2V5IGFwcD0iRU4iIGRiLWlkPSJ3ZjBlNWZ4ZDd2ZnNkMmVheGY2
djllZmtkc3BkcnJ4dnR6MGYiIHRpbWVzdGFtcD0iMTc3NzM5NjgxNSI+MTM5PC9rZXk+PC9mb3Jl
aWduLWtleXM+PHJlZi10eXBlIG5hbWU9IkpvdXJuYWwgQXJ0aWNsZSI+MTc8L3JlZi10eXBlPjxj
b250cmlidXRvcnM+PGF1dGhvcnM+PGF1dGhvcj5TYXVub2lzLCBNLjwvYXV0aG9yPjxhdXRob3I+
TWFydGluZXosIEEuPC9hdXRob3I+PGF1dGhvcj5Qb3VsdGVyLCBCLjwvYXV0aG9yPjxhdXRob3I+
WmhhbmcsIFouPC9hdXRob3I+PGF1dGhvcj5SYXltb25kLCBQLiBBLjwvYXV0aG9yPjxhdXRob3I+
UmVnbmllciwgUC48L2F1dGhvcj48YXV0aG9yPkNhbmFkZWxsLCBKLiBHLjwvYXV0aG9yPjxhdXRo
b3I+SmFja3NvbiwgUi4gQi48L2F1dGhvcj48YXV0aG9yPlBhdHJhLCBQLiBLLjwvYXV0aG9yPjxh
dXRob3I+Qm91c3F1ZXQsIFAuPC9hdXRob3I+PGF1dGhvcj5DaWFpcywgUC48L2F1dGhvcj48YXV0
aG9yPkRsdWdva2VuY2t5LCBFLiBKLjwvYXV0aG9yPjxhdXRob3I+TGFuLCBYLjwvYXV0aG9yPjxh
dXRob3I+QWxsZW4sIEcuIEguPC9hdXRob3I+PGF1dGhvcj5CYXN0dmlrZW4sIEQuPC9hdXRob3I+
PGF1dGhvcj5CZWVybGluZywgRC4gSi48L2F1dGhvcj48YXV0aG9yPkJlbGlrb3YsIEQuIEEuPC9h
dXRob3I+PGF1dGhvcj5CbGFrZSwgRC4gUi48L2F1dGhvcj48YXV0aG9yPkNhc3RhbGRpLCBTLjwv
YXV0aG9yPjxhdXRob3I+Q3JpcHBhLCBNLjwvYXV0aG9yPjxhdXRob3I+RGVlbWVyLCBCLiBSLjwv
YXV0aG9yPjxhdXRob3I+RGVubmlzb24sIEYuPC9hdXRob3I+PGF1dGhvcj5FdGlvcGUsIEcuPC9h
dXRob3I+PGF1dGhvcj5HZWRuZXksIE4uPC9hdXRob3I+PGF1dGhvcj5Iw7ZnbHVuZC1Jc2Frc3Nv
biwgTC48L2F1dGhvcj48YXV0aG9yPkhvbGdlcnNvbiwgTS4gQS48L2F1dGhvcj48YXV0aG9yPkhv
cGNyb2Z0LCBQLiBPLjwvYXV0aG9yPjxhdXRob3I+SHVnZWxpdXMsIEcuPC9hdXRob3I+PGF1dGhv
cj5JdG8sIEEuPC9hdXRob3I+PGF1dGhvcj5KYWluLCBBLiBLLjwvYXV0aG9yPjxhdXRob3I+SmFu
YXJkYW5hbiwgUi48L2F1dGhvcj48YXV0aG9yPkpvaG5zb24sIE0uIFMuPC9hdXRob3I+PGF1dGhv
cj5LbGVpbmVuLCBULjwvYXV0aG9yPjxhdXRob3I+S3J1bW1lbCwgUC4gQi48L2F1dGhvcj48YXV0
aG9yPkxhdWVyd2FsZCwgUi48L2F1dGhvcj48YXV0aG9yPkxpLCBULjwvYXV0aG9yPjxhdXRob3I+
TGl1LCBYLjwvYXV0aG9yPjxhdXRob3I+TWNEb25hbGQsIEsuIEMuPC9hdXRob3I+PGF1dGhvcj5N
ZWx0b24sIEouIFIuPC9hdXRob3I+PGF1dGhvcj5Nw7xobGUsIEouPC9hdXRob3I+PGF1dGhvcj5N
w7xsbGVyLCBKLjwvYXV0aG9yPjxhdXRob3I+TXVyZ3VpYS1GbG9yZXMsIEYuPC9hdXRob3I+PGF1
dGhvcj5OaXdhLCBZLjwvYXV0aG9yPjxhdXRob3I+Tm9jZSwgUy48L2F1dGhvcj48YXV0aG9yPlBh
biwgUy48L2F1dGhvcj48YXV0aG9yPlBhcmtlciwgUi4gSi48L2F1dGhvcj48YXV0aG9yPlBlbmcs
IEMuPC9hdXRob3I+PGF1dGhvcj5SYW1vbmV0LCBNLjwvYXV0aG9yPjxhdXRob3I+UmlsZXksIFcu
IEouPC9hdXRob3I+PGF1dGhvcj5Sb2NoZXItUm9zLCBHLjwvYXV0aG9yPjxhdXRob3I+Um9zZW50
cmV0ZXIsIEouIEEuPC9hdXRob3I+PGF1dGhvcj5TYXNha2F3YSwgTS48L2F1dGhvcj48YXV0aG9y
PlNlZ2VycywgQS48L2F1dGhvcj48YXV0aG9yPlNtaXRoLCBTLiBKLjwvYXV0aG9yPjxhdXRob3I+
U3RhbmxleSwgRS4gSC48L2F1dGhvcj48YXV0aG9yPlRoYW53ZXJkYXMsIEouPC9hdXRob3I+PGF1
dGhvcj5UaWFuLCBILjwvYXV0aG9yPjxhdXRob3I+VHN1cnV0YSwgQS48L2F1dGhvcj48YXV0aG9y
PlR1YmllbGxvLCBGLiBOLjwvYXV0aG9yPjxhdXRob3I+V2ViZXIsIFQuIFMuPC9hdXRob3I+PGF1
dGhvcj52YW4gZGVyIFdlcmYsIEcuIFIuPC9hdXRob3I+PGF1dGhvcj5Xb3J0aHksIEQuIEUuIEou
PC9hdXRob3I+PGF1dGhvcj5YaSwgWS48L2F1dGhvcj48YXV0aG9yPllvc2hpZGEsIFkuPC9hdXRo
b3I+PGF1dGhvcj5aaGFuZywgVy48L2F1dGhvcj48YXV0aG9yPlpoZW5nLCBCLjwvYXV0aG9yPjxh
dXRob3I+Wmh1LCBRLjwvYXV0aG9yPjxhdXRob3I+Wmh1LCBRLjwvYXV0aG9yPjxhdXRob3I+Wmh1
YW5nLCBRLjwvYXV0aG9yPjwvYXV0aG9ycz48L2NvbnRyaWJ1dG9ycz48dGl0bGVzPjx0aXRsZT5H
bG9iYWwgTWV0aGFuZSBCdWRnZXQgMjAwMOKAkzIwMjA8L3RpdGxlPjxzZWNvbmRhcnktdGl0bGU+
RWFydGggU3lzdC4gU2NpLiBEYXRhPC9zZWNvbmRhcnktdGl0bGU+PC90aXRsZXM+PHBlcmlvZGlj
YWw+PGZ1bGwtdGl0bGU+RWFydGggU3lzdC4gU2NpLiBEYXRhPC9mdWxsLXRpdGxlPjwvcGVyaW9k
aWNhbD48cGFnZXM+MTg3My0xOTU4PC9wYWdlcz48dm9sdW1lPjE3PC92b2x1bWU+PG51bWJlcj41
PC9udW1iZXI+PGRhdGVzPjx5ZWFyPjIwMjU8L3llYXI+PC9kYXRlcz48cHVibGlzaGVyPkNvcGVy
bmljdXMgUHVibGljYXRpb25zPC9wdWJsaXNoZXI+PGlzYm4+MTg2Ni0zNTE2PC9pc2JuPjx1cmxz
PjxyZWxhdGVkLXVybHM+PHVybD5odHRwczovL2Vzc2QuY29wZXJuaWN1cy5vcmcvYXJ0aWNsZXMv
MTcvMTg3My8yMDI1LzwvdXJsPjwvcmVsYXRlZC11cmxzPjwvdXJscz48ZWxlY3Ryb25pYy1yZXNv
dXJjZS1udW0+MTAuNTE5NC9lc3NkLTE3LTE4NzMtMjAyNTwvZWxlY3Ryb25pYy1yZXNvdXJjZS1u
dW0+PC9yZWNvcmQ+PC9DaXRlPjwvRW5kTm90ZT5=
</w:fldData>
        </w:fldChar>
      </w:r>
      <w:r w:rsidR="00F12448">
        <w:rPr>
          <w:rFonts w:ascii="Times New Roman" w:eastAsia="Times New Roman" w:hAnsi="Times New Roman" w:cs="Times New Roman"/>
          <w:sz w:val="24"/>
          <w:szCs w:val="24"/>
          <w:lang w:eastAsia="en-GB"/>
          <w14:ligatures w14:val="none"/>
        </w:rPr>
        <w:instrText xml:space="preserve"> ADDIN EN.CITE.DATA </w:instrText>
      </w:r>
      <w:r w:rsidR="00F12448">
        <w:rPr>
          <w:rFonts w:ascii="Times New Roman" w:eastAsia="Times New Roman" w:hAnsi="Times New Roman" w:cs="Times New Roman"/>
          <w:sz w:val="24"/>
          <w:szCs w:val="24"/>
          <w:lang w:eastAsia="en-GB"/>
          <w14:ligatures w14:val="none"/>
        </w:rPr>
      </w:r>
      <w:r w:rsidR="00F12448">
        <w:rPr>
          <w:rFonts w:ascii="Times New Roman" w:eastAsia="Times New Roman" w:hAnsi="Times New Roman" w:cs="Times New Roman"/>
          <w:sz w:val="24"/>
          <w:szCs w:val="24"/>
          <w:lang w:eastAsia="en-GB"/>
          <w14:ligatures w14:val="none"/>
        </w:rPr>
        <w:fldChar w:fldCharType="end"/>
      </w:r>
      <w:r w:rsidR="00666BBD">
        <w:rPr>
          <w:rFonts w:ascii="Times New Roman" w:eastAsia="Times New Roman" w:hAnsi="Times New Roman" w:cs="Times New Roman"/>
          <w:sz w:val="24"/>
          <w:szCs w:val="24"/>
          <w:lang w:eastAsia="en-GB"/>
          <w14:ligatures w14:val="none"/>
        </w:rPr>
      </w:r>
      <w:r w:rsidR="00666BBD">
        <w:rPr>
          <w:rFonts w:ascii="Times New Roman" w:eastAsia="Times New Roman" w:hAnsi="Times New Roman" w:cs="Times New Roman"/>
          <w:sz w:val="24"/>
          <w:szCs w:val="24"/>
          <w:lang w:eastAsia="en-GB"/>
          <w14:ligatures w14:val="none"/>
        </w:rPr>
        <w:fldChar w:fldCharType="separate"/>
      </w:r>
      <w:r w:rsidR="00F12448" w:rsidRPr="00F12448">
        <w:rPr>
          <w:rFonts w:ascii="Times New Roman" w:eastAsia="Times New Roman" w:hAnsi="Times New Roman" w:cs="Times New Roman"/>
          <w:noProof/>
          <w:sz w:val="24"/>
          <w:szCs w:val="24"/>
          <w:vertAlign w:val="superscript"/>
          <w:lang w:eastAsia="en-GB"/>
          <w14:ligatures w14:val="none"/>
        </w:rPr>
        <w:t>9</w:t>
      </w:r>
      <w:r w:rsidR="00666BBD">
        <w:rPr>
          <w:rFonts w:ascii="Times New Roman" w:eastAsia="Times New Roman" w:hAnsi="Times New Roman" w:cs="Times New Roman"/>
          <w:sz w:val="24"/>
          <w:szCs w:val="24"/>
          <w:lang w:eastAsia="en-GB"/>
          <w14:ligatures w14:val="none"/>
        </w:rPr>
        <w:fldChar w:fldCharType="end"/>
      </w:r>
      <w:r w:rsidRPr="00F06DC0">
        <w:rPr>
          <w:rFonts w:ascii="Times New Roman" w:eastAsia="Times New Roman" w:hAnsi="Times New Roman" w:cs="Times New Roman"/>
          <w:sz w:val="24"/>
          <w:szCs w:val="24"/>
          <w:lang w:eastAsia="en-GB"/>
          <w14:ligatures w14:val="none"/>
        </w:rPr>
        <w:t>, reported in the manuscript as approximately 0.3%.</w:t>
      </w:r>
    </w:p>
    <w:p w14:paraId="315ED187" w14:textId="77777777" w:rsidR="00E67C9F" w:rsidRPr="00F06DC0" w:rsidRDefault="00E67C9F" w:rsidP="00341C37">
      <w:pPr>
        <w:spacing w:after="0" w:line="240" w:lineRule="auto"/>
        <w:jc w:val="both"/>
        <w:rPr>
          <w:rFonts w:ascii="Times New Roman" w:eastAsia="Times New Roman" w:hAnsi="Times New Roman" w:cs="Times New Roman"/>
          <w:sz w:val="24"/>
          <w:szCs w:val="24"/>
          <w:lang w:eastAsia="en-GB"/>
          <w14:ligatures w14:val="none"/>
        </w:rPr>
      </w:pPr>
    </w:p>
    <w:p w14:paraId="17E1FB2E" w14:textId="1CF7AEAE" w:rsidR="00CB6F16" w:rsidRPr="00F06DC0"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F06DC0">
        <w:rPr>
          <w:rFonts w:ascii="Times New Roman" w:eastAsia="Times New Roman" w:hAnsi="Times New Roman" w:cs="Times New Roman"/>
          <w:sz w:val="24"/>
          <w:szCs w:val="24"/>
          <w:lang w:eastAsia="en-GB"/>
          <w14:ligatures w14:val="none"/>
        </w:rPr>
        <w:t>For the regional extrapolation, the same area-normalised Mpologoma flux was applied to the estimated 4.0 million ha of East African papyrus wetlands</w:t>
      </w:r>
      <w:r w:rsidR="00B52489">
        <w:rPr>
          <w:rFonts w:ascii="Times New Roman" w:eastAsia="Times New Roman" w:hAnsi="Times New Roman" w:cs="Times New Roman"/>
          <w:sz w:val="24"/>
          <w:szCs w:val="24"/>
          <w:lang w:eastAsia="en-GB"/>
          <w14:ligatures w14:val="none"/>
        </w:rPr>
        <w:fldChar w:fldCharType="begin">
          <w:fldData xml:space="preserve">PEVuZE5vdGU+PENpdGU+PEF1dGhvcj5Kb25lczwvQXV0aG9yPjxZZWFyPjIwMTg8L1llYXI+PFJl
Y051bT4xMjk8L1JlY051bT48RGlzcGxheVRleHQ+PHN0eWxlIGZhY2U9InN1cGVyc2NyaXB0Ij4x
MCwxMTwvc3R5bGU+PC9EaXNwbGF5VGV4dD48cmVjb3JkPjxyZWMtbnVtYmVyPjEyOTwvcmVjLW51
bWJlcj48Zm9yZWlnbi1rZXlzPjxrZXkgYXBwPSJFTiIgZGItaWQ9IndmMGU1ZnhkN3Zmc2QyZWF4
ZjZ2OWVma2RzcGRycnh2dHowZiIgdGltZXN0YW1wPSIxNzczOTMwMTU4Ij4xMjk8L2tleT48L2Zv
cmVpZ24ta2V5cz48cmVmLXR5cGUgbmFtZT0iSm91cm5hbCBBcnRpY2xlIj4xNzwvcmVmLXR5cGU+
PGNvbnRyaWJ1dG9ycz48YXV0aG9ycz48YXV0aG9yPkpvbmVzLCBNaWNoYWVsIEIuPC9hdXRob3I+
PGF1dGhvcj5LYW5zaWltZSwgRnJhbms8L2F1dGhvcj48YXV0aG9yPlNhdW5kZXJzLCBNYXR0aGV3
IEouPC9hdXRob3I+PC9hdXRob3JzPjwvY29udHJpYnV0b3JzPjx0aXRsZXM+PHRpdGxlPlRoZSBw
b3RlbnRpYWwgdXNlIG9mIHBhcHlydXMgKEN5cGVydXMgcGFweXJ1cyBMLikgd2V0bGFuZHMgYXMg
YSBzb3VyY2Ugb2YgYmlvbWFzcyBlbmVyZ3kgZm9yIHN1Yi1TYWhhcmFuIEFmcmljYTwvdGl0bGU+
PHNlY29uZGFyeS10aXRsZT5HQ0IgQmlvZW5lcmd5PC9zZWNvbmRhcnktdGl0bGU+PC90aXRsZXM+
PHBlcmlvZGljYWw+PGZ1bGwtdGl0bGU+R0NCIEJpb2VuZXJneTwvZnVsbC10aXRsZT48L3Blcmlv
ZGljYWw+PHBhZ2VzPjQtMTE8L3BhZ2VzPjx2b2x1bWU+MTA8L3ZvbHVtZT48bnVtYmVyPjE8L251
bWJlcj48ZGF0ZXM+PHllYXI+MjAxODwveWVhcj48L2RhdGVzPjxpc2JuPjE3NTctMTY5MzwvaXNi
bj48dXJscz48cmVsYXRlZC11cmxzPjx1cmw+aHR0cHM6Ly9vbmxpbmVsaWJyYXJ5LndpbGV5LmNv
bS9kb2kvYWJzLzEwLjExMTEvZ2NiYi4xMjM5MjwvdXJsPjwvcmVsYXRlZC11cmxzPjwvdXJscz48
ZWxlY3Ryb25pYy1yZXNvdXJjZS1udW0+aHR0cHM6Ly9kb2kub3JnLzEwLjExMTEvZ2NiYi4xMjM5
MjwvZWxlY3Ryb25pYy1yZXNvdXJjZS1udW0+PC9yZWNvcmQ+PC9DaXRlPjxDaXRlPjxBdXRob3I+
UGFjaW5pPC9BdXRob3I+PFllYXI+MjAxODwvWWVhcj48UmVjTnVtPjIyODwvUmVjTnVtPjxyZWNv
cmQ+PHJlYy1udW1iZXI+MjI4PC9yZWMtbnVtYmVyPjxmb3JlaWduLWtleXM+PGtleSBhcHA9IkVO
IiBkYi1pZD0id2YwZTVmeGQ3dmZzZDJlYXhmNnY5ZWZrZHNwZHJyeHZ0ejBmIiB0aW1lc3RhbXA9
IjE3ODQ4MTcxMTQiPjIyODwva2V5PjwvZm9yZWlnbi1rZXlzPjxyZWYtdHlwZSBuYW1lPSJKb3Vy
bmFsIEFydGljbGUiPjE3PC9yZWYtdHlwZT48Y29udHJpYnV0b3JzPjxhdXRob3JzPjxhdXRob3I+
UGFjaW5pLCBOaWM8L2F1dGhvcj48YXV0aG9yPkhlc3NsZXJvdsOhLCBQZXRyYTwvYXV0aG9yPjxh
dXRob3I+UG9rb3Juw70sIEphbjwvYXV0aG9yPjxhdXRob3I+TXdpbmFtaSwgVGltb3RoeTwvYXV0
aG9yPjxhdXRob3I+TW9ycmlzb24sIEVkd2FyZCBILiBKLjwvYXV0aG9yPjxhdXRob3I+Q29vaywg
QW50aG9ueSBBLjwvYXV0aG9yPjxhdXRob3I+WmhhbmcsIFNpa3VuPC9hdXRob3I+PGF1dGhvcj5I
YXJwZXIsIERhdmlkIE0uPC9hdXRob3I+PC9hdXRob3JzPjwvY29udHJpYnV0b3JzPjx0aXRsZXM+
PHRpdGxlPlBhcHlydXMgYXMgYW4gZWNvaHlkcm9sb2dpY2FsIHRvb2wgZm9yIHJlc3RvcmluZyBl
Y29zeXN0ZW0gc2VydmljZXMgaW4gQWZyb3Ryb3BpY2FsIHdldGxhbmRzPC90aXRsZT48c2Vjb25k
YXJ5LXRpdGxlPkVjb2h5ZHJvbG9neSAmYW1wOyBIeWRyb2Jpb2xvZ3k8L3NlY29uZGFyeS10aXRs
ZT48L3RpdGxlcz48cGVyaW9kaWNhbD48ZnVsbC10aXRsZT5FY29oeWRyb2xvZ3kgJmFtcDsgSHlk
cm9iaW9sb2d5PC9mdWxsLXRpdGxlPjwvcGVyaW9kaWNhbD48cGFnZXM+MTQyLTE1NDwvcGFnZXM+
PHZvbHVtZT4xODwvdm9sdW1lPjxudW1iZXI+MjwvbnVtYmVyPjxrZXl3b3Jkcz48a2V5d29yZD5F
Y29zeXN0ZW0gYmlvdGVjaG5vbG9neTwva2V5d29yZD48a2V5d29yZD5Ucm9waWNhbCB3ZXRsYW5k
czwva2V5d29yZD48a2V5d29yZD5MYWtlIE5haXZhc2hhPC9rZXl3b3JkPjxrZXl3b3JkPkV2YXBv
dHJhbnNwaXJhdGlvbjwva2V5d29yZD48a2V5d29yZD5DbGltYXRlIGNoYW5nZTwva2V5d29yZD48
L2tleXdvcmRzPjxkYXRlcz48eWVhcj4yMDE4PC95ZWFyPjxwdWItZGF0ZXM+PGRhdGU+MjAxOC8w
NC8wMS88L2RhdGU+PC9wdWItZGF0ZXM+PC9kYXRlcz48aXNibj4xNjQyLTM1OTM8L2lzYm4+PHVy
bHM+PHJlbGF0ZWQtdXJscz48dXJsPmh0dHBzOi8vd3d3LnNjaWVuY2VkaXJlY3QuY29tL3NjaWVu
Y2UvYXJ0aWNsZS9waWkvUzE2NDIzNTkzMTczMDEzOTg8L3VybD48L3JlbGF0ZWQtdXJscz48L3Vy
bHM+PGVsZWN0cm9uaWMtcmVzb3VyY2UtbnVtPmh0dHBzOi8vZG9pLm9yZy8xMC4xMDE2L2ouZWNv
aHlkLjIwMTguMDIuMDAxPC9lbGVjdHJvbmljLXJlc291cmNlLW51bT48L3JlY29yZD48L0NpdGU+
PC9FbmROb3RlPn==
</w:fldData>
        </w:fldChar>
      </w:r>
      <w:r w:rsidR="00B52489">
        <w:rPr>
          <w:rFonts w:ascii="Times New Roman" w:eastAsia="Times New Roman" w:hAnsi="Times New Roman" w:cs="Times New Roman"/>
          <w:sz w:val="24"/>
          <w:szCs w:val="24"/>
          <w:lang w:eastAsia="en-GB"/>
          <w14:ligatures w14:val="none"/>
        </w:rPr>
        <w:instrText xml:space="preserve"> ADDIN EN.CITE </w:instrText>
      </w:r>
      <w:r w:rsidR="00B52489">
        <w:rPr>
          <w:rFonts w:ascii="Times New Roman" w:eastAsia="Times New Roman" w:hAnsi="Times New Roman" w:cs="Times New Roman"/>
          <w:sz w:val="24"/>
          <w:szCs w:val="24"/>
          <w:lang w:eastAsia="en-GB"/>
          <w14:ligatures w14:val="none"/>
        </w:rPr>
        <w:fldChar w:fldCharType="begin">
          <w:fldData xml:space="preserve">PEVuZE5vdGU+PENpdGU+PEF1dGhvcj5Kb25lczwvQXV0aG9yPjxZZWFyPjIwMTg8L1llYXI+PFJl
Y051bT4xMjk8L1JlY051bT48RGlzcGxheVRleHQ+PHN0eWxlIGZhY2U9InN1cGVyc2NyaXB0Ij4x
MCwxMTwvc3R5bGU+PC9EaXNwbGF5VGV4dD48cmVjb3JkPjxyZWMtbnVtYmVyPjEyOTwvcmVjLW51
bWJlcj48Zm9yZWlnbi1rZXlzPjxrZXkgYXBwPSJFTiIgZGItaWQ9IndmMGU1ZnhkN3Zmc2QyZWF4
ZjZ2OWVma2RzcGRycnh2dHowZiIgdGltZXN0YW1wPSIxNzczOTMwMTU4Ij4xMjk8L2tleT48L2Zv
cmVpZ24ta2V5cz48cmVmLXR5cGUgbmFtZT0iSm91cm5hbCBBcnRpY2xlIj4xNzwvcmVmLXR5cGU+
PGNvbnRyaWJ1dG9ycz48YXV0aG9ycz48YXV0aG9yPkpvbmVzLCBNaWNoYWVsIEIuPC9hdXRob3I+
PGF1dGhvcj5LYW5zaWltZSwgRnJhbms8L2F1dGhvcj48YXV0aG9yPlNhdW5kZXJzLCBNYXR0aGV3
IEouPC9hdXRob3I+PC9hdXRob3JzPjwvY29udHJpYnV0b3JzPjx0aXRsZXM+PHRpdGxlPlRoZSBw
b3RlbnRpYWwgdXNlIG9mIHBhcHlydXMgKEN5cGVydXMgcGFweXJ1cyBMLikgd2V0bGFuZHMgYXMg
YSBzb3VyY2Ugb2YgYmlvbWFzcyBlbmVyZ3kgZm9yIHN1Yi1TYWhhcmFuIEFmcmljYTwvdGl0bGU+
PHNlY29uZGFyeS10aXRsZT5HQ0IgQmlvZW5lcmd5PC9zZWNvbmRhcnktdGl0bGU+PC90aXRsZXM+
PHBlcmlvZGljYWw+PGZ1bGwtdGl0bGU+R0NCIEJpb2VuZXJneTwvZnVsbC10aXRsZT48L3Blcmlv
ZGljYWw+PHBhZ2VzPjQtMTE8L3BhZ2VzPjx2b2x1bWU+MTA8L3ZvbHVtZT48bnVtYmVyPjE8L251
bWJlcj48ZGF0ZXM+PHllYXI+MjAxODwveWVhcj48L2RhdGVzPjxpc2JuPjE3NTctMTY5MzwvaXNi
bj48dXJscz48cmVsYXRlZC11cmxzPjx1cmw+aHR0cHM6Ly9vbmxpbmVsaWJyYXJ5LndpbGV5LmNv
bS9kb2kvYWJzLzEwLjExMTEvZ2NiYi4xMjM5MjwvdXJsPjwvcmVsYXRlZC11cmxzPjwvdXJscz48
ZWxlY3Ryb25pYy1yZXNvdXJjZS1udW0+aHR0cHM6Ly9kb2kub3JnLzEwLjExMTEvZ2NiYi4xMjM5
MjwvZWxlY3Ryb25pYy1yZXNvdXJjZS1udW0+PC9yZWNvcmQ+PC9DaXRlPjxDaXRlPjxBdXRob3I+
UGFjaW5pPC9BdXRob3I+PFllYXI+MjAxODwvWWVhcj48UmVjTnVtPjIyODwvUmVjTnVtPjxyZWNv
cmQ+PHJlYy1udW1iZXI+MjI4PC9yZWMtbnVtYmVyPjxmb3JlaWduLWtleXM+PGtleSBhcHA9IkVO
IiBkYi1pZD0id2YwZTVmeGQ3dmZzZDJlYXhmNnY5ZWZrZHNwZHJyeHZ0ejBmIiB0aW1lc3RhbXA9
IjE3ODQ4MTcxMTQiPjIyODwva2V5PjwvZm9yZWlnbi1rZXlzPjxyZWYtdHlwZSBuYW1lPSJKb3Vy
bmFsIEFydGljbGUiPjE3PC9yZWYtdHlwZT48Y29udHJpYnV0b3JzPjxhdXRob3JzPjxhdXRob3I+
UGFjaW5pLCBOaWM8L2F1dGhvcj48YXV0aG9yPkhlc3NsZXJvdsOhLCBQZXRyYTwvYXV0aG9yPjxh
dXRob3I+UG9rb3Juw70sIEphbjwvYXV0aG9yPjxhdXRob3I+TXdpbmFtaSwgVGltb3RoeTwvYXV0
aG9yPjxhdXRob3I+TW9ycmlzb24sIEVkd2FyZCBILiBKLjwvYXV0aG9yPjxhdXRob3I+Q29vaywg
QW50aG9ueSBBLjwvYXV0aG9yPjxhdXRob3I+WmhhbmcsIFNpa3VuPC9hdXRob3I+PGF1dGhvcj5I
YXJwZXIsIERhdmlkIE0uPC9hdXRob3I+PC9hdXRob3JzPjwvY29udHJpYnV0b3JzPjx0aXRsZXM+
PHRpdGxlPlBhcHlydXMgYXMgYW4gZWNvaHlkcm9sb2dpY2FsIHRvb2wgZm9yIHJlc3RvcmluZyBl
Y29zeXN0ZW0gc2VydmljZXMgaW4gQWZyb3Ryb3BpY2FsIHdldGxhbmRzPC90aXRsZT48c2Vjb25k
YXJ5LXRpdGxlPkVjb2h5ZHJvbG9neSAmYW1wOyBIeWRyb2Jpb2xvZ3k8L3NlY29uZGFyeS10aXRs
ZT48L3RpdGxlcz48cGVyaW9kaWNhbD48ZnVsbC10aXRsZT5FY29oeWRyb2xvZ3kgJmFtcDsgSHlk
cm9iaW9sb2d5PC9mdWxsLXRpdGxlPjwvcGVyaW9kaWNhbD48cGFnZXM+MTQyLTE1NDwvcGFnZXM+
PHZvbHVtZT4xODwvdm9sdW1lPjxudW1iZXI+MjwvbnVtYmVyPjxrZXl3b3Jkcz48a2V5d29yZD5F
Y29zeXN0ZW0gYmlvdGVjaG5vbG9neTwva2V5d29yZD48a2V5d29yZD5Ucm9waWNhbCB3ZXRsYW5k
czwva2V5d29yZD48a2V5d29yZD5MYWtlIE5haXZhc2hhPC9rZXl3b3JkPjxrZXl3b3JkPkV2YXBv
dHJhbnNwaXJhdGlvbjwva2V5d29yZD48a2V5d29yZD5DbGltYXRlIGNoYW5nZTwva2V5d29yZD48
L2tleXdvcmRzPjxkYXRlcz48eWVhcj4yMDE4PC95ZWFyPjxwdWItZGF0ZXM+PGRhdGU+MjAxOC8w
NC8wMS88L2RhdGU+PC9wdWItZGF0ZXM+PC9kYXRlcz48aXNibj4xNjQyLTM1OTM8L2lzYm4+PHVy
bHM+PHJlbGF0ZWQtdXJscz48dXJsPmh0dHBzOi8vd3d3LnNjaWVuY2VkaXJlY3QuY29tL3NjaWVu
Y2UvYXJ0aWNsZS9waWkvUzE2NDIzNTkzMTczMDEzOTg8L3VybD48L3JlbGF0ZWQtdXJscz48L3Vy
bHM+PGVsZWN0cm9uaWMtcmVzb3VyY2UtbnVtPmh0dHBzOi8vZG9pLm9yZy8xMC4xMDE2L2ouZWNv
aHlkLjIwMTguMDIuMDAxPC9lbGVjdHJvbmljLXJlc291cmNlLW51bT48L3JlY29yZD48L0NpdGU+
PC9FbmROb3RlPn==
</w:fldData>
        </w:fldChar>
      </w:r>
      <w:r w:rsidR="00B52489">
        <w:rPr>
          <w:rFonts w:ascii="Times New Roman" w:eastAsia="Times New Roman" w:hAnsi="Times New Roman" w:cs="Times New Roman"/>
          <w:sz w:val="24"/>
          <w:szCs w:val="24"/>
          <w:lang w:eastAsia="en-GB"/>
          <w14:ligatures w14:val="none"/>
        </w:rPr>
        <w:instrText xml:space="preserve"> ADDIN EN.CITE.DATA </w:instrText>
      </w:r>
      <w:r w:rsidR="00B52489">
        <w:rPr>
          <w:rFonts w:ascii="Times New Roman" w:eastAsia="Times New Roman" w:hAnsi="Times New Roman" w:cs="Times New Roman"/>
          <w:sz w:val="24"/>
          <w:szCs w:val="24"/>
          <w:lang w:eastAsia="en-GB"/>
          <w14:ligatures w14:val="none"/>
        </w:rPr>
      </w:r>
      <w:r w:rsidR="00B52489">
        <w:rPr>
          <w:rFonts w:ascii="Times New Roman" w:eastAsia="Times New Roman" w:hAnsi="Times New Roman" w:cs="Times New Roman"/>
          <w:sz w:val="24"/>
          <w:szCs w:val="24"/>
          <w:lang w:eastAsia="en-GB"/>
          <w14:ligatures w14:val="none"/>
        </w:rPr>
        <w:fldChar w:fldCharType="end"/>
      </w:r>
      <w:r w:rsidR="00B52489">
        <w:rPr>
          <w:rFonts w:ascii="Times New Roman" w:eastAsia="Times New Roman" w:hAnsi="Times New Roman" w:cs="Times New Roman"/>
          <w:sz w:val="24"/>
          <w:szCs w:val="24"/>
          <w:lang w:eastAsia="en-GB"/>
          <w14:ligatures w14:val="none"/>
        </w:rPr>
      </w:r>
      <w:r w:rsidR="00B52489">
        <w:rPr>
          <w:rFonts w:ascii="Times New Roman" w:eastAsia="Times New Roman" w:hAnsi="Times New Roman" w:cs="Times New Roman"/>
          <w:sz w:val="24"/>
          <w:szCs w:val="24"/>
          <w:lang w:eastAsia="en-GB"/>
          <w14:ligatures w14:val="none"/>
        </w:rPr>
        <w:fldChar w:fldCharType="separate"/>
      </w:r>
      <w:r w:rsidR="00B52489" w:rsidRPr="00B52489">
        <w:rPr>
          <w:rFonts w:ascii="Times New Roman" w:eastAsia="Times New Roman" w:hAnsi="Times New Roman" w:cs="Times New Roman"/>
          <w:noProof/>
          <w:sz w:val="24"/>
          <w:szCs w:val="24"/>
          <w:vertAlign w:val="superscript"/>
          <w:lang w:eastAsia="en-GB"/>
          <w14:ligatures w14:val="none"/>
        </w:rPr>
        <w:t>10,11</w:t>
      </w:r>
      <w:r w:rsidR="00B52489">
        <w:rPr>
          <w:rFonts w:ascii="Times New Roman" w:eastAsia="Times New Roman" w:hAnsi="Times New Roman" w:cs="Times New Roman"/>
          <w:sz w:val="24"/>
          <w:szCs w:val="24"/>
          <w:lang w:eastAsia="en-GB"/>
          <w14:ligatures w14:val="none"/>
        </w:rPr>
        <w:fldChar w:fldCharType="end"/>
      </w:r>
      <w:r w:rsidRPr="00F06DC0">
        <w:rPr>
          <w:rFonts w:ascii="Times New Roman" w:eastAsia="Times New Roman" w:hAnsi="Times New Roman" w:cs="Times New Roman"/>
          <w:sz w:val="24"/>
          <w:szCs w:val="24"/>
          <w:lang w:eastAsia="en-GB"/>
          <w14:ligatures w14:val="none"/>
        </w:rPr>
        <w:t>:</w:t>
      </w:r>
    </w:p>
    <w:p w14:paraId="058765C4" w14:textId="77777777" w:rsidR="00F01B92" w:rsidRPr="00F06DC0" w:rsidRDefault="00F01B92" w:rsidP="00341C37">
      <w:pPr>
        <w:spacing w:after="0" w:line="240" w:lineRule="auto"/>
        <w:jc w:val="both"/>
        <w:rPr>
          <w:rFonts w:ascii="Times New Roman" w:eastAsia="Times New Roman" w:hAnsi="Times New Roman" w:cs="Times New Roman"/>
          <w:sz w:val="24"/>
          <w:szCs w:val="24"/>
          <w:lang w:eastAsia="en-GB"/>
          <w14:ligatures w14:val="none"/>
        </w:rPr>
      </w:pPr>
    </w:p>
    <w:p w14:paraId="536DD63F" w14:textId="77777777" w:rsidR="00CB6F16" w:rsidRPr="00F06DC0"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F06DC0">
        <w:rPr>
          <w:rFonts w:ascii="Times New Roman" w:eastAsia="Times New Roman" w:hAnsi="Times New Roman" w:cs="Times New Roman"/>
          <w:sz w:val="24"/>
          <w:szCs w:val="24"/>
          <w:lang w:eastAsia="en-GB"/>
          <w14:ligatures w14:val="none"/>
        </w:rPr>
        <w:t>2.63 t CH₄ ha⁻¹ yr⁻¹ × 4.0 × 10⁶ ha = 10.5 Tg CH₄ yr⁻¹.</w:t>
      </w:r>
    </w:p>
    <w:p w14:paraId="5FAFFF3E" w14:textId="77777777" w:rsidR="00F01B92" w:rsidRPr="00F06DC0" w:rsidRDefault="00F01B92" w:rsidP="00341C37">
      <w:pPr>
        <w:spacing w:after="0" w:line="240" w:lineRule="auto"/>
        <w:jc w:val="both"/>
        <w:rPr>
          <w:rFonts w:ascii="Times New Roman" w:eastAsia="Times New Roman" w:hAnsi="Times New Roman" w:cs="Times New Roman"/>
          <w:sz w:val="24"/>
          <w:szCs w:val="24"/>
          <w:lang w:eastAsia="en-GB"/>
          <w14:ligatures w14:val="none"/>
        </w:rPr>
      </w:pPr>
    </w:p>
    <w:p w14:paraId="37C1141E" w14:textId="675FBC8B" w:rsidR="00CB6F16"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Relative to estimates of global vegetated-wetland CH₄ emissions of 159 Tg CH₄ yr⁻¹ from bottom-up models and 165 Tg CH₄ yr⁻¹ from atmospheric inversions</w:t>
      </w:r>
      <w:r w:rsidR="00FA058B">
        <w:rPr>
          <w:rFonts w:ascii="Times New Roman" w:eastAsia="Times New Roman" w:hAnsi="Times New Roman" w:cs="Times New Roman"/>
          <w:sz w:val="24"/>
          <w:szCs w:val="24"/>
          <w:lang w:eastAsia="en-GB"/>
          <w14:ligatures w14:val="none"/>
        </w:rPr>
        <w:fldChar w:fldCharType="begin">
          <w:fldData xml:space="preserve">PEVuZE5vdGU+PENpdGU+PEF1dGhvcj5TYXVub2lzPC9BdXRob3I+PFllYXI+MjAyNTwvWWVhcj48
UmVjTnVtPjEzOTwvUmVjTnVtPjxEaXNwbGF5VGV4dD48c3R5bGUgZmFjZT0ic3VwZXJzY3JpcHQi
Pjk8L3N0eWxlPjwvRGlzcGxheVRleHQ+PHJlY29yZD48cmVjLW51bWJlcj4xMzk8L3JlYy1udW1i
ZXI+PGZvcmVpZ24ta2V5cz48a2V5IGFwcD0iRU4iIGRiLWlkPSJ3ZjBlNWZ4ZDd2ZnNkMmVheGY2
djllZmtkc3BkcnJ4dnR6MGYiIHRpbWVzdGFtcD0iMTc3NzM5NjgxNSI+MTM5PC9rZXk+PC9mb3Jl
aWduLWtleXM+PHJlZi10eXBlIG5hbWU9IkpvdXJuYWwgQXJ0aWNsZSI+MTc8L3JlZi10eXBlPjxj
b250cmlidXRvcnM+PGF1dGhvcnM+PGF1dGhvcj5TYXVub2lzLCBNLjwvYXV0aG9yPjxhdXRob3I+
TWFydGluZXosIEEuPC9hdXRob3I+PGF1dGhvcj5Qb3VsdGVyLCBCLjwvYXV0aG9yPjxhdXRob3I+
WmhhbmcsIFouPC9hdXRob3I+PGF1dGhvcj5SYXltb25kLCBQLiBBLjwvYXV0aG9yPjxhdXRob3I+
UmVnbmllciwgUC48L2F1dGhvcj48YXV0aG9yPkNhbmFkZWxsLCBKLiBHLjwvYXV0aG9yPjxhdXRo
b3I+SmFja3NvbiwgUi4gQi48L2F1dGhvcj48YXV0aG9yPlBhdHJhLCBQLiBLLjwvYXV0aG9yPjxh
dXRob3I+Qm91c3F1ZXQsIFAuPC9hdXRob3I+PGF1dGhvcj5DaWFpcywgUC48L2F1dGhvcj48YXV0
aG9yPkRsdWdva2VuY2t5LCBFLiBKLjwvYXV0aG9yPjxhdXRob3I+TGFuLCBYLjwvYXV0aG9yPjxh
dXRob3I+QWxsZW4sIEcuIEguPC9hdXRob3I+PGF1dGhvcj5CYXN0dmlrZW4sIEQuPC9hdXRob3I+
PGF1dGhvcj5CZWVybGluZywgRC4gSi48L2F1dGhvcj48YXV0aG9yPkJlbGlrb3YsIEQuIEEuPC9h
dXRob3I+PGF1dGhvcj5CbGFrZSwgRC4gUi48L2F1dGhvcj48YXV0aG9yPkNhc3RhbGRpLCBTLjwv
YXV0aG9yPjxhdXRob3I+Q3JpcHBhLCBNLjwvYXV0aG9yPjxhdXRob3I+RGVlbWVyLCBCLiBSLjwv
YXV0aG9yPjxhdXRob3I+RGVubmlzb24sIEYuPC9hdXRob3I+PGF1dGhvcj5FdGlvcGUsIEcuPC9h
dXRob3I+PGF1dGhvcj5HZWRuZXksIE4uPC9hdXRob3I+PGF1dGhvcj5Iw7ZnbHVuZC1Jc2Frc3Nv
biwgTC48L2F1dGhvcj48YXV0aG9yPkhvbGdlcnNvbiwgTS4gQS48L2F1dGhvcj48YXV0aG9yPkhv
cGNyb2Z0LCBQLiBPLjwvYXV0aG9yPjxhdXRob3I+SHVnZWxpdXMsIEcuPC9hdXRob3I+PGF1dGhv
cj5JdG8sIEEuPC9hdXRob3I+PGF1dGhvcj5KYWluLCBBLiBLLjwvYXV0aG9yPjxhdXRob3I+SmFu
YXJkYW5hbiwgUi48L2F1dGhvcj48YXV0aG9yPkpvaG5zb24sIE0uIFMuPC9hdXRob3I+PGF1dGhv
cj5LbGVpbmVuLCBULjwvYXV0aG9yPjxhdXRob3I+S3J1bW1lbCwgUC4gQi48L2F1dGhvcj48YXV0
aG9yPkxhdWVyd2FsZCwgUi48L2F1dGhvcj48YXV0aG9yPkxpLCBULjwvYXV0aG9yPjxhdXRob3I+
TGl1LCBYLjwvYXV0aG9yPjxhdXRob3I+TWNEb25hbGQsIEsuIEMuPC9hdXRob3I+PGF1dGhvcj5N
ZWx0b24sIEouIFIuPC9hdXRob3I+PGF1dGhvcj5Nw7xobGUsIEouPC9hdXRob3I+PGF1dGhvcj5N
w7xsbGVyLCBKLjwvYXV0aG9yPjxhdXRob3I+TXVyZ3VpYS1GbG9yZXMsIEYuPC9hdXRob3I+PGF1
dGhvcj5OaXdhLCBZLjwvYXV0aG9yPjxhdXRob3I+Tm9jZSwgUy48L2F1dGhvcj48YXV0aG9yPlBh
biwgUy48L2F1dGhvcj48YXV0aG9yPlBhcmtlciwgUi4gSi48L2F1dGhvcj48YXV0aG9yPlBlbmcs
IEMuPC9hdXRob3I+PGF1dGhvcj5SYW1vbmV0LCBNLjwvYXV0aG9yPjxhdXRob3I+UmlsZXksIFcu
IEouPC9hdXRob3I+PGF1dGhvcj5Sb2NoZXItUm9zLCBHLjwvYXV0aG9yPjxhdXRob3I+Um9zZW50
cmV0ZXIsIEouIEEuPC9hdXRob3I+PGF1dGhvcj5TYXNha2F3YSwgTS48L2F1dGhvcj48YXV0aG9y
PlNlZ2VycywgQS48L2F1dGhvcj48YXV0aG9yPlNtaXRoLCBTLiBKLjwvYXV0aG9yPjxhdXRob3I+
U3RhbmxleSwgRS4gSC48L2F1dGhvcj48YXV0aG9yPlRoYW53ZXJkYXMsIEouPC9hdXRob3I+PGF1
dGhvcj5UaWFuLCBILjwvYXV0aG9yPjxhdXRob3I+VHN1cnV0YSwgQS48L2F1dGhvcj48YXV0aG9y
PlR1YmllbGxvLCBGLiBOLjwvYXV0aG9yPjxhdXRob3I+V2ViZXIsIFQuIFMuPC9hdXRob3I+PGF1
dGhvcj52YW4gZGVyIFdlcmYsIEcuIFIuPC9hdXRob3I+PGF1dGhvcj5Xb3J0aHksIEQuIEUuIEou
PC9hdXRob3I+PGF1dGhvcj5YaSwgWS48L2F1dGhvcj48YXV0aG9yPllvc2hpZGEsIFkuPC9hdXRo
b3I+PGF1dGhvcj5aaGFuZywgVy48L2F1dGhvcj48YXV0aG9yPlpoZW5nLCBCLjwvYXV0aG9yPjxh
dXRob3I+Wmh1LCBRLjwvYXV0aG9yPjxhdXRob3I+Wmh1LCBRLjwvYXV0aG9yPjxhdXRob3I+Wmh1
YW5nLCBRLjwvYXV0aG9yPjwvYXV0aG9ycz48L2NvbnRyaWJ1dG9ycz48dGl0bGVzPjx0aXRsZT5H
bG9iYWwgTWV0aGFuZSBCdWRnZXQgMjAwMOKAkzIwMjA8L3RpdGxlPjxzZWNvbmRhcnktdGl0bGU+
RWFydGggU3lzdC4gU2NpLiBEYXRhPC9zZWNvbmRhcnktdGl0bGU+PC90aXRsZXM+PHBlcmlvZGlj
YWw+PGZ1bGwtdGl0bGU+RWFydGggU3lzdC4gU2NpLiBEYXRhPC9mdWxsLXRpdGxlPjwvcGVyaW9k
aWNhbD48cGFnZXM+MTg3My0xOTU4PC9wYWdlcz48dm9sdW1lPjE3PC92b2x1bWU+PG51bWJlcj41
PC9udW1iZXI+PGRhdGVzPjx5ZWFyPjIwMjU8L3llYXI+PC9kYXRlcz48cHVibGlzaGVyPkNvcGVy
bmljdXMgUHVibGljYXRpb25zPC9wdWJsaXNoZXI+PGlzYm4+MTg2Ni0zNTE2PC9pc2JuPjx1cmxz
PjxyZWxhdGVkLXVybHM+PHVybD5odHRwczovL2Vzc2QuY29wZXJuaWN1cy5vcmcvYXJ0aWNsZXMv
MTcvMTg3My8yMDI1LzwvdXJsPjwvcmVsYXRlZC11cmxzPjwvdXJscz48ZWxlY3Ryb25pYy1yZXNv
dXJjZS1udW0+MTAuNTE5NC9lc3NkLTE3LTE4NzMtMjAyNTwvZWxlY3Ryb25pYy1yZXNvdXJjZS1u
dW0+PC9yZWNvcmQ+PC9DaXRlPjwvRW5kTm90ZT5=
</w:fldData>
        </w:fldChar>
      </w:r>
      <w:r w:rsidR="00F12448">
        <w:rPr>
          <w:rFonts w:ascii="Times New Roman" w:eastAsia="Times New Roman" w:hAnsi="Times New Roman" w:cs="Times New Roman"/>
          <w:sz w:val="24"/>
          <w:szCs w:val="24"/>
          <w:lang w:eastAsia="en-GB"/>
          <w14:ligatures w14:val="none"/>
        </w:rPr>
        <w:instrText xml:space="preserve"> ADDIN EN.CITE </w:instrText>
      </w:r>
      <w:r w:rsidR="00F12448">
        <w:rPr>
          <w:rFonts w:ascii="Times New Roman" w:eastAsia="Times New Roman" w:hAnsi="Times New Roman" w:cs="Times New Roman"/>
          <w:sz w:val="24"/>
          <w:szCs w:val="24"/>
          <w:lang w:eastAsia="en-GB"/>
          <w14:ligatures w14:val="none"/>
        </w:rPr>
        <w:fldChar w:fldCharType="begin">
          <w:fldData xml:space="preserve">PEVuZE5vdGU+PENpdGU+PEF1dGhvcj5TYXVub2lzPC9BdXRob3I+PFllYXI+MjAyNTwvWWVhcj48
UmVjTnVtPjEzOTwvUmVjTnVtPjxEaXNwbGF5VGV4dD48c3R5bGUgZmFjZT0ic3VwZXJzY3JpcHQi
Pjk8L3N0eWxlPjwvRGlzcGxheVRleHQ+PHJlY29yZD48cmVjLW51bWJlcj4xMzk8L3JlYy1udW1i
ZXI+PGZvcmVpZ24ta2V5cz48a2V5IGFwcD0iRU4iIGRiLWlkPSJ3ZjBlNWZ4ZDd2ZnNkMmVheGY2
djllZmtkc3BkcnJ4dnR6MGYiIHRpbWVzdGFtcD0iMTc3NzM5NjgxNSI+MTM5PC9rZXk+PC9mb3Jl
aWduLWtleXM+PHJlZi10eXBlIG5hbWU9IkpvdXJuYWwgQXJ0aWNsZSI+MTc8L3JlZi10eXBlPjxj
b250cmlidXRvcnM+PGF1dGhvcnM+PGF1dGhvcj5TYXVub2lzLCBNLjwvYXV0aG9yPjxhdXRob3I+
TWFydGluZXosIEEuPC9hdXRob3I+PGF1dGhvcj5Qb3VsdGVyLCBCLjwvYXV0aG9yPjxhdXRob3I+
WmhhbmcsIFouPC9hdXRob3I+PGF1dGhvcj5SYXltb25kLCBQLiBBLjwvYXV0aG9yPjxhdXRob3I+
UmVnbmllciwgUC48L2F1dGhvcj48YXV0aG9yPkNhbmFkZWxsLCBKLiBHLjwvYXV0aG9yPjxhdXRo
b3I+SmFja3NvbiwgUi4gQi48L2F1dGhvcj48YXV0aG9yPlBhdHJhLCBQLiBLLjwvYXV0aG9yPjxh
dXRob3I+Qm91c3F1ZXQsIFAuPC9hdXRob3I+PGF1dGhvcj5DaWFpcywgUC48L2F1dGhvcj48YXV0
aG9yPkRsdWdva2VuY2t5LCBFLiBKLjwvYXV0aG9yPjxhdXRob3I+TGFuLCBYLjwvYXV0aG9yPjxh
dXRob3I+QWxsZW4sIEcuIEguPC9hdXRob3I+PGF1dGhvcj5CYXN0dmlrZW4sIEQuPC9hdXRob3I+
PGF1dGhvcj5CZWVybGluZywgRC4gSi48L2F1dGhvcj48YXV0aG9yPkJlbGlrb3YsIEQuIEEuPC9h
dXRob3I+PGF1dGhvcj5CbGFrZSwgRC4gUi48L2F1dGhvcj48YXV0aG9yPkNhc3RhbGRpLCBTLjwv
YXV0aG9yPjxhdXRob3I+Q3JpcHBhLCBNLjwvYXV0aG9yPjxhdXRob3I+RGVlbWVyLCBCLiBSLjwv
YXV0aG9yPjxhdXRob3I+RGVubmlzb24sIEYuPC9hdXRob3I+PGF1dGhvcj5FdGlvcGUsIEcuPC9h
dXRob3I+PGF1dGhvcj5HZWRuZXksIE4uPC9hdXRob3I+PGF1dGhvcj5Iw7ZnbHVuZC1Jc2Frc3Nv
biwgTC48L2F1dGhvcj48YXV0aG9yPkhvbGdlcnNvbiwgTS4gQS48L2F1dGhvcj48YXV0aG9yPkhv
cGNyb2Z0LCBQLiBPLjwvYXV0aG9yPjxhdXRob3I+SHVnZWxpdXMsIEcuPC9hdXRob3I+PGF1dGhv
cj5JdG8sIEEuPC9hdXRob3I+PGF1dGhvcj5KYWluLCBBLiBLLjwvYXV0aG9yPjxhdXRob3I+SmFu
YXJkYW5hbiwgUi48L2F1dGhvcj48YXV0aG9yPkpvaG5zb24sIE0uIFMuPC9hdXRob3I+PGF1dGhv
cj5LbGVpbmVuLCBULjwvYXV0aG9yPjxhdXRob3I+S3J1bW1lbCwgUC4gQi48L2F1dGhvcj48YXV0
aG9yPkxhdWVyd2FsZCwgUi48L2F1dGhvcj48YXV0aG9yPkxpLCBULjwvYXV0aG9yPjxhdXRob3I+
TGl1LCBYLjwvYXV0aG9yPjxhdXRob3I+TWNEb25hbGQsIEsuIEMuPC9hdXRob3I+PGF1dGhvcj5N
ZWx0b24sIEouIFIuPC9hdXRob3I+PGF1dGhvcj5Nw7xobGUsIEouPC9hdXRob3I+PGF1dGhvcj5N
w7xsbGVyLCBKLjwvYXV0aG9yPjxhdXRob3I+TXVyZ3VpYS1GbG9yZXMsIEYuPC9hdXRob3I+PGF1
dGhvcj5OaXdhLCBZLjwvYXV0aG9yPjxhdXRob3I+Tm9jZSwgUy48L2F1dGhvcj48YXV0aG9yPlBh
biwgUy48L2F1dGhvcj48YXV0aG9yPlBhcmtlciwgUi4gSi48L2F1dGhvcj48YXV0aG9yPlBlbmcs
IEMuPC9hdXRob3I+PGF1dGhvcj5SYW1vbmV0LCBNLjwvYXV0aG9yPjxhdXRob3I+UmlsZXksIFcu
IEouPC9hdXRob3I+PGF1dGhvcj5Sb2NoZXItUm9zLCBHLjwvYXV0aG9yPjxhdXRob3I+Um9zZW50
cmV0ZXIsIEouIEEuPC9hdXRob3I+PGF1dGhvcj5TYXNha2F3YSwgTS48L2F1dGhvcj48YXV0aG9y
PlNlZ2VycywgQS48L2F1dGhvcj48YXV0aG9yPlNtaXRoLCBTLiBKLjwvYXV0aG9yPjxhdXRob3I+
U3RhbmxleSwgRS4gSC48L2F1dGhvcj48YXV0aG9yPlRoYW53ZXJkYXMsIEouPC9hdXRob3I+PGF1
dGhvcj5UaWFuLCBILjwvYXV0aG9yPjxhdXRob3I+VHN1cnV0YSwgQS48L2F1dGhvcj48YXV0aG9y
PlR1YmllbGxvLCBGLiBOLjwvYXV0aG9yPjxhdXRob3I+V2ViZXIsIFQuIFMuPC9hdXRob3I+PGF1
dGhvcj52YW4gZGVyIFdlcmYsIEcuIFIuPC9hdXRob3I+PGF1dGhvcj5Xb3J0aHksIEQuIEUuIEou
PC9hdXRob3I+PGF1dGhvcj5YaSwgWS48L2F1dGhvcj48YXV0aG9yPllvc2hpZGEsIFkuPC9hdXRo
b3I+PGF1dGhvcj5aaGFuZywgVy48L2F1dGhvcj48YXV0aG9yPlpoZW5nLCBCLjwvYXV0aG9yPjxh
dXRob3I+Wmh1LCBRLjwvYXV0aG9yPjxhdXRob3I+Wmh1LCBRLjwvYXV0aG9yPjxhdXRob3I+Wmh1
YW5nLCBRLjwvYXV0aG9yPjwvYXV0aG9ycz48L2NvbnRyaWJ1dG9ycz48dGl0bGVzPjx0aXRsZT5H
bG9iYWwgTWV0aGFuZSBCdWRnZXQgMjAwMOKAkzIwMjA8L3RpdGxlPjxzZWNvbmRhcnktdGl0bGU+
RWFydGggU3lzdC4gU2NpLiBEYXRhPC9zZWNvbmRhcnktdGl0bGU+PC90aXRsZXM+PHBlcmlvZGlj
YWw+PGZ1bGwtdGl0bGU+RWFydGggU3lzdC4gU2NpLiBEYXRhPC9mdWxsLXRpdGxlPjwvcGVyaW9k
aWNhbD48cGFnZXM+MTg3My0xOTU4PC9wYWdlcz48dm9sdW1lPjE3PC92b2x1bWU+PG51bWJlcj41
PC9udW1iZXI+PGRhdGVzPjx5ZWFyPjIwMjU8L3llYXI+PC9kYXRlcz48cHVibGlzaGVyPkNvcGVy
bmljdXMgUHVibGljYXRpb25zPC9wdWJsaXNoZXI+PGlzYm4+MTg2Ni0zNTE2PC9pc2JuPjx1cmxz
PjxyZWxhdGVkLXVybHM+PHVybD5odHRwczovL2Vzc2QuY29wZXJuaWN1cy5vcmcvYXJ0aWNsZXMv
MTcvMTg3My8yMDI1LzwvdXJsPjwvcmVsYXRlZC11cmxzPjwvdXJscz48ZWxlY3Ryb25pYy1yZXNv
dXJjZS1udW0+MTAuNTE5NC9lc3NkLTE3LTE4NzMtMjAyNTwvZWxlY3Ryb25pYy1yZXNvdXJjZS1u
dW0+PC9yZWNvcmQ+PC9DaXRlPjwvRW5kTm90ZT5=
</w:fldData>
        </w:fldChar>
      </w:r>
      <w:r w:rsidR="00F12448">
        <w:rPr>
          <w:rFonts w:ascii="Times New Roman" w:eastAsia="Times New Roman" w:hAnsi="Times New Roman" w:cs="Times New Roman"/>
          <w:sz w:val="24"/>
          <w:szCs w:val="24"/>
          <w:lang w:eastAsia="en-GB"/>
          <w14:ligatures w14:val="none"/>
        </w:rPr>
        <w:instrText xml:space="preserve"> ADDIN EN.CITE.DATA </w:instrText>
      </w:r>
      <w:r w:rsidR="00F12448">
        <w:rPr>
          <w:rFonts w:ascii="Times New Roman" w:eastAsia="Times New Roman" w:hAnsi="Times New Roman" w:cs="Times New Roman"/>
          <w:sz w:val="24"/>
          <w:szCs w:val="24"/>
          <w:lang w:eastAsia="en-GB"/>
          <w14:ligatures w14:val="none"/>
        </w:rPr>
      </w:r>
      <w:r w:rsidR="00F12448">
        <w:rPr>
          <w:rFonts w:ascii="Times New Roman" w:eastAsia="Times New Roman" w:hAnsi="Times New Roman" w:cs="Times New Roman"/>
          <w:sz w:val="24"/>
          <w:szCs w:val="24"/>
          <w:lang w:eastAsia="en-GB"/>
          <w14:ligatures w14:val="none"/>
        </w:rPr>
        <w:fldChar w:fldCharType="end"/>
      </w:r>
      <w:r w:rsidR="00FA058B">
        <w:rPr>
          <w:rFonts w:ascii="Times New Roman" w:eastAsia="Times New Roman" w:hAnsi="Times New Roman" w:cs="Times New Roman"/>
          <w:sz w:val="24"/>
          <w:szCs w:val="24"/>
          <w:lang w:eastAsia="en-GB"/>
          <w14:ligatures w14:val="none"/>
        </w:rPr>
      </w:r>
      <w:r w:rsidR="00FA058B">
        <w:rPr>
          <w:rFonts w:ascii="Times New Roman" w:eastAsia="Times New Roman" w:hAnsi="Times New Roman" w:cs="Times New Roman"/>
          <w:sz w:val="24"/>
          <w:szCs w:val="24"/>
          <w:lang w:eastAsia="en-GB"/>
          <w14:ligatures w14:val="none"/>
        </w:rPr>
        <w:fldChar w:fldCharType="separate"/>
      </w:r>
      <w:r w:rsidR="00F12448" w:rsidRPr="00F12448">
        <w:rPr>
          <w:rFonts w:ascii="Times New Roman" w:eastAsia="Times New Roman" w:hAnsi="Times New Roman" w:cs="Times New Roman"/>
          <w:noProof/>
          <w:sz w:val="24"/>
          <w:szCs w:val="24"/>
          <w:vertAlign w:val="superscript"/>
          <w:lang w:eastAsia="en-GB"/>
          <w14:ligatures w14:val="none"/>
        </w:rPr>
        <w:t>9</w:t>
      </w:r>
      <w:r w:rsidR="00FA058B">
        <w:rPr>
          <w:rFonts w:ascii="Times New Roman" w:eastAsia="Times New Roman" w:hAnsi="Times New Roman" w:cs="Times New Roman"/>
          <w:sz w:val="24"/>
          <w:szCs w:val="24"/>
          <w:lang w:eastAsia="en-GB"/>
          <w14:ligatures w14:val="none"/>
        </w:rPr>
        <w:fldChar w:fldCharType="end"/>
      </w:r>
      <w:r w:rsidRPr="00341C37">
        <w:rPr>
          <w:rFonts w:ascii="Times New Roman" w:eastAsia="Times New Roman" w:hAnsi="Times New Roman" w:cs="Times New Roman"/>
          <w:sz w:val="24"/>
          <w:szCs w:val="24"/>
          <w:lang w:eastAsia="en-GB"/>
          <w14:ligatures w14:val="none"/>
        </w:rPr>
        <w:t>, this corresponds to approximately 6.6% and 6.4%, respectively, reported in the manuscript as nearly 7%.</w:t>
      </w:r>
    </w:p>
    <w:p w14:paraId="7436D943" w14:textId="77777777" w:rsidR="00F01B92" w:rsidRPr="00341C37" w:rsidRDefault="00F01B92" w:rsidP="00341C37">
      <w:pPr>
        <w:spacing w:after="0" w:line="240" w:lineRule="auto"/>
        <w:jc w:val="both"/>
        <w:rPr>
          <w:rFonts w:ascii="Times New Roman" w:eastAsia="Times New Roman" w:hAnsi="Times New Roman" w:cs="Times New Roman"/>
          <w:sz w:val="24"/>
          <w:szCs w:val="24"/>
          <w:lang w:eastAsia="en-GB"/>
          <w14:ligatures w14:val="none"/>
        </w:rPr>
      </w:pPr>
    </w:p>
    <w:p w14:paraId="052D8597" w14:textId="77777777" w:rsidR="00CB6F16" w:rsidRPr="00341C37" w:rsidRDefault="00CB6F16" w:rsidP="00341C37">
      <w:pPr>
        <w:spacing w:after="0" w:line="240" w:lineRule="auto"/>
        <w:jc w:val="both"/>
        <w:rPr>
          <w:rFonts w:ascii="Times New Roman" w:eastAsia="Times New Roman" w:hAnsi="Times New Roman" w:cs="Times New Roman"/>
          <w:sz w:val="24"/>
          <w:szCs w:val="24"/>
          <w:lang w:eastAsia="en-GB"/>
          <w14:ligatures w14:val="none"/>
        </w:rPr>
      </w:pPr>
      <w:r w:rsidRPr="00341C37">
        <w:rPr>
          <w:rFonts w:ascii="Times New Roman" w:eastAsia="Times New Roman" w:hAnsi="Times New Roman" w:cs="Times New Roman"/>
          <w:sz w:val="24"/>
          <w:szCs w:val="24"/>
          <w:lang w:eastAsia="en-GB"/>
          <w14:ligatures w14:val="none"/>
        </w:rPr>
        <w:t>Both extrapolations assume spatially uniform emissions at the Mpologoma tower rate and do not account for spatial or temporal variation in wetland type, vegetation structure, hydrology, disturbance, nutrient status or seasonality. They should therefore be interpreted as illustrative scaling exercises rather than formal catchment-scale or regional CH₄ budgets.</w:t>
      </w:r>
    </w:p>
    <w:p w14:paraId="1DC9A848" w14:textId="77777777" w:rsidR="00AC2FF5" w:rsidRPr="00341C37" w:rsidRDefault="00AC2FF5" w:rsidP="00341C37">
      <w:pPr>
        <w:spacing w:after="0" w:line="240" w:lineRule="auto"/>
        <w:jc w:val="both"/>
        <w:rPr>
          <w:rFonts w:ascii="Times New Roman" w:hAnsi="Times New Roman" w:cs="Times New Roman"/>
          <w:b/>
          <w:bCs/>
          <w:sz w:val="24"/>
          <w:szCs w:val="24"/>
        </w:rPr>
      </w:pPr>
    </w:p>
    <w:p w14:paraId="0B9747D6" w14:textId="77777777" w:rsidR="009C14AB" w:rsidRPr="00341C37" w:rsidRDefault="009C14AB" w:rsidP="00341C37">
      <w:pPr>
        <w:spacing w:after="0" w:line="240" w:lineRule="auto"/>
        <w:jc w:val="both"/>
        <w:rPr>
          <w:rFonts w:ascii="Times New Roman" w:hAnsi="Times New Roman" w:cs="Times New Roman"/>
          <w:sz w:val="24"/>
          <w:szCs w:val="24"/>
        </w:rPr>
      </w:pPr>
    </w:p>
    <w:p w14:paraId="67872F88" w14:textId="5D1EDC63" w:rsidR="009C14AB" w:rsidRPr="00341C37" w:rsidRDefault="005711C4" w:rsidP="00341C37">
      <w:pPr>
        <w:spacing w:after="0" w:line="240" w:lineRule="auto"/>
        <w:jc w:val="both"/>
        <w:rPr>
          <w:rFonts w:ascii="Times New Roman" w:hAnsi="Times New Roman" w:cs="Times New Roman"/>
          <w:b/>
          <w:bCs/>
          <w:sz w:val="24"/>
          <w:szCs w:val="24"/>
        </w:rPr>
      </w:pPr>
      <w:r w:rsidRPr="00341C37">
        <w:rPr>
          <w:rFonts w:ascii="Times New Roman" w:hAnsi="Times New Roman" w:cs="Times New Roman"/>
          <w:b/>
          <w:bCs/>
          <w:sz w:val="24"/>
          <w:szCs w:val="24"/>
        </w:rPr>
        <w:t>References</w:t>
      </w:r>
    </w:p>
    <w:p w14:paraId="41C419F2" w14:textId="5E886E0B" w:rsidR="00B52489" w:rsidRPr="00B52489" w:rsidRDefault="005711C4" w:rsidP="00B52489">
      <w:pPr>
        <w:pStyle w:val="EndNoteBibliography"/>
        <w:spacing w:after="0"/>
        <w:ind w:left="720" w:hanging="720"/>
      </w:pPr>
      <w:r w:rsidRPr="00341C37">
        <w:rPr>
          <w:rFonts w:ascii="Times New Roman" w:hAnsi="Times New Roman" w:cs="Times New Roman"/>
          <w:sz w:val="24"/>
          <w:szCs w:val="24"/>
        </w:rPr>
        <w:fldChar w:fldCharType="begin"/>
      </w:r>
      <w:r w:rsidRPr="00341C37">
        <w:rPr>
          <w:rFonts w:ascii="Times New Roman" w:hAnsi="Times New Roman" w:cs="Times New Roman"/>
          <w:sz w:val="24"/>
          <w:szCs w:val="24"/>
        </w:rPr>
        <w:instrText xml:space="preserve"> ADDIN EN.REFLIST </w:instrText>
      </w:r>
      <w:r w:rsidRPr="00341C37">
        <w:rPr>
          <w:rFonts w:ascii="Times New Roman" w:hAnsi="Times New Roman" w:cs="Times New Roman"/>
          <w:sz w:val="24"/>
          <w:szCs w:val="24"/>
        </w:rPr>
        <w:fldChar w:fldCharType="separate"/>
      </w:r>
      <w:r w:rsidR="00B52489" w:rsidRPr="00B52489">
        <w:t>1</w:t>
      </w:r>
      <w:r w:rsidR="00B52489" w:rsidRPr="00B52489">
        <w:tab/>
        <w:t xml:space="preserve">Wilczak, J. M., Oncley, S. P. &amp; Stage, S. A. Sonic Anemometer Tilt Correction Algorithms. </w:t>
      </w:r>
      <w:r w:rsidR="00B52489" w:rsidRPr="00B52489">
        <w:rPr>
          <w:i/>
        </w:rPr>
        <w:t>Boundary-Layer Meteorology</w:t>
      </w:r>
      <w:r w:rsidR="00B52489" w:rsidRPr="00B52489">
        <w:t xml:space="preserve"> </w:t>
      </w:r>
      <w:r w:rsidR="00B52489" w:rsidRPr="00B52489">
        <w:rPr>
          <w:b/>
        </w:rPr>
        <w:t>99</w:t>
      </w:r>
      <w:r w:rsidR="00B52489" w:rsidRPr="00B52489">
        <w:t xml:space="preserve">, 127-150 (2001). </w:t>
      </w:r>
      <w:hyperlink r:id="rId7" w:history="1">
        <w:r w:rsidR="00B52489" w:rsidRPr="00B52489">
          <w:rPr>
            <w:rStyle w:val="Hyperlink"/>
          </w:rPr>
          <w:t>https://doi.org:10.1023/A:1018966204465</w:t>
        </w:r>
      </w:hyperlink>
    </w:p>
    <w:p w14:paraId="682482D4" w14:textId="23B7C208" w:rsidR="00B52489" w:rsidRPr="00B52489" w:rsidRDefault="00B52489" w:rsidP="00B52489">
      <w:pPr>
        <w:pStyle w:val="EndNoteBibliography"/>
        <w:spacing w:after="0"/>
        <w:ind w:left="720" w:hanging="720"/>
      </w:pPr>
      <w:r w:rsidRPr="00B52489">
        <w:t>2</w:t>
      </w:r>
      <w:r w:rsidRPr="00B52489">
        <w:tab/>
        <w:t xml:space="preserve">Webb, E. K., Pearman, G. I. &amp; Leuning, R. Correction of flux measurements for density effects due to heat and water vapour transfer. </w:t>
      </w:r>
      <w:r w:rsidRPr="00B52489">
        <w:rPr>
          <w:i/>
        </w:rPr>
        <w:t>Quarterly Journal of the Royal Meteorological Society</w:t>
      </w:r>
      <w:r w:rsidRPr="00B52489">
        <w:t xml:space="preserve"> </w:t>
      </w:r>
      <w:r w:rsidRPr="00B52489">
        <w:rPr>
          <w:b/>
        </w:rPr>
        <w:t>106</w:t>
      </w:r>
      <w:r w:rsidRPr="00B52489">
        <w:t xml:space="preserve">, 85-100 (1980). </w:t>
      </w:r>
      <w:hyperlink r:id="rId8" w:history="1">
        <w:r w:rsidRPr="00B52489">
          <w:rPr>
            <w:rStyle w:val="Hyperlink"/>
          </w:rPr>
          <w:t>https://doi.org:https://doi.org/10.1002/qj.49710644707</w:t>
        </w:r>
      </w:hyperlink>
    </w:p>
    <w:p w14:paraId="662147E5" w14:textId="22D95D2E" w:rsidR="00B52489" w:rsidRPr="00B52489" w:rsidRDefault="00B52489" w:rsidP="00B52489">
      <w:pPr>
        <w:pStyle w:val="EndNoteBibliography"/>
        <w:spacing w:after="0"/>
        <w:ind w:left="720" w:hanging="720"/>
      </w:pPr>
      <w:r w:rsidRPr="00B52489">
        <w:lastRenderedPageBreak/>
        <w:t>3</w:t>
      </w:r>
      <w:r w:rsidRPr="00B52489">
        <w:tab/>
        <w:t xml:space="preserve">Kljun, N., Calanca, P., Rotach, M. W. &amp; Schmid, H. P. A Simple Parameterisation for Flux Footprint Predictions. </w:t>
      </w:r>
      <w:r w:rsidRPr="00B52489">
        <w:rPr>
          <w:i/>
        </w:rPr>
        <w:t>Boundary-Layer Meteorology</w:t>
      </w:r>
      <w:r w:rsidRPr="00B52489">
        <w:t xml:space="preserve"> </w:t>
      </w:r>
      <w:r w:rsidRPr="00B52489">
        <w:rPr>
          <w:b/>
        </w:rPr>
        <w:t>112</w:t>
      </w:r>
      <w:r w:rsidRPr="00B52489">
        <w:t xml:space="preserve">, 503-523 (2004). </w:t>
      </w:r>
      <w:hyperlink r:id="rId9" w:history="1">
        <w:r w:rsidRPr="00B52489">
          <w:rPr>
            <w:rStyle w:val="Hyperlink"/>
          </w:rPr>
          <w:t>https://doi.org:10.1023/B:BOUN.0000030653.71031.96</w:t>
        </w:r>
      </w:hyperlink>
    </w:p>
    <w:p w14:paraId="5202DC6E" w14:textId="063F3DC4" w:rsidR="00B52489" w:rsidRPr="00B52489" w:rsidRDefault="00B52489" w:rsidP="00B52489">
      <w:pPr>
        <w:pStyle w:val="EndNoteBibliography"/>
        <w:spacing w:after="0"/>
        <w:ind w:left="720" w:hanging="720"/>
      </w:pPr>
      <w:r w:rsidRPr="00B52489">
        <w:t>4</w:t>
      </w:r>
      <w:r w:rsidRPr="00B52489">
        <w:tab/>
        <w:t xml:space="preserve">Were, D., Kansiime, F., Fetahi, T. &amp; Hein, T. Carbon Dioxide and Methane Fluxes from Various Vegetation Communities of a Natural Tropical Freshwater Wetland in Different Seasons. </w:t>
      </w:r>
      <w:r w:rsidRPr="00B52489">
        <w:rPr>
          <w:i/>
        </w:rPr>
        <w:t>Environmental Processes</w:t>
      </w:r>
      <w:r w:rsidRPr="00B52489">
        <w:t xml:space="preserve"> </w:t>
      </w:r>
      <w:r w:rsidRPr="00B52489">
        <w:rPr>
          <w:b/>
        </w:rPr>
        <w:t>8</w:t>
      </w:r>
      <w:r w:rsidRPr="00B52489">
        <w:t xml:space="preserve">, 553-571 (2021). </w:t>
      </w:r>
      <w:hyperlink r:id="rId10" w:history="1">
        <w:r w:rsidRPr="00B52489">
          <w:rPr>
            <w:rStyle w:val="Hyperlink"/>
          </w:rPr>
          <w:t>https://doi.org:10.1007/s40710-021-00497-0</w:t>
        </w:r>
      </w:hyperlink>
    </w:p>
    <w:p w14:paraId="51400B1F" w14:textId="35BD388B" w:rsidR="00B52489" w:rsidRPr="00B52489" w:rsidRDefault="00B52489" w:rsidP="00B52489">
      <w:pPr>
        <w:pStyle w:val="EndNoteBibliography"/>
        <w:spacing w:after="0"/>
        <w:ind w:left="720" w:hanging="720"/>
      </w:pPr>
      <w:r w:rsidRPr="00B52489">
        <w:t>5</w:t>
      </w:r>
      <w:r w:rsidRPr="00B52489">
        <w:tab/>
        <w:t xml:space="preserve">Farmer, J., Smith, J. U., Burton, H. and Teh, Y. A. Carbon dioxide and methane emissions from plants and peat soil in a Cyperus papyrus wetland in Uganda. . </w:t>
      </w:r>
      <w:r w:rsidRPr="00B52489">
        <w:rPr>
          <w:i/>
        </w:rPr>
        <w:t>Philosophical Transactions of the Royal Society B</w:t>
      </w:r>
      <w:r w:rsidRPr="00B52489">
        <w:t xml:space="preserve"> (2026). </w:t>
      </w:r>
      <w:hyperlink r:id="rId11" w:history="1">
        <w:r w:rsidRPr="00B52489">
          <w:rPr>
            <w:rStyle w:val="Hyperlink"/>
          </w:rPr>
          <w:t>https://doi.org:https://doi.org/10.1098/rstb.2025.0048</w:t>
        </w:r>
      </w:hyperlink>
    </w:p>
    <w:p w14:paraId="5A71E689" w14:textId="1BA027CB" w:rsidR="00B52489" w:rsidRPr="00B52489" w:rsidRDefault="00B52489" w:rsidP="00B52489">
      <w:pPr>
        <w:pStyle w:val="EndNoteBibliography"/>
        <w:spacing w:after="0"/>
        <w:ind w:left="720" w:hanging="720"/>
      </w:pPr>
      <w:r w:rsidRPr="00B52489">
        <w:t>6</w:t>
      </w:r>
      <w:r w:rsidRPr="00B52489">
        <w:tab/>
        <w:t>Delwiche, K. B.</w:t>
      </w:r>
      <w:r w:rsidRPr="00B52489">
        <w:rPr>
          <w:i/>
        </w:rPr>
        <w:t xml:space="preserve"> et al.</w:t>
      </w:r>
      <w:r w:rsidRPr="00B52489">
        <w:t xml:space="preserve"> FLUXNET-CH4: a global, multi-ecosystem dataset and analysis of methane seasonality from freshwater wetlands. </w:t>
      </w:r>
      <w:r w:rsidRPr="00B52489">
        <w:rPr>
          <w:i/>
        </w:rPr>
        <w:t>Earth Syst. Sci. Data</w:t>
      </w:r>
      <w:r w:rsidRPr="00B52489">
        <w:t xml:space="preserve"> </w:t>
      </w:r>
      <w:r w:rsidRPr="00B52489">
        <w:rPr>
          <w:b/>
        </w:rPr>
        <w:t>13</w:t>
      </w:r>
      <w:r w:rsidRPr="00B52489">
        <w:t xml:space="preserve">, 3607-3689 (2021). </w:t>
      </w:r>
      <w:hyperlink r:id="rId12" w:history="1">
        <w:r w:rsidRPr="00B52489">
          <w:rPr>
            <w:rStyle w:val="Hyperlink"/>
          </w:rPr>
          <w:t>https://doi.org:10.5194/essd-13-3607-2021</w:t>
        </w:r>
      </w:hyperlink>
    </w:p>
    <w:p w14:paraId="5F963F90" w14:textId="77777777" w:rsidR="00B52489" w:rsidRPr="00B52489" w:rsidRDefault="00B52489" w:rsidP="00B52489">
      <w:pPr>
        <w:pStyle w:val="EndNoteBibliography"/>
        <w:spacing w:after="0"/>
        <w:ind w:left="720" w:hanging="720"/>
      </w:pPr>
      <w:r w:rsidRPr="00B52489">
        <w:t>7</w:t>
      </w:r>
      <w:r w:rsidRPr="00B52489">
        <w:tab/>
        <w:t>Bunyangha, J.</w:t>
      </w:r>
      <w:r w:rsidRPr="00B52489">
        <w:rPr>
          <w:i/>
        </w:rPr>
        <w:t xml:space="preserve"> et al.</w:t>
      </w:r>
      <w:r w:rsidRPr="00B52489">
        <w:t xml:space="preserve"> Preferred Attributes for Sustainable Wetland Management in Mpologoma Catchment, Uganda: A Discrete Choice Experiment. </w:t>
      </w:r>
      <w:r w:rsidRPr="00B52489">
        <w:rPr>
          <w:i/>
        </w:rPr>
        <w:t>Land</w:t>
      </w:r>
      <w:r w:rsidRPr="00B52489">
        <w:t xml:space="preserve"> </w:t>
      </w:r>
      <w:r w:rsidRPr="00B52489">
        <w:rPr>
          <w:b/>
        </w:rPr>
        <w:t>11</w:t>
      </w:r>
      <w:r w:rsidRPr="00B52489">
        <w:t xml:space="preserve">, 962 (2022). </w:t>
      </w:r>
    </w:p>
    <w:p w14:paraId="12371F3C" w14:textId="77777777" w:rsidR="00B52489" w:rsidRPr="00B52489" w:rsidRDefault="00B52489" w:rsidP="00B52489">
      <w:pPr>
        <w:pStyle w:val="EndNoteBibliography"/>
        <w:spacing w:after="0"/>
        <w:ind w:left="720" w:hanging="720"/>
      </w:pPr>
      <w:r w:rsidRPr="00B52489">
        <w:t>8</w:t>
      </w:r>
      <w:r w:rsidRPr="00B52489">
        <w:tab/>
        <w:t>MWE. Mpologoma Catchment Management Plan. (Directorate of Water Resources Management, Kyoga Water Management Zone, Ministry of Water and Environment, Kampala, Uganda, 2018).</w:t>
      </w:r>
    </w:p>
    <w:p w14:paraId="6AA80134" w14:textId="1B61DF9A" w:rsidR="00B52489" w:rsidRPr="00B52489" w:rsidRDefault="00B52489" w:rsidP="00B52489">
      <w:pPr>
        <w:pStyle w:val="EndNoteBibliography"/>
        <w:spacing w:after="0"/>
        <w:ind w:left="720" w:hanging="720"/>
      </w:pPr>
      <w:r w:rsidRPr="00B52489">
        <w:t>9</w:t>
      </w:r>
      <w:r w:rsidRPr="00B52489">
        <w:tab/>
        <w:t>Saunois, M.</w:t>
      </w:r>
      <w:r w:rsidRPr="00B52489">
        <w:rPr>
          <w:i/>
        </w:rPr>
        <w:t xml:space="preserve"> et al.</w:t>
      </w:r>
      <w:r w:rsidRPr="00B52489">
        <w:t xml:space="preserve"> Global Methane Budget 2000–2020. </w:t>
      </w:r>
      <w:r w:rsidRPr="00B52489">
        <w:rPr>
          <w:i/>
        </w:rPr>
        <w:t>Earth Syst. Sci. Data</w:t>
      </w:r>
      <w:r w:rsidRPr="00B52489">
        <w:t xml:space="preserve"> </w:t>
      </w:r>
      <w:r w:rsidRPr="00B52489">
        <w:rPr>
          <w:b/>
        </w:rPr>
        <w:t>17</w:t>
      </w:r>
      <w:r w:rsidRPr="00B52489">
        <w:t xml:space="preserve">, 1873-1958 (2025). </w:t>
      </w:r>
      <w:hyperlink r:id="rId13" w:history="1">
        <w:r w:rsidRPr="00B52489">
          <w:rPr>
            <w:rStyle w:val="Hyperlink"/>
          </w:rPr>
          <w:t>https://doi.org:10.5194/essd-17-1873-2025</w:t>
        </w:r>
      </w:hyperlink>
    </w:p>
    <w:p w14:paraId="643B538A" w14:textId="7A2D1DC0" w:rsidR="00B52489" w:rsidRPr="00B52489" w:rsidRDefault="00B52489" w:rsidP="00B52489">
      <w:pPr>
        <w:pStyle w:val="EndNoteBibliography"/>
        <w:spacing w:after="0"/>
        <w:ind w:left="720" w:hanging="720"/>
      </w:pPr>
      <w:r w:rsidRPr="00B52489">
        <w:t>10</w:t>
      </w:r>
      <w:r w:rsidRPr="00B52489">
        <w:tab/>
        <w:t xml:space="preserve">Jones, M. B., Kansiime, F. &amp; Saunders, M. J. The potential use of papyrus (Cyperus papyrus L.) wetlands as a source of biomass energy for sub-Saharan Africa. </w:t>
      </w:r>
      <w:r w:rsidRPr="00B52489">
        <w:rPr>
          <w:i/>
        </w:rPr>
        <w:t>GCB Bioenergy</w:t>
      </w:r>
      <w:r w:rsidRPr="00B52489">
        <w:t xml:space="preserve"> </w:t>
      </w:r>
      <w:r w:rsidRPr="00B52489">
        <w:rPr>
          <w:b/>
        </w:rPr>
        <w:t>10</w:t>
      </w:r>
      <w:r w:rsidRPr="00B52489">
        <w:t xml:space="preserve">, 4-11 (2018). </w:t>
      </w:r>
      <w:hyperlink r:id="rId14" w:history="1">
        <w:r w:rsidRPr="00B52489">
          <w:rPr>
            <w:rStyle w:val="Hyperlink"/>
          </w:rPr>
          <w:t>https://doi.org:https://doi.org/10.1111/gcbb.12392</w:t>
        </w:r>
      </w:hyperlink>
    </w:p>
    <w:p w14:paraId="2E2D197A" w14:textId="122F5B26" w:rsidR="00B52489" w:rsidRPr="00B52489" w:rsidRDefault="00B52489" w:rsidP="00B52489">
      <w:pPr>
        <w:pStyle w:val="EndNoteBibliography"/>
        <w:ind w:left="720" w:hanging="720"/>
      </w:pPr>
      <w:r w:rsidRPr="00B52489">
        <w:t>11</w:t>
      </w:r>
      <w:r w:rsidRPr="00B52489">
        <w:tab/>
        <w:t>Pacini, N.</w:t>
      </w:r>
      <w:r w:rsidRPr="00B52489">
        <w:rPr>
          <w:i/>
        </w:rPr>
        <w:t xml:space="preserve"> et al.</w:t>
      </w:r>
      <w:r w:rsidRPr="00B52489">
        <w:t xml:space="preserve"> Papyrus as an ecohydrological tool for restoring ecosystem services in Afrotropical wetlands. </w:t>
      </w:r>
      <w:r w:rsidRPr="00B52489">
        <w:rPr>
          <w:i/>
        </w:rPr>
        <w:t>Ecohydrology &amp; Hydrobiology</w:t>
      </w:r>
      <w:r w:rsidRPr="00B52489">
        <w:t xml:space="preserve"> </w:t>
      </w:r>
      <w:r w:rsidRPr="00B52489">
        <w:rPr>
          <w:b/>
        </w:rPr>
        <w:t>18</w:t>
      </w:r>
      <w:r w:rsidRPr="00B52489">
        <w:t xml:space="preserve">, 142-154 (2018). </w:t>
      </w:r>
      <w:hyperlink r:id="rId15" w:history="1">
        <w:r w:rsidRPr="00B52489">
          <w:rPr>
            <w:rStyle w:val="Hyperlink"/>
          </w:rPr>
          <w:t>https://doi.org:https://doi.org/10.1016/j.ecohyd.2018.02.001</w:t>
        </w:r>
      </w:hyperlink>
    </w:p>
    <w:p w14:paraId="4E6DF78D" w14:textId="5CE09125" w:rsidR="009C14AB" w:rsidRPr="00341C37" w:rsidRDefault="005711C4" w:rsidP="00341C37">
      <w:pPr>
        <w:spacing w:after="0" w:line="240" w:lineRule="auto"/>
        <w:jc w:val="both"/>
        <w:rPr>
          <w:rFonts w:ascii="Times New Roman" w:hAnsi="Times New Roman" w:cs="Times New Roman"/>
          <w:sz w:val="24"/>
          <w:szCs w:val="24"/>
        </w:rPr>
      </w:pPr>
      <w:r w:rsidRPr="00341C37">
        <w:rPr>
          <w:rFonts w:ascii="Times New Roman" w:hAnsi="Times New Roman" w:cs="Times New Roman"/>
          <w:sz w:val="24"/>
          <w:szCs w:val="24"/>
        </w:rPr>
        <w:fldChar w:fldCharType="end"/>
      </w:r>
    </w:p>
    <w:p w14:paraId="55205E42" w14:textId="77777777" w:rsidR="00F96681" w:rsidRPr="00341C37" w:rsidRDefault="00F96681" w:rsidP="00341C37">
      <w:pPr>
        <w:spacing w:after="0" w:line="240" w:lineRule="auto"/>
        <w:jc w:val="both"/>
        <w:rPr>
          <w:rFonts w:ascii="Times New Roman" w:hAnsi="Times New Roman" w:cs="Times New Roman"/>
          <w:sz w:val="24"/>
          <w:szCs w:val="24"/>
        </w:rPr>
      </w:pPr>
    </w:p>
    <w:p w14:paraId="2FF09EBD" w14:textId="77777777" w:rsidR="00F96681" w:rsidRPr="00341C37" w:rsidRDefault="00F96681" w:rsidP="00341C37">
      <w:pPr>
        <w:spacing w:after="0" w:line="240" w:lineRule="auto"/>
        <w:jc w:val="both"/>
        <w:rPr>
          <w:rFonts w:ascii="Times New Roman" w:hAnsi="Times New Roman" w:cs="Times New Roman"/>
          <w:sz w:val="24"/>
          <w:szCs w:val="24"/>
        </w:rPr>
      </w:pPr>
    </w:p>
    <w:sectPr w:rsidR="00F96681" w:rsidRPr="00341C37" w:rsidSect="009C14A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8F07" w14:textId="77777777" w:rsidR="004D3BA9" w:rsidRDefault="004D3BA9">
      <w:pPr>
        <w:spacing w:after="0" w:line="240" w:lineRule="auto"/>
      </w:pPr>
      <w:r>
        <w:separator/>
      </w:r>
    </w:p>
  </w:endnote>
  <w:endnote w:type="continuationSeparator" w:id="0">
    <w:p w14:paraId="219529BB" w14:textId="77777777" w:rsidR="004D3BA9" w:rsidRDefault="004D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AC6DC" w14:textId="77777777" w:rsidR="004D3BA9" w:rsidRDefault="004D3BA9">
      <w:pPr>
        <w:spacing w:after="0" w:line="240" w:lineRule="auto"/>
      </w:pPr>
      <w:r>
        <w:separator/>
      </w:r>
    </w:p>
  </w:footnote>
  <w:footnote w:type="continuationSeparator" w:id="0">
    <w:p w14:paraId="19BD38D3" w14:textId="77777777" w:rsidR="004D3BA9" w:rsidRDefault="004D3B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0e5fxd7vfsd2eaxf6v9efkdspdrrxvtz0f&quot;&gt;My EndNote Library 2&lt;record-ids&gt;&lt;item&gt;115&lt;/item&gt;&lt;item&gt;126&lt;/item&gt;&lt;item&gt;129&lt;/item&gt;&lt;item&gt;139&lt;/item&gt;&lt;item&gt;140&lt;/item&gt;&lt;item&gt;141&lt;/item&gt;&lt;item&gt;184&lt;/item&gt;&lt;item&gt;210&lt;/item&gt;&lt;item&gt;215&lt;/item&gt;&lt;item&gt;221&lt;/item&gt;&lt;item&gt;228&lt;/item&gt;&lt;/record-ids&gt;&lt;/item&gt;&lt;/Libraries&gt;"/>
  </w:docVars>
  <w:rsids>
    <w:rsidRoot w:val="00DE010F"/>
    <w:rsid w:val="00012D50"/>
    <w:rsid w:val="00033E53"/>
    <w:rsid w:val="00064C1B"/>
    <w:rsid w:val="000B5764"/>
    <w:rsid w:val="00105F75"/>
    <w:rsid w:val="00116254"/>
    <w:rsid w:val="00123FD2"/>
    <w:rsid w:val="001405C8"/>
    <w:rsid w:val="00164B7B"/>
    <w:rsid w:val="0018075B"/>
    <w:rsid w:val="001B5CBD"/>
    <w:rsid w:val="001C5129"/>
    <w:rsid w:val="001F2A9E"/>
    <w:rsid w:val="0020208D"/>
    <w:rsid w:val="00211C7C"/>
    <w:rsid w:val="00224E65"/>
    <w:rsid w:val="00261F81"/>
    <w:rsid w:val="002B3DDF"/>
    <w:rsid w:val="00341C37"/>
    <w:rsid w:val="00344B97"/>
    <w:rsid w:val="003A2869"/>
    <w:rsid w:val="003C2A6E"/>
    <w:rsid w:val="004129D8"/>
    <w:rsid w:val="00430A04"/>
    <w:rsid w:val="00440872"/>
    <w:rsid w:val="004A7FC0"/>
    <w:rsid w:val="004C3114"/>
    <w:rsid w:val="004C6DCE"/>
    <w:rsid w:val="004C7419"/>
    <w:rsid w:val="004D33EA"/>
    <w:rsid w:val="004D3BA9"/>
    <w:rsid w:val="004F2210"/>
    <w:rsid w:val="005030EC"/>
    <w:rsid w:val="00512CFD"/>
    <w:rsid w:val="00512D92"/>
    <w:rsid w:val="005130CF"/>
    <w:rsid w:val="00514C76"/>
    <w:rsid w:val="00532C60"/>
    <w:rsid w:val="005711C4"/>
    <w:rsid w:val="00577E0B"/>
    <w:rsid w:val="005A2A84"/>
    <w:rsid w:val="005E21B2"/>
    <w:rsid w:val="005F2380"/>
    <w:rsid w:val="00605D2C"/>
    <w:rsid w:val="00634678"/>
    <w:rsid w:val="00635262"/>
    <w:rsid w:val="00657A39"/>
    <w:rsid w:val="00666BBD"/>
    <w:rsid w:val="006727A6"/>
    <w:rsid w:val="00676757"/>
    <w:rsid w:val="0068119F"/>
    <w:rsid w:val="00692177"/>
    <w:rsid w:val="006C5978"/>
    <w:rsid w:val="006C69B9"/>
    <w:rsid w:val="007044BC"/>
    <w:rsid w:val="00704FEE"/>
    <w:rsid w:val="007413B0"/>
    <w:rsid w:val="007413FC"/>
    <w:rsid w:val="00752434"/>
    <w:rsid w:val="0077045A"/>
    <w:rsid w:val="007A000A"/>
    <w:rsid w:val="007A3F29"/>
    <w:rsid w:val="007C130F"/>
    <w:rsid w:val="007C2C41"/>
    <w:rsid w:val="007D096C"/>
    <w:rsid w:val="007E50E9"/>
    <w:rsid w:val="008161FF"/>
    <w:rsid w:val="00821345"/>
    <w:rsid w:val="00822B58"/>
    <w:rsid w:val="00825DD1"/>
    <w:rsid w:val="00840928"/>
    <w:rsid w:val="008D4AEA"/>
    <w:rsid w:val="008E5993"/>
    <w:rsid w:val="009078D2"/>
    <w:rsid w:val="00925EC1"/>
    <w:rsid w:val="0096695E"/>
    <w:rsid w:val="00976B24"/>
    <w:rsid w:val="0099200D"/>
    <w:rsid w:val="009B0F8C"/>
    <w:rsid w:val="009B5868"/>
    <w:rsid w:val="009C14AB"/>
    <w:rsid w:val="009C611F"/>
    <w:rsid w:val="009D3D36"/>
    <w:rsid w:val="00A0134A"/>
    <w:rsid w:val="00A0246C"/>
    <w:rsid w:val="00A26E75"/>
    <w:rsid w:val="00A625BF"/>
    <w:rsid w:val="00AB0FED"/>
    <w:rsid w:val="00AC2FF5"/>
    <w:rsid w:val="00AD1CAB"/>
    <w:rsid w:val="00AE2713"/>
    <w:rsid w:val="00B0653C"/>
    <w:rsid w:val="00B52489"/>
    <w:rsid w:val="00B62C30"/>
    <w:rsid w:val="00B71767"/>
    <w:rsid w:val="00B907EC"/>
    <w:rsid w:val="00B9367C"/>
    <w:rsid w:val="00C45578"/>
    <w:rsid w:val="00C75C5B"/>
    <w:rsid w:val="00C84838"/>
    <w:rsid w:val="00C95F01"/>
    <w:rsid w:val="00CB6F16"/>
    <w:rsid w:val="00CD6E0F"/>
    <w:rsid w:val="00D2424A"/>
    <w:rsid w:val="00D45541"/>
    <w:rsid w:val="00D56524"/>
    <w:rsid w:val="00D648D4"/>
    <w:rsid w:val="00D75C4D"/>
    <w:rsid w:val="00DC01EB"/>
    <w:rsid w:val="00DE010F"/>
    <w:rsid w:val="00DF3887"/>
    <w:rsid w:val="00E1531D"/>
    <w:rsid w:val="00E37B04"/>
    <w:rsid w:val="00E5327B"/>
    <w:rsid w:val="00E67C9F"/>
    <w:rsid w:val="00ED0BB6"/>
    <w:rsid w:val="00F01B92"/>
    <w:rsid w:val="00F06DC0"/>
    <w:rsid w:val="00F12448"/>
    <w:rsid w:val="00F27DEB"/>
    <w:rsid w:val="00F4193A"/>
    <w:rsid w:val="00F44002"/>
    <w:rsid w:val="00F57FBB"/>
    <w:rsid w:val="00F72624"/>
    <w:rsid w:val="00F96681"/>
    <w:rsid w:val="00F96836"/>
    <w:rsid w:val="00FA058B"/>
    <w:rsid w:val="00FA52B5"/>
    <w:rsid w:val="00FB4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623C3"/>
  <w15:chartTrackingRefBased/>
  <w15:docId w15:val="{4FAAFD30-9BD9-47B1-879F-03C010F9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10F"/>
    <w:pPr>
      <w:spacing w:after="200" w:line="276" w:lineRule="auto"/>
    </w:pPr>
    <w:rPr>
      <w:rFonts w:eastAsiaTheme="minorEastAsia"/>
      <w:kern w:val="0"/>
    </w:rPr>
  </w:style>
  <w:style w:type="paragraph" w:styleId="Heading1">
    <w:name w:val="heading 1"/>
    <w:basedOn w:val="Normal"/>
    <w:next w:val="Normal"/>
    <w:link w:val="Heading1Char"/>
    <w:uiPriority w:val="9"/>
    <w:qFormat/>
    <w:rsid w:val="00DE0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0F"/>
    <w:rPr>
      <w:rFonts w:eastAsiaTheme="majorEastAsia" w:cstheme="majorBidi"/>
      <w:color w:val="272727" w:themeColor="text1" w:themeTint="D8"/>
    </w:rPr>
  </w:style>
  <w:style w:type="paragraph" w:styleId="Title">
    <w:name w:val="Title"/>
    <w:basedOn w:val="Normal"/>
    <w:next w:val="Normal"/>
    <w:link w:val="TitleChar"/>
    <w:uiPriority w:val="10"/>
    <w:qFormat/>
    <w:rsid w:val="00DE0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0F"/>
    <w:pPr>
      <w:spacing w:before="160"/>
      <w:jc w:val="center"/>
    </w:pPr>
    <w:rPr>
      <w:i/>
      <w:iCs/>
      <w:color w:val="404040" w:themeColor="text1" w:themeTint="BF"/>
    </w:rPr>
  </w:style>
  <w:style w:type="character" w:customStyle="1" w:styleId="QuoteChar">
    <w:name w:val="Quote Char"/>
    <w:basedOn w:val="DefaultParagraphFont"/>
    <w:link w:val="Quote"/>
    <w:uiPriority w:val="29"/>
    <w:rsid w:val="00DE010F"/>
    <w:rPr>
      <w:i/>
      <w:iCs/>
      <w:color w:val="404040" w:themeColor="text1" w:themeTint="BF"/>
    </w:rPr>
  </w:style>
  <w:style w:type="paragraph" w:styleId="ListParagraph">
    <w:name w:val="List Paragraph"/>
    <w:basedOn w:val="Normal"/>
    <w:uiPriority w:val="34"/>
    <w:qFormat/>
    <w:rsid w:val="00DE010F"/>
    <w:pPr>
      <w:ind w:left="720"/>
      <w:contextualSpacing/>
    </w:pPr>
  </w:style>
  <w:style w:type="character" w:styleId="IntenseEmphasis">
    <w:name w:val="Intense Emphasis"/>
    <w:basedOn w:val="DefaultParagraphFont"/>
    <w:uiPriority w:val="21"/>
    <w:qFormat/>
    <w:rsid w:val="00DE010F"/>
    <w:rPr>
      <w:i/>
      <w:iCs/>
      <w:color w:val="0F4761" w:themeColor="accent1" w:themeShade="BF"/>
    </w:rPr>
  </w:style>
  <w:style w:type="paragraph" w:styleId="IntenseQuote">
    <w:name w:val="Intense Quote"/>
    <w:basedOn w:val="Normal"/>
    <w:next w:val="Normal"/>
    <w:link w:val="IntenseQuoteChar"/>
    <w:uiPriority w:val="30"/>
    <w:qFormat/>
    <w:rsid w:val="00DE0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0F"/>
    <w:rPr>
      <w:i/>
      <w:iCs/>
      <w:color w:val="0F4761" w:themeColor="accent1" w:themeShade="BF"/>
    </w:rPr>
  </w:style>
  <w:style w:type="character" w:styleId="IntenseReference">
    <w:name w:val="Intense Reference"/>
    <w:basedOn w:val="DefaultParagraphFont"/>
    <w:uiPriority w:val="32"/>
    <w:qFormat/>
    <w:rsid w:val="00DE010F"/>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5711C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5711C4"/>
    <w:rPr>
      <w:rFonts w:ascii="Aptos" w:eastAsiaTheme="minorEastAsia" w:hAnsi="Aptos"/>
      <w:noProof/>
      <w:kern w:val="0"/>
      <w:lang w:val="en-US"/>
    </w:rPr>
  </w:style>
  <w:style w:type="paragraph" w:customStyle="1" w:styleId="EndNoteBibliography">
    <w:name w:val="EndNote Bibliography"/>
    <w:basedOn w:val="Normal"/>
    <w:link w:val="EndNoteBibliographyChar"/>
    <w:rsid w:val="005711C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5711C4"/>
    <w:rPr>
      <w:rFonts w:ascii="Aptos" w:eastAsiaTheme="minorEastAsia" w:hAnsi="Aptos"/>
      <w:noProof/>
      <w:kern w:val="0"/>
      <w:lang w:val="en-US"/>
    </w:rPr>
  </w:style>
  <w:style w:type="character" w:styleId="Hyperlink">
    <w:name w:val="Hyperlink"/>
    <w:basedOn w:val="DefaultParagraphFont"/>
    <w:uiPriority w:val="99"/>
    <w:unhideWhenUsed/>
    <w:rsid w:val="005711C4"/>
    <w:rPr>
      <w:color w:val="467886" w:themeColor="hyperlink"/>
      <w:u w:val="single"/>
    </w:rPr>
  </w:style>
  <w:style w:type="character" w:styleId="UnresolvedMention">
    <w:name w:val="Unresolved Mention"/>
    <w:basedOn w:val="DefaultParagraphFont"/>
    <w:uiPriority w:val="99"/>
    <w:semiHidden/>
    <w:unhideWhenUsed/>
    <w:rsid w:val="00571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https://doi.org/10.1002/qj.49710644707" TargetMode="External"/><Relationship Id="rId13" Type="http://schemas.openxmlformats.org/officeDocument/2006/relationships/hyperlink" Target="https://doi.org:10.5194/essd-17-1873-2025" TargetMode="External"/><Relationship Id="rId3" Type="http://schemas.openxmlformats.org/officeDocument/2006/relationships/settings" Target="settings.xml"/><Relationship Id="rId7" Type="http://schemas.openxmlformats.org/officeDocument/2006/relationships/hyperlink" Target="https://doi.org:10.1023/A:1018966204465" TargetMode="External"/><Relationship Id="rId12" Type="http://schemas.openxmlformats.org/officeDocument/2006/relationships/hyperlink" Target="https://doi.org:10.5194/essd-13-3607-20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https://doi.org/10.1098/rstb.2025.0048" TargetMode="External"/><Relationship Id="rId5" Type="http://schemas.openxmlformats.org/officeDocument/2006/relationships/footnotes" Target="footnotes.xml"/><Relationship Id="rId15" Type="http://schemas.openxmlformats.org/officeDocument/2006/relationships/hyperlink" Target="https://doi.org:https://doi.org/10.1016/j.ecohyd.2018.02.001" TargetMode="External"/><Relationship Id="rId10" Type="http://schemas.openxmlformats.org/officeDocument/2006/relationships/hyperlink" Target="https://doi.org:10.1007/s40710-021-00497-0" TargetMode="External"/><Relationship Id="rId4" Type="http://schemas.openxmlformats.org/officeDocument/2006/relationships/webSettings" Target="webSettings.xml"/><Relationship Id="rId9" Type="http://schemas.openxmlformats.org/officeDocument/2006/relationships/hyperlink" Target="https://doi.org:10.1023/B:BOUN.0000030653.71031.96" TargetMode="External"/><Relationship Id="rId14" Type="http://schemas.openxmlformats.org/officeDocument/2006/relationships/hyperlink" Target="https://doi.org:https://doi.org/10.1111/gcbb.12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C3D7C-BADF-4437-8F8C-86ABE6635C05}">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186</TotalTime>
  <Pages>11</Pages>
  <Words>6764</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Yanez, Ixchel</dc:creator>
  <cp:keywords/>
  <dc:description/>
  <cp:lastModifiedBy>Reyes Yanez, Ixchel</cp:lastModifiedBy>
  <cp:revision>110</cp:revision>
  <dcterms:created xsi:type="dcterms:W3CDTF">2026-08-09T19:39:00Z</dcterms:created>
  <dcterms:modified xsi:type="dcterms:W3CDTF">2026-08-13T08:59:00Z</dcterms:modified>
</cp:coreProperties>
</file>