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4"/>
      </w:tblGrid>
      <w:tr w14:paraId="550A5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1" w:hRule="atLeast"/>
        </w:trPr>
        <w:tc>
          <w:tcPr>
            <w:tcW w:w="14064" w:type="dxa"/>
          </w:tcPr>
          <w:p w14:paraId="463AABE2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7278370" cy="4094480"/>
                  <wp:effectExtent l="0" t="0" r="11430" b="7620"/>
                  <wp:docPr id="1" name="图片 1" descr="Fig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igure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8370" cy="409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87C658">
      <w:pPr>
        <w:spacing w:line="360" w:lineRule="auto"/>
        <w:contextualSpacing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color w:val="000000"/>
          <w:sz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color w:val="000000"/>
          <w:sz w:val="24"/>
        </w:rPr>
        <w:t>1</w:t>
      </w:r>
      <w:r>
        <w:rPr>
          <w:rFonts w:hint="default" w:ascii="Times New Roman" w:hAnsi="Times New Roman" w:eastAsia="Segoe UI Emoji" w:cs="Times New Roman"/>
          <w:b/>
          <w:bCs/>
          <w:color w:val="000000"/>
          <w:sz w:val="24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4"/>
        </w:rPr>
        <w:t xml:space="preserve">Patient flow diagram. </w:t>
      </w:r>
      <w:r>
        <w:rPr>
          <w:rFonts w:hint="default" w:ascii="Times New Roman" w:hAnsi="Times New Roman" w:cs="Times New Roman"/>
          <w:color w:val="000000"/>
          <w:sz w:val="24"/>
        </w:rPr>
        <w:t xml:space="preserve">SET, </w:t>
      </w:r>
      <w:r>
        <w:rPr>
          <w:rFonts w:hint="default" w:ascii="Times New Roman" w:hAnsi="Times New Roman" w:cs="Times New Roman"/>
          <w:sz w:val="24"/>
        </w:rPr>
        <w:t>standard endoscopic therapy (</w:t>
      </w:r>
      <w:r>
        <w:rPr>
          <w:rFonts w:hint="default" w:ascii="Times New Roman" w:hAnsi="Times New Roman" w:cs="Times New Roman"/>
          <w:color w:val="000000"/>
          <w:sz w:val="24"/>
        </w:rPr>
        <w:t>octreotide-assisted endoscopic sclerotherapy/tissue adhesive injection</w:t>
      </w:r>
      <w:r>
        <w:rPr>
          <w:rFonts w:hint="default" w:ascii="Times New Roman" w:hAnsi="Times New Roman" w:cs="Times New Roman"/>
          <w:sz w:val="24"/>
        </w:rPr>
        <w:t>); SITT, standard interventional therapy (octreotide combined with TIPS and gastric coronary vein embolization); SET+TP, SET</w:t>
      </w:r>
      <w:r>
        <w:rPr>
          <w:rFonts w:hint="default" w:ascii="Times New Roman" w:hAnsi="Times New Roman" w:cs="Times New Roman"/>
          <w:color w:val="000000"/>
          <w:sz w:val="24"/>
        </w:rPr>
        <w:t xml:space="preserve"> plus terlipressin; SITT+TP, SITT plus terlipressin; PSM, propensity score matching.</w:t>
      </w:r>
    </w:p>
    <w:p w14:paraId="6E57A006">
      <w:pP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br w:type="page"/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4"/>
      </w:tblGrid>
      <w:tr w14:paraId="3E5C7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4174" w:type="dxa"/>
          </w:tcPr>
          <w:p w14:paraId="2B17C273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7128510" cy="5043805"/>
                  <wp:effectExtent l="0" t="0" r="8890" b="10795"/>
                  <wp:docPr id="2" name="图片 2" descr="Figure 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igure 2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8510" cy="504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90B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4" w:type="dxa"/>
          </w:tcPr>
          <w:p w14:paraId="2A3070FA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7244080" cy="4792980"/>
                  <wp:effectExtent l="0" t="0" r="7620" b="7620"/>
                  <wp:docPr id="4" name="图片 4" descr="Figure 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igure 2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4218" b="2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4080" cy="479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277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9" w:hRule="atLeast"/>
          <w:jc w:val="center"/>
        </w:trPr>
        <w:tc>
          <w:tcPr>
            <w:tcW w:w="14174" w:type="dxa"/>
          </w:tcPr>
          <w:p w14:paraId="1DBCA020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7150100" cy="3811905"/>
                  <wp:effectExtent l="0" t="0" r="0" b="10795"/>
                  <wp:docPr id="5" name="图片 5" descr="Figure 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Figure 2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11679" b="12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0100" cy="381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3A6603">
      <w:pP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</w:pPr>
      <w:r>
        <w:rPr>
          <w:rFonts w:hint="default" w:ascii="Times New Roman" w:hAnsi="Times New Roman" w:eastAsia="Segoe UI Emoji" w:cs="Times New Roman"/>
          <w:b/>
          <w:bCs/>
          <w:color w:val="000000"/>
          <w:sz w:val="24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color w:val="000000"/>
          <w:sz w:val="24"/>
        </w:rPr>
        <w:t>2 Forest plots of subgroup analyses</w:t>
      </w:r>
      <w:r>
        <w:rPr>
          <w:rFonts w:hint="default" w:ascii="Times New Roman" w:hAnsi="Times New Roman" w:cs="Times New Roman"/>
          <w:color w:val="000000"/>
          <w:sz w:val="24"/>
        </w:rPr>
        <w:t xml:space="preserve">. A: subgroup analysis comparing the risk of rebleeding within six weeks between SITT and SET; B: subgroup analysis comparing the risk of death within six weeks between SET+TP and SET; C: subgroup analysis comparing the risk of adverse events (rebleeding or death) within six weeks between SITT+TP and SITT; </w:t>
      </w:r>
      <w:r>
        <w:rPr>
          <w:rFonts w:hint="default" w:ascii="Times New Roman" w:hAnsi="Times New Roman" w:cs="Times New Roman"/>
          <w:sz w:val="24"/>
        </w:rPr>
        <w:t xml:space="preserve">Abbreviations: </w:t>
      </w:r>
      <w:r>
        <w:rPr>
          <w:rFonts w:hint="default" w:ascii="Times New Roman" w:hAnsi="Times New Roman" w:cs="Times New Roman"/>
          <w:color w:val="000000"/>
          <w:sz w:val="24"/>
        </w:rPr>
        <w:t>SET, standard endoscopic therapy (octreotide-assisted endoscopic sclerotherapy/tissue adhesive injection); SITT, standard interventional therapy (octreotide combined with TIPS and gastric coronary vein embolization); SET+TP, SET plus terlipressin; SITT+TP, SITT plus terlipressin; Rf1: presence of red wale marks on varices under endoscopy; Rf2: presence of erosion, thrombotic head, or active bleeding under endoscopy.</w:t>
      </w:r>
      <w:r>
        <w:rPr>
          <w:rFonts w:hint="default" w:ascii="Times New Roman" w:hAnsi="Times New Roman" w:cs="Times New Roman"/>
          <w:color w:val="000000"/>
          <w:sz w:val="24"/>
        </w:rPr>
        <w:br w:type="page"/>
      </w:r>
    </w:p>
    <w:tbl>
      <w:tblPr>
        <w:tblStyle w:val="7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1"/>
        <w:gridCol w:w="6912"/>
      </w:tblGrid>
      <w:tr w14:paraId="6A2CE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7081" w:type="dxa"/>
          </w:tcPr>
          <w:p w14:paraId="2E980664"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drawing>
                <wp:inline distT="0" distB="0" distL="114300" distR="114300">
                  <wp:extent cx="4351020" cy="2164715"/>
                  <wp:effectExtent l="0" t="0" r="5080" b="6985"/>
                  <wp:docPr id="3" name="图片 3" descr="概率密度2_fig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概率密度2_fig-0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1020" cy="216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2" w:type="dxa"/>
          </w:tcPr>
          <w:p w14:paraId="29A0CE43"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drawing>
                <wp:inline distT="0" distB="0" distL="114300" distR="114300">
                  <wp:extent cx="4248785" cy="2113915"/>
                  <wp:effectExtent l="0" t="0" r="5715" b="6985"/>
                  <wp:docPr id="6" name="图片 6" descr="概率密度4.8_fig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概率密度4.8_fig-0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785" cy="2113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3D4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1" w:type="dxa"/>
            <w:tcBorders>
              <w:bottom w:val="single" w:color="auto" w:sz="8" w:space="0"/>
            </w:tcBorders>
          </w:tcPr>
          <w:p w14:paraId="3C26A9B1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  <w:p w14:paraId="12B79C39"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drawing>
                <wp:inline distT="0" distB="0" distL="114300" distR="114300">
                  <wp:extent cx="4327525" cy="2212975"/>
                  <wp:effectExtent l="0" t="0" r="3175" b="9525"/>
                  <wp:docPr id="8" name="图片 8" descr="概率密度4.8_fig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概率密度4.8_fig-0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2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7525" cy="221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2" w:type="dxa"/>
            <w:tcBorders>
              <w:bottom w:val="single" w:color="auto" w:sz="8" w:space="0"/>
            </w:tcBorders>
          </w:tcPr>
          <w:p w14:paraId="75E591CA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47163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3" w:type="dxa"/>
            <w:gridSpan w:val="2"/>
            <w:tcBorders>
              <w:top w:val="single" w:color="auto" w:sz="8" w:space="0"/>
            </w:tcBorders>
          </w:tcPr>
          <w:p w14:paraId="4B28AB44"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Segoe UI Emoji" w:cs="Times New Roman"/>
                <w:b/>
                <w:bCs/>
                <w:color w:val="000000"/>
                <w:sz w:val="21"/>
                <w:szCs w:val="21"/>
              </w:rPr>
              <w:t>F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igure</w:t>
            </w:r>
            <w:r>
              <w:rPr>
                <w:rFonts w:hint="default" w:ascii="Times New Roman" w:hAnsi="Times New Roman" w:eastAsia="Segoe UI Emoji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Segoe UI Emoji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T</w:t>
            </w:r>
            <w:r>
              <w:rPr>
                <w:rFonts w:hint="default" w:ascii="Times New Roman" w:hAnsi="Times New Roman" w:eastAsia="Segoe UI Emoji" w:cs="Times New Roman"/>
                <w:color w:val="000000"/>
                <w:sz w:val="21"/>
                <w:szCs w:val="21"/>
              </w:rPr>
              <w:t>he kernel density plots of the propensity scores before and after matching.</w:t>
            </w:r>
          </w:p>
        </w:tc>
      </w:tr>
    </w:tbl>
    <w:p w14:paraId="25D08430">
      <w:pP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br w:type="page"/>
      </w:r>
    </w:p>
    <w:p w14:paraId="05C5BA04">
      <w:pP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B1B7865">
      <w:pPr>
        <w:pStyle w:val="4"/>
        <w:spacing w:line="360" w:lineRule="auto"/>
        <w:contextualSpacing/>
        <w:rPr>
          <w:rFonts w:hint="default" w:ascii="Times New Roman" w:hAnsi="Times New Roman" w:eastAsia="宋体" w:cs="Times New Roman"/>
          <w:b/>
          <w:bCs/>
          <w:sz w:val="24"/>
        </w:rPr>
      </w:pPr>
      <w:bookmarkStart w:id="0" w:name="_Ref20831"/>
      <w:r>
        <w:rPr>
          <w:rFonts w:hint="default" w:ascii="Times New Roman" w:hAnsi="Times New Roman" w:eastAsia="宋体" w:cs="Times New Roman"/>
          <w:b/>
          <w:bCs/>
          <w:color w:val="000000"/>
          <w:szCs w:val="21"/>
        </w:rPr>
        <w:t>T</w:t>
      </w:r>
      <w:r>
        <w:rPr>
          <w:rFonts w:hint="default" w:ascii="Times New Roman" w:hAnsi="Times New Roman" w:eastAsia="宋体" w:cs="Times New Roman"/>
          <w:b/>
          <w:bCs/>
          <w:color w:val="000000"/>
          <w:szCs w:val="21"/>
          <w:lang w:val="en-US" w:eastAsia="zh-CN"/>
        </w:rPr>
        <w:t>able</w:t>
      </w:r>
      <w:r>
        <w:rPr>
          <w:rFonts w:hint="default"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</w:rPr>
        <w:t>1</w:t>
      </w:r>
      <w:bookmarkEnd w:id="0"/>
      <w:r>
        <w:rPr>
          <w:rFonts w:hint="default" w:ascii="Times New Roman" w:hAnsi="Times New Roman" w:cs="Times New Roman"/>
          <w:b/>
          <w:bCs/>
          <w:sz w:val="24"/>
        </w:rPr>
        <w:t xml:space="preserve"> Clinical characteristics of the patients on admission</w:t>
      </w:r>
    </w:p>
    <w:tbl>
      <w:tblPr>
        <w:tblStyle w:val="6"/>
        <w:tblW w:w="502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7"/>
        <w:gridCol w:w="2521"/>
        <w:gridCol w:w="2357"/>
        <w:gridCol w:w="2471"/>
        <w:gridCol w:w="1634"/>
        <w:gridCol w:w="1086"/>
      </w:tblGrid>
      <w:tr w14:paraId="3594B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tblHeader/>
        </w:trPr>
        <w:tc>
          <w:tcPr>
            <w:tcW w:w="256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C44B9">
            <w:pPr>
              <w:jc w:val="left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63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EE80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627C4FA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 (n = 656)</w:t>
            </w:r>
          </w:p>
        </w:tc>
        <w:tc>
          <w:tcPr>
            <w:tcW w:w="152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CB8CA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EIS Total</w:t>
            </w:r>
          </w:p>
          <w:p w14:paraId="302A3389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 (n = 384)</w:t>
            </w:r>
          </w:p>
        </w:tc>
        <w:tc>
          <w:tcPr>
            <w:tcW w:w="159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D88F7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TIPS Total</w:t>
            </w:r>
          </w:p>
          <w:p w14:paraId="1930F6F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>(n = 272)</w:t>
            </w:r>
          </w:p>
        </w:tc>
        <w:tc>
          <w:tcPr>
            <w:tcW w:w="105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B98B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  <w:t>Statistic</w:t>
            </w:r>
          </w:p>
        </w:tc>
        <w:tc>
          <w:tcPr>
            <w:tcW w:w="70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3782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sz w:val="20"/>
                <w:szCs w:val="20"/>
              </w:rPr>
              <w:t>P</w:t>
            </w:r>
          </w:p>
        </w:tc>
      </w:tr>
      <w:tr w14:paraId="5003F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tblHeader/>
        </w:trPr>
        <w:tc>
          <w:tcPr>
            <w:tcW w:w="2566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280FF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0844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BF3DA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E31C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2A63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C450E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i/>
                <w:sz w:val="20"/>
                <w:szCs w:val="20"/>
              </w:rPr>
            </w:pPr>
          </w:p>
        </w:tc>
      </w:tr>
      <w:tr w14:paraId="70361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56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45BEE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63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B21AC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53.27 ± 11.42</w:t>
            </w:r>
          </w:p>
        </w:tc>
        <w:tc>
          <w:tcPr>
            <w:tcW w:w="152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D10DE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52.39 ± 11.30</w:t>
            </w:r>
          </w:p>
        </w:tc>
        <w:tc>
          <w:tcPr>
            <w:tcW w:w="159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F14CB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54.52 ± 11.50</w:t>
            </w:r>
          </w:p>
        </w:tc>
        <w:tc>
          <w:tcPr>
            <w:tcW w:w="105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58C3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t=-2.36</w:t>
            </w:r>
          </w:p>
        </w:tc>
        <w:tc>
          <w:tcPr>
            <w:tcW w:w="70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A8BF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0.019</w:t>
            </w:r>
          </w:p>
        </w:tc>
      </w:tr>
      <w:tr w14:paraId="06EC4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11B66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Sex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B5D9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F23E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289D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07AB7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χ²=11.88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3215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&lt;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.0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</w:tr>
      <w:tr w14:paraId="77982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410E9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B0BC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440 (67.07)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543D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278 (72.40)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83E6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162 (59.56)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FD90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53217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76AA7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D9890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8D2E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216 (32.93)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38F8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106 (27.60)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364C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110 (40.44)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28EF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5D9BA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68367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4BC6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Etiology of cirrhosis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068E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25EB9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E15C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B7D5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χ²=15.82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817FB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0.007</w:t>
            </w:r>
          </w:p>
        </w:tc>
      </w:tr>
      <w:tr w14:paraId="10DD4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2DAE8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Hepatitis B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14A1E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45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(6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7CCB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284 (73.96)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8D78C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71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(6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6)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6216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870E9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7DD3B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56E1F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Hepatitis C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F8B47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78 (11.89)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2BA7C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42 (10.94)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80424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36 (13.24)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5095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ECB7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266D7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4010D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Alcoholic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099D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14 (2.13)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0228C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5 (1.30)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8497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9 (3.31)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A16A7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BC8C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13856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E7B4A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Autoimmune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F02B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42 (6.40)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C5AD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20 (5.21)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2437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22 (8.09)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B05BE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2A46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54FF0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52C13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Other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98DA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67 (10.21)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D54A7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33 (8.59)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2B0D4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34 (12.50)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3734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702E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5F8DA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AAD77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Residential area, n 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1603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4C10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75F77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CE4C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χ²=10.34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7A174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0.001</w:t>
            </w:r>
          </w:p>
        </w:tc>
      </w:tr>
      <w:tr w14:paraId="4CB10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9585B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Rural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AD60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480 (73.17)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83019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263 (68.49)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D0DC7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217 (79.78)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A531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9B55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1C362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7C081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Urban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8EAAE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176 (26.83)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E9C4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121 (31.51)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016FC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55 (20.22)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3B72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6E09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7F10D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1A348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recipitating factor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(hard food)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7AF0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46D8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0475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7E7D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χ²=3.15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D621A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0.076</w:t>
            </w:r>
          </w:p>
        </w:tc>
      </w:tr>
      <w:tr w14:paraId="5E3C5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9DF43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1156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148 (22.56)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70FAA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96 (25.00)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B383B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52 (19.12)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91CD4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0A9AE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5A076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651A9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B75CB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508 (77.44)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3A9E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288 (75.00)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FD689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220 (80.88)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C080A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81A3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516D0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656DC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Total blood loss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(mL)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6D05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790.70 ± 360.30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3DBE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822.14 ± 389.30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BD13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746.32 ± 310.14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E6B5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t=2.77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B815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0.006</w:t>
            </w:r>
          </w:p>
        </w:tc>
      </w:tr>
      <w:tr w14:paraId="2E626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19910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MELD-Na score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1203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14.01 ± 4.51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7E31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13.70 ± 4.43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ED9E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14.46 ± 4.60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0EAC9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t=-2.14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881F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0.033</w:t>
            </w:r>
          </w:p>
        </w:tc>
      </w:tr>
      <w:tr w14:paraId="720BC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CDC83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Child‒Pugh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class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BAD89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1FAB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9B21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F2F9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χ²=3.91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A66B4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0.142</w:t>
            </w:r>
          </w:p>
        </w:tc>
      </w:tr>
      <w:tr w14:paraId="28622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5A376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A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337B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138 (21.04)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F219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72 (18.75)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31A99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66 (24.26)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8AC7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37B9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3B104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EBBE6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B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8B36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331 (50.46)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5982B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194 (50.52)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6891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137 (50.37)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7DBA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B872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25AE7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2FECC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C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78ED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187 (28.51)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8911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118 (30.73)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BDC3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69 (25.37)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7B139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B873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581ED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CA2CD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isk factor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F489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E7F9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D4E9B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1756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χ²=5.10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8F14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0.024</w:t>
            </w:r>
          </w:p>
        </w:tc>
      </w:tr>
      <w:tr w14:paraId="6C319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4F832">
            <w:pPr>
              <w:ind w:left="4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Rf1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606A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413 (62.96)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4DED4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228 (59.38)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280B9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185 (68.01)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7742E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6018E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7F424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13B46">
            <w:pPr>
              <w:ind w:left="4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Rf2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18B8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243 (37.04)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C348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156 (40.62)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54BC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87 (31.99)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077B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4FF2C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6B77A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08C2D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GOV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classification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EC73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1C7B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CA13B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2D56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χ²=23.05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8C63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&lt;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.001</w:t>
            </w:r>
          </w:p>
        </w:tc>
      </w:tr>
      <w:tr w14:paraId="4F7EF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709C3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GOV1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923BA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517 (78.81)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E69C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285 (74.22)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48B6C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232 (85.29)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6464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7A8F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2754C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53881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GOV2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34DDB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84 (12.80)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E59B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69 (17.97)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195E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15 (5.51)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DC1F9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67E5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727F4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0DFBC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EV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03E8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43 (6.55)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BD69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22 (5.73)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5DCE7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21 (7.72)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ADF9C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77BF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7C7E7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36A1A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IGV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798B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12 (1.83)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3DE6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8 (2.08)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F57A7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4 (1.47)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836E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0F95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4EB88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BEF51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Variceal diameter 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m)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AF32E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1.05 ± 0.41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3FB8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1.03 ± 0.45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D981B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1.09 ± 0.34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C3C9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t=-1.99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1C46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0.047</w:t>
            </w:r>
          </w:p>
        </w:tc>
      </w:tr>
      <w:tr w14:paraId="52E6C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28BA1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Main portal vein diameter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(cm)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7C8B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1.65 ± 0.68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CEC37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1.65 ± 0.86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00B2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1.64 ± 0.26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625A4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t=0.26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76C4E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0.792</w:t>
            </w:r>
          </w:p>
        </w:tc>
      </w:tr>
      <w:tr w14:paraId="3D27B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D5FE4">
            <w:pP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Spleen thickness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(cm)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3B00C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>5.51 ± 0.81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4E5F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>5.58 ± 0.84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C49C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>5.42 ± 0.75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9919E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>t=2.58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6660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18"/>
                <w:szCs w:val="18"/>
              </w:rPr>
              <w:t>0.010</w:t>
            </w:r>
          </w:p>
        </w:tc>
      </w:tr>
      <w:tr w14:paraId="3779B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C9DFB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Albumin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(g/dL)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193F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31.23 ± 4.56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031EE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30.88 ± 4.42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C77B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31.72 ± 4.72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08764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t=-2.31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4E2C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0.021</w:t>
            </w:r>
          </w:p>
        </w:tc>
      </w:tr>
      <w:tr w14:paraId="6DB37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3FDBB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INR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E7EF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1.43 ± 0.33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9440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1.37 ± 0.25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AAD6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1.51 ± 0.40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567B9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t=-4.80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D4DF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&lt;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.001</w:t>
            </w:r>
          </w:p>
        </w:tc>
      </w:tr>
      <w:tr w14:paraId="17724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4EA45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Creatinine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(mg/dL)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933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60.89 ± 22.92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87884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61.29 ± 20.85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3FC9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60.34 ± 25.59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2529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t=0.50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F4A1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0.616</w:t>
            </w:r>
          </w:p>
        </w:tc>
      </w:tr>
      <w:tr w14:paraId="5E94F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05BBB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Hb (g/dL)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E07AE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87.52 ± 22.09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DD78C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85.23 ± 21.48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52EF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90.76 ± 22.56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B26BC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t=-3.18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1E63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0.002</w:t>
            </w:r>
          </w:p>
        </w:tc>
      </w:tr>
      <w:tr w14:paraId="40D35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F7BF8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PLT (×10⁹/L)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F4DE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78.30 ± 53.19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4557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74.97 ± 46.48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6525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83.01 ± 61.22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01B9C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t=-1.91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5287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0.056</w:t>
            </w:r>
          </w:p>
        </w:tc>
      </w:tr>
      <w:tr w14:paraId="78CE0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382AC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TBil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(mg/dL)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22E2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51.79 ± 69.72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1892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51.43 ± 71.75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C44C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52.30 ± 66.88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E952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t=-0.16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5D16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0.875</w:t>
            </w:r>
          </w:p>
        </w:tc>
      </w:tr>
      <w:tr w14:paraId="6EFA5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F5C0B">
            <w:pP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>Na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 (mmol/L)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0DF3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>139.13 ± 4.63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BAE8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>138.30 ± 4.34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E8B7B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>140.31 ± 4.79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81AF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18"/>
                <w:szCs w:val="18"/>
              </w:rPr>
              <w:t>t=-5.52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8BE3B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18"/>
                <w:szCs w:val="18"/>
              </w:rPr>
              <w:t>&lt;</w:t>
            </w: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Cs/>
                <w:sz w:val="18"/>
                <w:szCs w:val="18"/>
              </w:rPr>
              <w:t>.001</w:t>
            </w:r>
          </w:p>
        </w:tc>
      </w:tr>
      <w:tr w14:paraId="1F748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21CA9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Adjunctive use of terlipressin, n 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3B3E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14D0E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98CC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F0C0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χ²=0.29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D634B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0.590</w:t>
            </w:r>
          </w:p>
        </w:tc>
      </w:tr>
      <w:tr w14:paraId="2A68D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52A4F">
            <w:pPr>
              <w:ind w:left="4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5ECF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157 (23.93)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1F14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89 (23.18)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B2D1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68 (25.00)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B9CB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CB75A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700EB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EFC41">
            <w:pPr>
              <w:ind w:left="40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60324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499 (76.07)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8231B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295 (76.82)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3031B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204 (75.00)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DD20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68ED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2A4ED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31CFF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Hepatocellular carcinoma, n 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D2BA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D5F2A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C032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7E1D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χ²=5.43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86DE9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0.020</w:t>
            </w:r>
          </w:p>
        </w:tc>
      </w:tr>
      <w:tr w14:paraId="07F0D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55322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CC7D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153 (23.32)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01DA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102 (26.56)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C1494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51 (18.75)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D0C2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56C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5CE06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A1D48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D023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503 (76.68)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A1504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282 (73.44)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C65AC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221 (81.25)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90A2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5D29C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334E4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4A7F8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Portal vein thrombosis, n 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F9CF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6E1F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0C42E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B165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χ²=4.38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3CBF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0.036</w:t>
            </w:r>
          </w:p>
        </w:tc>
      </w:tr>
      <w:tr w14:paraId="18883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F8D9E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4D75C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160 (24.39)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E652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105 (27.34)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C657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55 (20.22)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2326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45F3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171CE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AF603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2CF8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496 (75.61)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69E6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279 (72.66)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6484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217 (79.78)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8C33C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3991A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01F5D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2C84F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Ascites, n 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8B39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8595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41177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3C05B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χ²=30.15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F705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&lt;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.001</w:t>
            </w:r>
          </w:p>
        </w:tc>
      </w:tr>
      <w:tr w14:paraId="7DABD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F0767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3122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98 (14.94)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582E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56 (14.58)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E5F7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42 (15.44)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0C6F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CE7D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3D457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28845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Mild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9ECB9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379 (57.77)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25CFF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193 (50.26)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54D5D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186 (68.38)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41E7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E3ED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2EA21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16B0F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Moderate to severe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F0A8E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179 (27.29)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C54FA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135 (35.16)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9835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44 (16.18)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FCD39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6E99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6CC20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98B0">
            <w:pPr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Pleural effusion, n 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26534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7C81C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87CBE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EB1C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χ²=4.08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14B6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0.043</w:t>
            </w:r>
          </w:p>
        </w:tc>
      </w:tr>
      <w:tr w14:paraId="5D53E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9718C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9273B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167 (25.50)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6E023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109 (28.39)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D9D59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58 (21.40)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0FE30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122F6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233BD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66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6EFA4">
            <w:pPr>
              <w:ind w:left="40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F81D8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488 (74.50)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81729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275 (71.61)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3E912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213 (78.60)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B49B5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7BC01">
            <w:pP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</w:tbl>
    <w:p w14:paraId="3A4CD1ED">
      <w:pPr>
        <w:pStyle w:val="4"/>
        <w:spacing w:line="360" w:lineRule="auto"/>
        <w:contextualSpacing/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b/>
          <w:bCs/>
          <w:color w:val="000000"/>
          <w:szCs w:val="21"/>
        </w:rPr>
        <w:t>T</w:t>
      </w:r>
      <w:r>
        <w:rPr>
          <w:rFonts w:hint="default" w:ascii="Times New Roman" w:hAnsi="Times New Roman" w:eastAsia="宋体" w:cs="Times New Roman"/>
          <w:b/>
          <w:bCs/>
          <w:color w:val="000000"/>
          <w:szCs w:val="21"/>
          <w:lang w:val="en-US" w:eastAsia="zh-CN"/>
        </w:rPr>
        <w:t>able</w:t>
      </w:r>
      <w:r>
        <w:rPr>
          <w:rFonts w:hint="default"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</w:rPr>
        <w:t>1 Clinical characteristics of the patients on admission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color w:val="000000"/>
          <w:sz w:val="24"/>
        </w:rPr>
        <w:t>Abbreviations: EIS Total, all patients treated with endoscopic therapy (including those who received additional terlipressin); TIPS Total, all patients treated with TIPS (including those who received additional terlipressin); INR, international normalized ratio; Hb, hemoglobin; PLT, platelet count; TBil, total bilirubin; Rf1: presence of red wale marks on varices under endoscopy; Rf2: presence of erosion, thrombotic head, or active bleeding under endoscopy. GOV, gastroesophageal varices; EV, esophageal varices; IGV, isolated gastric varices.</w:t>
      </w:r>
    </w:p>
    <w:p w14:paraId="25D75637">
      <w:pP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</w:rPr>
        <w:t>T</w:t>
      </w: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>able S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</w:rPr>
        <w:t>Baseline characteristics of patients before and after PSM</w:t>
      </w:r>
    </w:p>
    <w:tbl>
      <w:tblPr>
        <w:tblStyle w:val="6"/>
        <w:tblW w:w="495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8"/>
        <w:gridCol w:w="1867"/>
        <w:gridCol w:w="2010"/>
        <w:gridCol w:w="914"/>
        <w:gridCol w:w="951"/>
        <w:gridCol w:w="393"/>
        <w:gridCol w:w="1640"/>
        <w:gridCol w:w="1687"/>
        <w:gridCol w:w="916"/>
        <w:gridCol w:w="1002"/>
      </w:tblGrid>
      <w:tr w14:paraId="04F2D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tblHeader/>
          <w:jc w:val="center"/>
        </w:trPr>
        <w:tc>
          <w:tcPr>
            <w:tcW w:w="882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05E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Variable</w:t>
            </w:r>
          </w:p>
        </w:tc>
        <w:tc>
          <w:tcPr>
            <w:tcW w:w="2077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018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Before PSM</w:t>
            </w:r>
          </w:p>
        </w:tc>
        <w:tc>
          <w:tcPr>
            <w:tcW w:w="2039" w:type="pct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E48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After PSM</w:t>
            </w:r>
          </w:p>
        </w:tc>
      </w:tr>
      <w:tr w14:paraId="03558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tblHeader/>
          <w:jc w:val="center"/>
        </w:trPr>
        <w:tc>
          <w:tcPr>
            <w:tcW w:w="882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7FC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1FD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ET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(n = 295)</w:t>
            </w:r>
          </w:p>
        </w:tc>
        <w:tc>
          <w:tcPr>
            <w:tcW w:w="72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C56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ITT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(n = 204)</w:t>
            </w:r>
          </w:p>
        </w:tc>
        <w:tc>
          <w:tcPr>
            <w:tcW w:w="33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445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i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34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8AB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SMD</w:t>
            </w:r>
          </w:p>
        </w:tc>
        <w:tc>
          <w:tcPr>
            <w:tcW w:w="142" w:type="pct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F19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0B8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ET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(n = 177)</w:t>
            </w:r>
          </w:p>
        </w:tc>
        <w:tc>
          <w:tcPr>
            <w:tcW w:w="61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975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ITT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(n = 177)</w:t>
            </w:r>
          </w:p>
        </w:tc>
        <w:tc>
          <w:tcPr>
            <w:tcW w:w="33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523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i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36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417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SMD</w:t>
            </w:r>
          </w:p>
        </w:tc>
      </w:tr>
      <w:tr w14:paraId="755A4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8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20C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Age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(years)</w:t>
            </w:r>
          </w:p>
        </w:tc>
        <w:tc>
          <w:tcPr>
            <w:tcW w:w="67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F05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52.38 ± 11.53</w:t>
            </w:r>
          </w:p>
        </w:tc>
        <w:tc>
          <w:tcPr>
            <w:tcW w:w="72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8FF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55.13 ± 11.85</w:t>
            </w:r>
          </w:p>
        </w:tc>
        <w:tc>
          <w:tcPr>
            <w:tcW w:w="33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7BF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  <w:t>0.010</w:t>
            </w:r>
          </w:p>
        </w:tc>
        <w:tc>
          <w:tcPr>
            <w:tcW w:w="34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792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0.232</w:t>
            </w:r>
          </w:p>
        </w:tc>
        <w:tc>
          <w:tcPr>
            <w:tcW w:w="14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079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EAB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54.11 ± 11.29</w:t>
            </w:r>
          </w:p>
        </w:tc>
        <w:tc>
          <w:tcPr>
            <w:tcW w:w="61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22F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54.93 ± 12.28</w:t>
            </w:r>
          </w:p>
        </w:tc>
        <w:tc>
          <w:tcPr>
            <w:tcW w:w="331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E9B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36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378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0.067</w:t>
            </w:r>
          </w:p>
        </w:tc>
      </w:tr>
      <w:tr w14:paraId="7F801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12A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Na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perscript"/>
              </w:rPr>
              <w:t>+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(mmol/L)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456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138.33 ± 4.30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4D3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140.41 ± 4.66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580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  <w:t>&lt;.001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BB9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0.445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D8C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89E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139.58 ± 3.68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E41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139.72 ± 4.30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67E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0.732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1AE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0.034</w:t>
            </w:r>
          </w:p>
        </w:tc>
      </w:tr>
      <w:tr w14:paraId="429E6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B90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Hb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(g/dL)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944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86.41 ± 21.35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6D0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91.99 ± 22.75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559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  <w:t>0.005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983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0.245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AE8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747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88.84 ± 20.24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E3A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89.61 ± 20.89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68F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0.724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00F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0.037</w:t>
            </w:r>
          </w:p>
        </w:tc>
      </w:tr>
      <w:tr w14:paraId="69975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649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LT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（×10⁹/L）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F45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73.91 ± 46.50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A44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88.62 ± 67.25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996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  <w:t>0.004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06D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0.219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931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676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81.08 ± 51.27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C8E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83.07 ± 63.15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F9C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0.746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7B7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0.031</w:t>
            </w:r>
          </w:p>
        </w:tc>
      </w:tr>
      <w:tr w14:paraId="5DB60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FCD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Child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 xml:space="preserve">-pugh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score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F50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8.28 ± 2.11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058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7.98 ± 2.02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0A7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  <w:t>0.112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9DB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-0.149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DE9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597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7.93 ± 2.09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6D4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7.99 ± 2.02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09F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0.776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2AE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0.031</w:t>
            </w:r>
          </w:p>
        </w:tc>
      </w:tr>
      <w:tr w14:paraId="655FD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616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Total blood loss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（mL）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FB6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796.10 ± 378.79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EF8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713.48 ± 290.49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E18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  <w:t>0.006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7FD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-0.284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90B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374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739.55 ± 338.01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165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731.36 ± 294.39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874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0.808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A39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-0.028</w:t>
            </w:r>
          </w:p>
        </w:tc>
      </w:tr>
      <w:tr w14:paraId="113FF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2A7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Variceal diameter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(cm)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6DC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1.03 ± 0.45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9B9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1.06 ± 0.33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215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  <w:t>0.371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BF3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0.094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2D0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D1A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1.07 ± 0.49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C7B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1.06 ± 0.34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8BE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0.832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7E4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-0.028</w:t>
            </w:r>
          </w:p>
        </w:tc>
      </w:tr>
      <w:tr w14:paraId="525BC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1F4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Spleen thickness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(cm)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C47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5.53 ± 0.90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3D4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5.37 ± 0.74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496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  <w:t>0.030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BF3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-0.218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25D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4A8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5.45 ± 0.92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E2E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5.40 ± 0.75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5BA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0.631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809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-0.057</w:t>
            </w:r>
          </w:p>
        </w:tc>
      </w:tr>
      <w:tr w14:paraId="6BDCA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467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Gender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751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2AD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E05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  <w:t>0.004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1A6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8C1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C09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D1E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183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0.828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657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</w:tr>
      <w:tr w14:paraId="26D27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9CB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3FC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209 (70.85)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595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119 (58.33)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63D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E9C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-0.254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50B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83C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108 (61.02)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29B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106 (59.89)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5E0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A2E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-0.023</w:t>
            </w:r>
          </w:p>
        </w:tc>
      </w:tr>
      <w:tr w14:paraId="136BD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9AD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46C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86 (29.15)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4E7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85 (41.67)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711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37C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5D0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073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69 (38.98)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5D8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71 (40.11)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BBC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DE1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0.023</w:t>
            </w:r>
          </w:p>
        </w:tc>
      </w:tr>
      <w:tr w14:paraId="139E9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A8C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HCC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A09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62F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FB9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  <w:t>0.017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99A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5BC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EFA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446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A5B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0.780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4C5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</w:tr>
      <w:tr w14:paraId="73AC8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E07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Non-HCC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FA6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221 (74.92)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5E1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171 (83.82)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A07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FB4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0.242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E0E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458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147 (83.05)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AD2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145 (81.92)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2D6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E9A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-0.029</w:t>
            </w:r>
          </w:p>
        </w:tc>
      </w:tr>
      <w:tr w14:paraId="049BB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D8A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HCC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26A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74 (25.08)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C82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33 (16.18)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B77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4B0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-0.242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888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CA5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30 (16.95)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BED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32 (18.08)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EED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5D3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0.029</w:t>
            </w:r>
          </w:p>
        </w:tc>
      </w:tr>
      <w:tr w14:paraId="43F6B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158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 xml:space="preserve">Risk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f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actor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ED4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4BB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FFA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  <w:t>0.471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390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F4E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0AC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AE6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D38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0.575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F2C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</w:tr>
      <w:tr w14:paraId="68B3C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D5C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Rf1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45C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183 (62.03)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DBF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133 (65.20)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02A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72D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0.066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14E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FA9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119 (67.23)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470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114 (64.41)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FEC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B13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-0.059</w:t>
            </w:r>
          </w:p>
        </w:tc>
      </w:tr>
      <w:tr w14:paraId="4DB62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882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9A0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Rf2</w:t>
            </w:r>
          </w:p>
        </w:tc>
        <w:tc>
          <w:tcPr>
            <w:tcW w:w="675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A08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112 (37.97)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9E2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71 (34.80)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378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B7B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-0.066</w:t>
            </w:r>
          </w:p>
        </w:tc>
        <w:tc>
          <w:tcPr>
            <w:tcW w:w="142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CAB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FE0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58 (32.77)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F4A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63 (35.59)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513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E00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0.059</w:t>
            </w:r>
          </w:p>
        </w:tc>
      </w:tr>
    </w:tbl>
    <w:p w14:paraId="056F3A1D">
      <w:pP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</w:rPr>
        <w:t>T</w:t>
      </w: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>able S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</w:rPr>
        <w:t>Baseline characteristics of patients before and after PSM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Abbreviations: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SET, Standard Endoscopic Therapy; SITT, Standard Interventional Therapy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.</w:t>
      </w:r>
    </w:p>
    <w:p w14:paraId="3EB8EA2C">
      <w:pPr>
        <w:rPr>
          <w:rFonts w:hint="default" w:ascii="Times New Roman" w:hAnsi="Times New Roman" w:eastAsia="宋体" w:cs="Times New Roman"/>
          <w:color w:val="0000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2"/>
          <w:szCs w:val="22"/>
          <w:lang w:val="en-US" w:eastAsia="zh-CN"/>
        </w:rPr>
        <w:br w:type="page"/>
      </w:r>
    </w:p>
    <w:p w14:paraId="007FAEDC">
      <w:pP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</w:rPr>
        <w:t>T</w:t>
      </w: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>able S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</w:rPr>
        <w:t xml:space="preserve"> Baseline characteristics of patients before and after PSM</w:t>
      </w:r>
    </w:p>
    <w:tbl>
      <w:tblPr>
        <w:tblStyle w:val="6"/>
        <w:tblpPr w:leftFromText="180" w:rightFromText="180" w:vertAnchor="text" w:horzAnchor="page" w:tblpX="1495" w:tblpY="41"/>
        <w:tblOverlap w:val="never"/>
        <w:tblW w:w="4957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5"/>
        <w:gridCol w:w="1852"/>
        <w:gridCol w:w="1723"/>
        <w:gridCol w:w="889"/>
        <w:gridCol w:w="924"/>
        <w:gridCol w:w="188"/>
        <w:gridCol w:w="2045"/>
        <w:gridCol w:w="1929"/>
        <w:gridCol w:w="978"/>
        <w:gridCol w:w="955"/>
      </w:tblGrid>
      <w:tr w14:paraId="6735E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tblHeader/>
        </w:trPr>
        <w:tc>
          <w:tcPr>
            <w:tcW w:w="850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65D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Variable</w:t>
            </w:r>
          </w:p>
        </w:tc>
        <w:tc>
          <w:tcPr>
            <w:tcW w:w="1946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8F6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Before PSM</w:t>
            </w:r>
          </w:p>
        </w:tc>
        <w:tc>
          <w:tcPr>
            <w:tcW w:w="67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02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34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103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After PSM</w:t>
            </w:r>
          </w:p>
        </w:tc>
      </w:tr>
      <w:tr w14:paraId="34F68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tblHeader/>
        </w:trPr>
        <w:tc>
          <w:tcPr>
            <w:tcW w:w="850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667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6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B86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SET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(n = 295)</w:t>
            </w:r>
          </w:p>
        </w:tc>
        <w:tc>
          <w:tcPr>
            <w:tcW w:w="62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6AF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SET+TP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(n = 89)</w:t>
            </w:r>
          </w:p>
        </w:tc>
        <w:tc>
          <w:tcPr>
            <w:tcW w:w="32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E00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i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33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784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SMD</w:t>
            </w:r>
          </w:p>
        </w:tc>
        <w:tc>
          <w:tcPr>
            <w:tcW w:w="6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8E0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411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SET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(n = 201)</w:t>
            </w:r>
          </w:p>
        </w:tc>
        <w:tc>
          <w:tcPr>
            <w:tcW w:w="69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67A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SET+TP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(n = 86)</w:t>
            </w:r>
          </w:p>
        </w:tc>
        <w:tc>
          <w:tcPr>
            <w:tcW w:w="35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4C9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i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34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B4C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SMD</w:t>
            </w:r>
          </w:p>
        </w:tc>
      </w:tr>
      <w:tr w14:paraId="2258F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85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542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Age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(years)</w:t>
            </w:r>
          </w:p>
        </w:tc>
        <w:tc>
          <w:tcPr>
            <w:tcW w:w="66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72A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52.38 ± 11.53</w:t>
            </w:r>
          </w:p>
        </w:tc>
        <w:tc>
          <w:tcPr>
            <w:tcW w:w="62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D73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52.43 ± 10.55</w:t>
            </w:r>
          </w:p>
        </w:tc>
        <w:tc>
          <w:tcPr>
            <w:tcW w:w="321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8AB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  <w:t>0.972</w:t>
            </w:r>
          </w:p>
        </w:tc>
        <w:tc>
          <w:tcPr>
            <w:tcW w:w="33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BCA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6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D3C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553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52.57 ± 11.73</w:t>
            </w:r>
          </w:p>
        </w:tc>
        <w:tc>
          <w:tcPr>
            <w:tcW w:w="69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B8D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52.71 ± 10.15</w:t>
            </w:r>
          </w:p>
        </w:tc>
        <w:tc>
          <w:tcPr>
            <w:tcW w:w="35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ED5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0.925</w:t>
            </w:r>
          </w:p>
        </w:tc>
        <w:tc>
          <w:tcPr>
            <w:tcW w:w="34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6EF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0.014</w:t>
            </w:r>
          </w:p>
        </w:tc>
      </w:tr>
      <w:tr w14:paraId="31C8E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4EB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Hb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(g/dL)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DA7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86.41 ± 21.35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9D5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81.31 ± 21.59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63C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  <w:t>0.050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BE2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-0.236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908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837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84.15 ± 20.54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8D5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82.02 ± 21.56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696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0.428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35F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-0.099</w:t>
            </w:r>
          </w:p>
        </w:tc>
      </w:tr>
      <w:tr w14:paraId="46419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8CF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PLT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（×10⁹/L）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92F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73.91 ± 46.50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FE9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78.47 ± 46.53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252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  <w:t>0.418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0EE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0.098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143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0DA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73.15 ± 48.21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3D2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77.79 ± 47.01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70E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0.453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460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0.099</w:t>
            </w:r>
          </w:p>
        </w:tc>
      </w:tr>
      <w:tr w14:paraId="625FE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CDF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Child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 xml:space="preserve">-pugh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score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8D6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8.28 ± 2.11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7F3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8.79 ± 1.76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E8A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  <w:t>0.041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03E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3EB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E79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8.50 ± 2.08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AB8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8.73 ± 1.77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D3A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0.360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705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0.133</w:t>
            </w:r>
          </w:p>
        </w:tc>
      </w:tr>
      <w:tr w14:paraId="722DE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768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Total blood loss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 (mL)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49D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796.10 ± 378.79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841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908.43 ± 412.88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BD2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  <w:t>0.017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A41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1FA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07B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854.23 ± 402.02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037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884.88 ± 393.71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F6C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0.552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29E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0.078</w:t>
            </w:r>
          </w:p>
        </w:tc>
      </w:tr>
      <w:tr w14:paraId="09D6C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A40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Variceal diameter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(cm)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083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1.03 ± 0.45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529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1.02 ± 0.44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1E4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  <w:t>0.828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85A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-0.027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694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4FE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1.00 ± 0.34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563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1.02 ± 0.45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6B8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0.744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2EA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0.035</w:t>
            </w:r>
          </w:p>
        </w:tc>
      </w:tr>
      <w:tr w14:paraId="5ED80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7E2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Spleen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thickness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(cm)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8FA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5.53 ± 0.90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C62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5.73 ± 0.74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FFC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  <w:t>0.054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A0B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0.274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FE6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E82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5.62 ± 0.85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456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5.74 ± 0.74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F7D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0.268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D3D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0.159</w:t>
            </w:r>
          </w:p>
        </w:tc>
      </w:tr>
      <w:tr w14:paraId="3C007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4FD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 xml:space="preserve">Risk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f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actor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08F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F1E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9CD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  <w:t>0.053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1A6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77A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B43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230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603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0.597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6C1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</w:tr>
      <w:tr w14:paraId="29101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180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Rf1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E13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183 (62.03)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FB2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45 (50.56)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1E8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93B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-0.229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B6F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DAF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112 (55.72)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D4C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45 (52.33)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8BE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8EC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-0.068</w:t>
            </w:r>
          </w:p>
        </w:tc>
      </w:tr>
      <w:tr w14:paraId="1C882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9C0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Rf2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86D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112 (37.97)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A5B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44 (49.44)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48B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4F4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0.229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B5C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290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89 (44.28)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90E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41 (47.67)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69F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C59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0.068</w:t>
            </w:r>
          </w:p>
        </w:tc>
      </w:tr>
      <w:tr w14:paraId="493D2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7DB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Portal vein thrombosis, n (%)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69E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A3E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606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1"/>
                <w:szCs w:val="21"/>
              </w:rPr>
              <w:t>&lt;.001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2D4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310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8EC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04E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C96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0.074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71E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</w:tr>
      <w:tr w14:paraId="2158D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D82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B95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67 (22.71)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0E3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38 (42.70)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68D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27E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0.404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3C2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BFA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60 (29.85)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3DF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35 (40.70)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A6E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6A3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0.221</w:t>
            </w:r>
          </w:p>
        </w:tc>
      </w:tr>
      <w:tr w14:paraId="005F9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85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7E4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6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2A3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228 (77.29)</w:t>
            </w:r>
          </w:p>
        </w:tc>
        <w:tc>
          <w:tcPr>
            <w:tcW w:w="62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B16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51 (57.30)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759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D7B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-0.404</w:t>
            </w:r>
          </w:p>
        </w:tc>
        <w:tc>
          <w:tcPr>
            <w:tcW w:w="6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A52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F8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141 (70.15)</w:t>
            </w:r>
          </w:p>
        </w:tc>
        <w:tc>
          <w:tcPr>
            <w:tcW w:w="69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686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51 (59.30)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684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B3D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-0.221</w:t>
            </w:r>
          </w:p>
        </w:tc>
      </w:tr>
      <w:tr w14:paraId="32CA3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5000" w:type="pct"/>
            <w:gridSpan w:val="10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56E81">
            <w:pP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able 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 xml:space="preserve"> Baseline characteristics of patients before and after PSM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Abbreviations: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 xml:space="preserve"> SET, Standard Endoscopic Therapy (octreotide-assisted endoscopic sclerotherapy/tissue adhesive injection); SET+TP, SET plus terlipressin.</w:t>
            </w:r>
          </w:p>
          <w:p w14:paraId="73B31D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22EEF9E9">
      <w:pPr>
        <w:rPr>
          <w:rFonts w:hint="default" w:ascii="Times New Roman" w:hAnsi="Times New Roman" w:eastAsia="宋体" w:cs="Times New Roman"/>
          <w:color w:val="000000"/>
          <w:szCs w:val="21"/>
        </w:rPr>
      </w:pPr>
    </w:p>
    <w:p w14:paraId="77B07270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</w:rPr>
        <w:t>T</w:t>
      </w: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>able S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</w:rPr>
        <w:t>Baseline characteristics of patients before and after PSM</w:t>
      </w:r>
    </w:p>
    <w:tbl>
      <w:tblPr>
        <w:tblStyle w:val="6"/>
        <w:tblpPr w:leftFromText="180" w:rightFromText="180" w:vertAnchor="text" w:horzAnchor="page" w:tblpX="1435" w:tblpY="40"/>
        <w:tblOverlap w:val="never"/>
        <w:tblW w:w="4992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6"/>
        <w:gridCol w:w="1677"/>
        <w:gridCol w:w="1681"/>
        <w:gridCol w:w="1037"/>
        <w:gridCol w:w="1137"/>
        <w:gridCol w:w="6"/>
        <w:gridCol w:w="1681"/>
        <w:gridCol w:w="1681"/>
        <w:gridCol w:w="1009"/>
        <w:gridCol w:w="1171"/>
      </w:tblGrid>
      <w:tr w14:paraId="38FE68E8">
        <w:trPr>
          <w:trHeight w:val="400" w:hRule="atLeast"/>
          <w:tblHeader/>
        </w:trPr>
        <w:tc>
          <w:tcPr>
            <w:tcW w:w="1025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060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Variable</w:t>
            </w:r>
          </w:p>
        </w:tc>
        <w:tc>
          <w:tcPr>
            <w:tcW w:w="1985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123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Before PSM</w:t>
            </w:r>
          </w:p>
        </w:tc>
        <w:tc>
          <w:tcPr>
            <w:tcW w:w="2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90B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86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9F8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After PSM</w:t>
            </w:r>
          </w:p>
        </w:tc>
      </w:tr>
      <w:tr w14:paraId="7F9A9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tblHeader/>
        </w:trPr>
        <w:tc>
          <w:tcPr>
            <w:tcW w:w="1025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E68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51B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SITT</w:t>
            </w:r>
          </w:p>
          <w:p w14:paraId="3288BA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(n = 204)</w:t>
            </w:r>
          </w:p>
        </w:tc>
        <w:tc>
          <w:tcPr>
            <w:tcW w:w="60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77B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SITT+TP</w:t>
            </w:r>
          </w:p>
          <w:p w14:paraId="41C22F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(n = 68)</w:t>
            </w:r>
          </w:p>
        </w:tc>
        <w:tc>
          <w:tcPr>
            <w:tcW w:w="37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429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i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40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57D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SMD</w:t>
            </w:r>
          </w:p>
        </w:tc>
        <w:tc>
          <w:tcPr>
            <w:tcW w:w="2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FFF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5CE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SITT</w:t>
            </w:r>
          </w:p>
          <w:p w14:paraId="35D533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(n = 124)</w:t>
            </w:r>
          </w:p>
        </w:tc>
        <w:tc>
          <w:tcPr>
            <w:tcW w:w="60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551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SITT+TP</w:t>
            </w:r>
          </w:p>
          <w:p w14:paraId="1A31D6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(n = 60)</w:t>
            </w:r>
          </w:p>
        </w:tc>
        <w:tc>
          <w:tcPr>
            <w:tcW w:w="36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ADC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i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41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EE3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SMD</w:t>
            </w:r>
          </w:p>
        </w:tc>
      </w:tr>
      <w:tr w14:paraId="7A10F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2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82C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PLT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（×10⁹/L）</w:t>
            </w:r>
          </w:p>
        </w:tc>
        <w:tc>
          <w:tcPr>
            <w:tcW w:w="60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EB2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88.62 ± 67.25</w:t>
            </w:r>
          </w:p>
        </w:tc>
        <w:tc>
          <w:tcPr>
            <w:tcW w:w="60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428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66.21 ± 32.71</w:t>
            </w:r>
          </w:p>
        </w:tc>
        <w:tc>
          <w:tcPr>
            <w:tcW w:w="37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6F8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  <w:t>&lt;.001</w:t>
            </w:r>
          </w:p>
        </w:tc>
        <w:tc>
          <w:tcPr>
            <w:tcW w:w="40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03C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-0.685</w:t>
            </w:r>
          </w:p>
        </w:tc>
        <w:tc>
          <w:tcPr>
            <w:tcW w:w="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7A6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726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71.60 ± 45.48</w:t>
            </w:r>
          </w:p>
        </w:tc>
        <w:tc>
          <w:tcPr>
            <w:tcW w:w="60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BB7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66.83 ± 33.41</w:t>
            </w:r>
          </w:p>
        </w:tc>
        <w:tc>
          <w:tcPr>
            <w:tcW w:w="36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8BC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0.470</w:t>
            </w:r>
          </w:p>
        </w:tc>
        <w:tc>
          <w:tcPr>
            <w:tcW w:w="41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6B7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-0.143</w:t>
            </w:r>
          </w:p>
        </w:tc>
      </w:tr>
      <w:tr w14:paraId="37EC0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C4D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Child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 xml:space="preserve">-pugh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score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0FB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7.98 ± 2.02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C04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8.40 ± 2.10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713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  <w:t>0.146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3D5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0.199</w:t>
            </w:r>
          </w:p>
        </w:tc>
        <w:tc>
          <w:tcPr>
            <w:tcW w:w="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675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4AB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8.23 ± 1.99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30C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8.42 ± 2.17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E5B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0.554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8B9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0.088</w:t>
            </w:r>
          </w:p>
        </w:tc>
      </w:tr>
      <w:tr w14:paraId="6C843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FE3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Total blood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loss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 (mL)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54D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713.48 ± 290.49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FDC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844.85 ± 346.75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649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  <w:t>0.002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6DA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0.379</w:t>
            </w:r>
          </w:p>
        </w:tc>
        <w:tc>
          <w:tcPr>
            <w:tcW w:w="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43D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C49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742.74 ± 287.81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5E6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812.50 ± 332.25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A6A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0.145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107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0.210</w:t>
            </w:r>
          </w:p>
        </w:tc>
      </w:tr>
      <w:tr w14:paraId="60B79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5FB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Variceal diameter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 (cm)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E77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1.06 ± 0.33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24A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1.18 ± 0.35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12A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  <w:t>0.012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B3A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0.340</w:t>
            </w:r>
          </w:p>
        </w:tc>
        <w:tc>
          <w:tcPr>
            <w:tcW w:w="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62C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669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1.11 ± 0.38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3A0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1.17 ± 0.36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7B8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0.290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211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0.174</w:t>
            </w:r>
          </w:p>
        </w:tc>
      </w:tr>
      <w:tr w14:paraId="7DADD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690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 xml:space="preserve">Risk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f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actor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B8B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5F5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04F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  <w:t>0.084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310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E80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110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747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710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0.906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52A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</w:tr>
      <w:tr w14:paraId="732D6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415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Rf1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3EF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133 (65.20)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39C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52 (76.47)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FC1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EDD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809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177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92 (74.19)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352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45 (75.00)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C41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E51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0.019</w:t>
            </w:r>
          </w:p>
        </w:tc>
      </w:tr>
      <w:tr w14:paraId="56606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8E3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Rf2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39B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71 (34.80)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5B0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16 (23.53)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B16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D79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-0.266</w:t>
            </w:r>
          </w:p>
        </w:tc>
        <w:tc>
          <w:tcPr>
            <w:tcW w:w="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173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A24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32 (25.81)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0FC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15 (25.00)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A31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821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-0.019</w:t>
            </w:r>
          </w:p>
        </w:tc>
      </w:tr>
      <w:tr w14:paraId="26E40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AC1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Portal vein thrombosis, n (%)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8C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8BA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D66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1"/>
                <w:szCs w:val="21"/>
              </w:rPr>
              <w:t>0.029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F66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7F9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43C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E8F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68F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0.448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C09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</w:tr>
      <w:tr w14:paraId="697C2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21D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B69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35 (17.16)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802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20 (29.41)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4E8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0C3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0.269</w:t>
            </w:r>
          </w:p>
        </w:tc>
        <w:tc>
          <w:tcPr>
            <w:tcW w:w="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38B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677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23 (18.55)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8CF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14 (23.33)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E7B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566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0.113</w:t>
            </w:r>
          </w:p>
        </w:tc>
      </w:tr>
      <w:tr w14:paraId="238D3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02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BA7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398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169 (82.84)</w:t>
            </w:r>
          </w:p>
        </w:tc>
        <w:tc>
          <w:tcPr>
            <w:tcW w:w="60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772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48 (70.59)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BA2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403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-0.269</w:t>
            </w:r>
          </w:p>
        </w:tc>
        <w:tc>
          <w:tcPr>
            <w:tcW w:w="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E01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F43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101 (81.45)</w:t>
            </w:r>
          </w:p>
        </w:tc>
        <w:tc>
          <w:tcPr>
            <w:tcW w:w="60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525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46 (76.67)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9DD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A6A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-0.113</w:t>
            </w:r>
          </w:p>
        </w:tc>
      </w:tr>
      <w:tr w14:paraId="401B3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000" w:type="pct"/>
            <w:gridSpan w:val="10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5F49F">
            <w:pP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able 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Baseline characteristics of patients before and after PSM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Abbreviations: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SITT, Standard Interventional Therapy (octreotide combined with TIPS and gastric coronary vein embolization); SITT+TP, SITT plus terlipressin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</w:tc>
      </w:tr>
    </w:tbl>
    <w:p w14:paraId="6A60533F">
      <w:pPr>
        <w:ind w:firstLine="420" w:firstLineChars="200"/>
        <w:rPr>
          <w:rFonts w:hint="default" w:ascii="Times New Roman" w:hAnsi="Times New Roman" w:eastAsia="宋体" w:cs="Times New Roman"/>
          <w:color w:val="000000"/>
          <w:szCs w:val="21"/>
        </w:rPr>
      </w:pPr>
    </w:p>
    <w:p w14:paraId="52A31376">
      <w:pPr>
        <w:rPr>
          <w:rFonts w:hint="default" w:ascii="Times New Roman" w:hAnsi="Times New Roman" w:cs="Times New Roman"/>
        </w:rPr>
      </w:pPr>
    </w:p>
    <w:p w14:paraId="3ED12BB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2152F858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 Multivariate analysis: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 xml:space="preserve"> c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t xml:space="preserve">omparison of 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  <w:lang w:val="en-US" w:eastAsia="zh-CN"/>
        </w:rPr>
        <w:t>the risk of rebleeding within six weeks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t xml:space="preserve"> between the 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  <w:lang w:val="en-US" w:eastAsia="zh-CN"/>
        </w:rPr>
        <w:t>SITT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t xml:space="preserve"> group and the 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  <w:lang w:val="en-US" w:eastAsia="zh-CN"/>
        </w:rPr>
        <w:t>SET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t xml:space="preserve"> group</w:t>
      </w:r>
    </w:p>
    <w:tbl>
      <w:tblPr>
        <w:tblStyle w:val="6"/>
        <w:tblW w:w="13778" w:type="dxa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92"/>
        <w:gridCol w:w="1028"/>
        <w:gridCol w:w="3865"/>
        <w:gridCol w:w="250"/>
        <w:gridCol w:w="1190"/>
        <w:gridCol w:w="3453"/>
      </w:tblGrid>
      <w:tr w14:paraId="3D49C2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3992" w:type="dxa"/>
            <w:vMerge w:val="restart"/>
            <w:tcBorders>
              <w:top w:val="single" w:color="auto" w:sz="8" w:space="0"/>
            </w:tcBorders>
            <w:shd w:val="clear" w:color="auto" w:fill="FFFFFF"/>
            <w:vAlign w:val="center"/>
          </w:tcPr>
          <w:p w14:paraId="615BDB7B">
            <w:pPr>
              <w:pStyle w:val="5"/>
              <w:widowControl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Variables</w:t>
            </w:r>
          </w:p>
        </w:tc>
        <w:tc>
          <w:tcPr>
            <w:tcW w:w="4893" w:type="dxa"/>
            <w:gridSpan w:val="2"/>
            <w:tcBorders>
              <w:top w:val="single" w:color="auto" w:sz="8" w:space="0"/>
              <w:bottom w:val="single" w:color="000000" w:sz="4" w:space="0"/>
            </w:tcBorders>
            <w:shd w:val="clear" w:color="auto" w:fill="FFFFFF"/>
            <w:vAlign w:val="center"/>
          </w:tcPr>
          <w:p w14:paraId="112393F4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Univariate Logistic analysis</w:t>
            </w:r>
          </w:p>
        </w:tc>
        <w:tc>
          <w:tcPr>
            <w:tcW w:w="4893" w:type="dxa"/>
            <w:gridSpan w:val="3"/>
            <w:tcBorders>
              <w:top w:val="single" w:color="auto" w:sz="8" w:space="0"/>
              <w:bottom w:val="single" w:color="000000" w:sz="4" w:space="0"/>
            </w:tcBorders>
            <w:shd w:val="clear" w:color="auto" w:fill="FFFFFF"/>
            <w:vAlign w:val="center"/>
          </w:tcPr>
          <w:p w14:paraId="1E947095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Multivariate Logistic analysis</w:t>
            </w:r>
          </w:p>
        </w:tc>
      </w:tr>
      <w:tr w14:paraId="474F5E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92" w:type="dxa"/>
            <w:vMerge w:val="continue"/>
            <w:tcBorders>
              <w:bottom w:val="single" w:color="auto" w:sz="8" w:space="0"/>
            </w:tcBorders>
            <w:shd w:val="clear" w:color="auto" w:fill="FFFFFF"/>
            <w:vAlign w:val="center"/>
          </w:tcPr>
          <w:p w14:paraId="57E88A9E">
            <w:pPr>
              <w:pStyle w:val="5"/>
              <w:widowControl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12E1AC3F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4115" w:type="dxa"/>
            <w:gridSpan w:val="2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7699BB8F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R (95%CI)</w:t>
            </w:r>
          </w:p>
        </w:tc>
        <w:tc>
          <w:tcPr>
            <w:tcW w:w="1190" w:type="dxa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62559EE4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3453" w:type="dxa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09BD8977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R (95%CI)</w:t>
            </w:r>
          </w:p>
        </w:tc>
      </w:tr>
      <w:tr w14:paraId="3188B4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399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43BD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Treatment</w:t>
            </w:r>
          </w:p>
        </w:tc>
        <w:tc>
          <w:tcPr>
            <w:tcW w:w="102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45C89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5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791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FD6D3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5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3E4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2C1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EA5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SET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DF9E3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B3F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A59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D75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</w:tr>
      <w:tr w14:paraId="71A40E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19B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SITT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90C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</w:t>
            </w: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401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 (0.19 ~ 0.75)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761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38A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 (0.15 ~ 0.65)</w:t>
            </w:r>
          </w:p>
        </w:tc>
      </w:tr>
      <w:tr w14:paraId="791BFA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CC19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Hepatocellular carcinoma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(HCC)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EB757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FD93F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BB23B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CE5C5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35D4E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DD8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Non-HCC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E6535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1EA2A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A20DE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888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</w:tr>
      <w:tr w14:paraId="21C6E1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01F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HCC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983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0.021</w:t>
            </w: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225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2.23 (1.13 ~ 4.41)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127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0.038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1B8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2.13 (1.04 ~ 4.34)</w:t>
            </w:r>
          </w:p>
        </w:tc>
      </w:tr>
      <w:tr w14:paraId="0CCAA6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9C7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 xml:space="preserve">Risk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f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actor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CE3B3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42D683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91B12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B12F5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9952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D18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Rf1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41FCF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17C4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06365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CAE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</w:tr>
      <w:tr w14:paraId="3DA58C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F6A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Rf2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B3F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</w:t>
            </w: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B02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2.69 (1.43 ~ 5.06)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110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0.014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613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2.32 (1.19 ~ 4.54)</w:t>
            </w:r>
          </w:p>
        </w:tc>
      </w:tr>
      <w:tr w14:paraId="5A081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D95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Portal vein thrombosis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 (PVT)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7FE4B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670E1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493E4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6D1F0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E9104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F58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PVT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80EE58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EDC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1DE26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72510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6289B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953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Non-PVT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D72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0.905</w:t>
            </w: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9C9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0.95 (0.44 ~ 2.08)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2EE1A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838DD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5B77E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F13B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Shock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7C8D18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0D0BC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85F5A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7EABAC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92164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FDC8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3636F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214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2FB20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F74F6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08C0A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E34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4D1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0.526</w:t>
            </w: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41F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 (0.53 ~ 3.46)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99271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D80FB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C721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B750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FD2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0.541</w:t>
            </w: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BDF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 (0.97 ~ 1.02)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95645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F42D0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56864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91D6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PLT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3F1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0.848</w:t>
            </w: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D5D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(1.00 ~ 1.01)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F6991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C3F15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F464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9203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Child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 xml:space="preserve">-pugh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score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4BC9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0.018</w:t>
            </w: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AF8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1.18 (1.03 ~ 1.36)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B33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0.146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DF1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1.11 (0.96 ~ 1.28)</w:t>
            </w:r>
          </w:p>
        </w:tc>
      </w:tr>
      <w:tr w14:paraId="7E3AB3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1CB0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Variceal diameter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312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&lt;.001</w:t>
            </w:r>
          </w:p>
        </w:tc>
        <w:tc>
          <w:tcPr>
            <w:tcW w:w="4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9FAF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2.72 (1.70 ~ 4.37)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7F6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A89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2.38 (1.40 ~ 4.05)</w:t>
            </w:r>
          </w:p>
        </w:tc>
      </w:tr>
      <w:tr w14:paraId="4239A5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399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bottom"/>
          </w:tcPr>
          <w:p w14:paraId="3A821B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Portal vein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diameter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bottom"/>
          </w:tcPr>
          <w:p w14:paraId="4B894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0.013</w:t>
            </w:r>
          </w:p>
        </w:tc>
        <w:tc>
          <w:tcPr>
            <w:tcW w:w="4115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bottom"/>
          </w:tcPr>
          <w:p w14:paraId="684B4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3.78 (1.32 ~ 10.79)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bottom"/>
          </w:tcPr>
          <w:p w14:paraId="2C198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</w:t>
            </w:r>
          </w:p>
        </w:tc>
        <w:tc>
          <w:tcPr>
            <w:tcW w:w="345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bottom"/>
          </w:tcPr>
          <w:p w14:paraId="3E1A4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5.35 (1.53 ~ 18.75)</w:t>
            </w:r>
          </w:p>
        </w:tc>
      </w:tr>
    </w:tbl>
    <w:p w14:paraId="476717A7">
      <w:pPr>
        <w:rPr>
          <w:rFonts w:hint="default" w:ascii="Times New Roman" w:hAnsi="Times New Roman" w:cs="Times New Roman" w:eastAsiaTheme="minorEastAsia"/>
          <w:b/>
          <w:bCs/>
          <w:color w:val="00000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 Multivariate analysis: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 xml:space="preserve"> c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t xml:space="preserve">omparison of 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  <w:lang w:val="en-US" w:eastAsia="zh-CN"/>
        </w:rPr>
        <w:t>the risk of rebleeding within six weeks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t xml:space="preserve"> between the 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  <w:lang w:val="en-US" w:eastAsia="zh-CN"/>
        </w:rPr>
        <w:t>SITT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t xml:space="preserve"> group and the 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  <w:lang w:val="en-US" w:eastAsia="zh-CN"/>
        </w:rPr>
        <w:t>SET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t xml:space="preserve"> group</w:t>
      </w:r>
      <w:r>
        <w:rPr>
          <w:rFonts w:hint="eastAsia" w:ascii="Times New Roman" w:hAnsi="Times New Roman" w:eastAsia="宋体" w:cs="Times New Roman"/>
          <w:b/>
          <w:bCs/>
          <w:color w:val="000000"/>
          <w:sz w:val="22"/>
          <w:szCs w:val="22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color w:val="000000"/>
          <w:sz w:val="24"/>
        </w:rPr>
        <w:t>Abbreviations:</w:t>
      </w:r>
      <w:r>
        <w:rPr>
          <w:rFonts w:hint="default" w:ascii="Times New Roman" w:hAnsi="Times New Roman" w:eastAsia="宋体" w:cs="Times New Roman"/>
          <w:color w:val="000000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2"/>
          <w:szCs w:val="22"/>
        </w:rPr>
        <w:t>SET, Standard Endoscopic Therapy; SITT, Standard Interventional Therapy</w:t>
      </w:r>
      <w:r>
        <w:rPr>
          <w:rFonts w:hint="default" w:ascii="Times New Roman" w:hAnsi="Times New Roman" w:eastAsia="宋体" w:cs="Times New Roman"/>
          <w:color w:val="000000"/>
          <w:sz w:val="22"/>
          <w:szCs w:val="22"/>
          <w:lang w:val="en-US" w:eastAsia="zh-CN"/>
        </w:rPr>
        <w:t>.</w:t>
      </w:r>
    </w:p>
    <w:p w14:paraId="554C1319">
      <w:pPr>
        <w:rPr>
          <w:rFonts w:hint="default" w:ascii="Times New Roman" w:hAnsi="Times New Roman" w:cs="Times New Roman" w:eastAsiaTheme="minorEastAsia"/>
          <w:b/>
          <w:bCs/>
          <w:color w:val="000000"/>
          <w:sz w:val="22"/>
          <w:szCs w:val="2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9D92A5D">
      <w:pP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</w:pPr>
    </w:p>
    <w:p w14:paraId="3603F1D2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 Multivariate analysis: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 xml:space="preserve"> c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omparison of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the risk of rebleeding or death within six weeks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 between the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SITT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 group and the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SET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 group</w:t>
      </w:r>
    </w:p>
    <w:tbl>
      <w:tblPr>
        <w:tblStyle w:val="6"/>
        <w:tblW w:w="13539" w:type="dxa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3"/>
        <w:gridCol w:w="1010"/>
        <w:gridCol w:w="3798"/>
        <w:gridCol w:w="246"/>
        <w:gridCol w:w="1171"/>
        <w:gridCol w:w="3391"/>
      </w:tblGrid>
      <w:tr w14:paraId="51960D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vMerge w:val="restart"/>
            <w:tcBorders>
              <w:top w:val="single" w:color="auto" w:sz="8" w:space="0"/>
            </w:tcBorders>
            <w:shd w:val="clear" w:color="auto" w:fill="FFFFFF"/>
            <w:vAlign w:val="center"/>
          </w:tcPr>
          <w:p w14:paraId="171CED2E">
            <w:pPr>
              <w:pStyle w:val="5"/>
              <w:widowControl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Variables</w:t>
            </w:r>
          </w:p>
        </w:tc>
        <w:tc>
          <w:tcPr>
            <w:tcW w:w="4808" w:type="dxa"/>
            <w:gridSpan w:val="2"/>
            <w:tcBorders>
              <w:top w:val="single" w:color="auto" w:sz="8" w:space="0"/>
              <w:bottom w:val="single" w:color="000000" w:sz="4" w:space="0"/>
            </w:tcBorders>
            <w:shd w:val="clear" w:color="auto" w:fill="FFFFFF"/>
            <w:vAlign w:val="center"/>
          </w:tcPr>
          <w:p w14:paraId="22852AEC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Univariate Logistic analysis</w:t>
            </w:r>
          </w:p>
        </w:tc>
        <w:tc>
          <w:tcPr>
            <w:tcW w:w="4808" w:type="dxa"/>
            <w:gridSpan w:val="3"/>
            <w:tcBorders>
              <w:top w:val="single" w:color="auto" w:sz="8" w:space="0"/>
              <w:bottom w:val="single" w:color="000000" w:sz="4" w:space="0"/>
            </w:tcBorders>
            <w:shd w:val="clear" w:color="auto" w:fill="FFFFFF"/>
            <w:vAlign w:val="center"/>
          </w:tcPr>
          <w:p w14:paraId="67248E65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Multivariate Logistic analysis</w:t>
            </w:r>
          </w:p>
        </w:tc>
      </w:tr>
      <w:tr w14:paraId="067A27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vMerge w:val="continue"/>
            <w:tcBorders>
              <w:bottom w:val="single" w:color="auto" w:sz="8" w:space="0"/>
            </w:tcBorders>
            <w:shd w:val="clear" w:color="auto" w:fill="FFFFFF"/>
            <w:vAlign w:val="center"/>
          </w:tcPr>
          <w:p w14:paraId="0540B492">
            <w:pPr>
              <w:pStyle w:val="5"/>
              <w:widowControl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0CE8F983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4044" w:type="dxa"/>
            <w:gridSpan w:val="2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336E068D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R (95%CI)</w:t>
            </w:r>
          </w:p>
        </w:tc>
        <w:tc>
          <w:tcPr>
            <w:tcW w:w="1171" w:type="dxa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3B0B4A8A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3391" w:type="dxa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3D367233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R (95%CI)</w:t>
            </w:r>
          </w:p>
        </w:tc>
      </w:tr>
      <w:tr w14:paraId="18E5EE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90A0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Treatment</w:t>
            </w:r>
          </w:p>
        </w:tc>
        <w:tc>
          <w:tcPr>
            <w:tcW w:w="101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15537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44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5A4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85F2E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9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2E6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32DC9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C66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SET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13C0EC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5FC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54844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88A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</w:tr>
      <w:tr w14:paraId="6264FD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6C0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SITT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095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0.047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D5B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 (0.29 ~ 0.99)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3A3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0.022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3E3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0.47 (0.25 ~ 0.90)</w:t>
            </w:r>
          </w:p>
        </w:tc>
      </w:tr>
      <w:tr w14:paraId="166E1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A31F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Hepatocellular carcinoma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(HCC)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7F4E2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D21B1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6434C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3565A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78523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8FF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Non-HCC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50615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F2B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24726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CAC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</w:tr>
      <w:tr w14:paraId="44D34C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1DC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HCC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AB4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D9D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2.58 (1.39 ~ 4.79)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A06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E3E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2.54 (1.32 ~ 4.90)</w:t>
            </w:r>
          </w:p>
        </w:tc>
      </w:tr>
      <w:tr w14:paraId="19AAEE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0C1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 xml:space="preserve">Risk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f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actor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9A45A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4874C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3EAED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82167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91EC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161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Rf1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1C42A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956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47730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94CD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</w:tr>
      <w:tr w14:paraId="2752E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39D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Rf2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AAF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742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2.61 (1.45 ~ 4.70)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660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0.023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BEE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2.05 (1.10 ~ 3.81)</w:t>
            </w:r>
          </w:p>
        </w:tc>
      </w:tr>
      <w:tr w14:paraId="6D21D5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215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Portal vein thrombosis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 (PVT)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24E35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0ABA9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30A9C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495687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E31F7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FCE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PVT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BF934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2ED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540B2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9359C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9F82F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73D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Non-PVT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12AC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0.703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157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1.16 (0.54 ~ 2.49)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ABB5B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BDE3B3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17D8B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3398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Shock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8326D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8CBF4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5A39C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DE7A8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2A07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923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15195C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63C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04800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C0A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</w:tr>
      <w:tr w14:paraId="7CD04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7615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4E5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DF7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2.97 (1.47 ~ 5.99)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7FF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0.037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C8F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 (1.05 ~ 4.44)</w:t>
            </w:r>
          </w:p>
        </w:tc>
      </w:tr>
      <w:tr w14:paraId="4EF57E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7381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BEA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0.752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DF9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(0.98 ~ 1.03)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05B8A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6B8A8C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1AC2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B5B3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733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0.452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B43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(1.00 ~ 1.01)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A8EDD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14A508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D6312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4A01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Child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 xml:space="preserve">-pugh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score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D12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&lt;.001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DF3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1.28 (1.13 ~ 1.46)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7AB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3A7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1.18 (1.04 ~ 1.34)</w:t>
            </w:r>
          </w:p>
        </w:tc>
      </w:tr>
      <w:tr w14:paraId="79B6B1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7FDD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Variceal diameter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4FD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&lt;.001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954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2.72 (1.78 ~ 4.17)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F89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&lt;.001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E25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2.46 (1.52 ~ 4.00)</w:t>
            </w:r>
          </w:p>
        </w:tc>
      </w:tr>
      <w:tr w14:paraId="07DF0B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2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bottom"/>
          </w:tcPr>
          <w:p w14:paraId="2B7086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Portal vein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diameter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bottom"/>
          </w:tcPr>
          <w:p w14:paraId="00788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0.042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bottom"/>
          </w:tcPr>
          <w:p w14:paraId="1098A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2.92 (1.04 ~ 8.19)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bottom"/>
          </w:tcPr>
          <w:p w14:paraId="3A497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0.153</w:t>
            </w:r>
          </w:p>
        </w:tc>
        <w:tc>
          <w:tcPr>
            <w:tcW w:w="339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bottom"/>
          </w:tcPr>
          <w:p w14:paraId="2BB30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2.44 (0.72 ~ 8.27)</w:t>
            </w:r>
          </w:p>
        </w:tc>
      </w:tr>
    </w:tbl>
    <w:p w14:paraId="02C6DE11">
      <w:pPr>
        <w:rPr>
          <w:rFonts w:hint="default" w:ascii="Times New Roman" w:hAnsi="Times New Roman" w:eastAsia="宋体" w:cs="Times New Roman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 Multivariate analysis: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 xml:space="preserve"> c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omparison of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the risk of rebleeding or death within six weeks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 between the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SITT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 group and the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SET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 group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color w:val="000000"/>
          <w:sz w:val="24"/>
        </w:rPr>
        <w:t>Abbreviations:</w:t>
      </w:r>
      <w:r>
        <w:rPr>
          <w:rFonts w:hint="default" w:ascii="Times New Roman" w:hAnsi="Times New Roman" w:eastAsia="宋体" w:cs="Times New Roman"/>
          <w:color w:val="000000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2"/>
          <w:szCs w:val="22"/>
        </w:rPr>
        <w:t>SET, Standard Endoscopic Therapy; SITT, Standard Interventional Therapy</w:t>
      </w:r>
      <w:r>
        <w:rPr>
          <w:rFonts w:hint="default" w:ascii="Times New Roman" w:hAnsi="Times New Roman" w:eastAsia="宋体" w:cs="Times New Roman"/>
          <w:color w:val="000000"/>
          <w:sz w:val="22"/>
          <w:szCs w:val="22"/>
          <w:lang w:val="en-US" w:eastAsia="zh-CN"/>
        </w:rPr>
        <w:t>.</w:t>
      </w:r>
    </w:p>
    <w:p w14:paraId="477B7328"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 Multivariate analysis: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 xml:space="preserve"> c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omparison of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the risk of rebleeding beyond six weeks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 between the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SITT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 group and the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SET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 group</w:t>
      </w:r>
    </w:p>
    <w:tbl>
      <w:tblPr>
        <w:tblStyle w:val="6"/>
        <w:tblW w:w="13599" w:type="dxa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1"/>
        <w:gridCol w:w="1015"/>
        <w:gridCol w:w="3814"/>
        <w:gridCol w:w="247"/>
        <w:gridCol w:w="1176"/>
        <w:gridCol w:w="3406"/>
      </w:tblGrid>
      <w:tr w14:paraId="0CA008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941" w:type="dxa"/>
            <w:vMerge w:val="restart"/>
            <w:tcBorders>
              <w:top w:val="single" w:color="auto" w:sz="8" w:space="0"/>
            </w:tcBorders>
            <w:shd w:val="clear" w:color="auto" w:fill="FFFFFF"/>
            <w:vAlign w:val="center"/>
          </w:tcPr>
          <w:p w14:paraId="1455270E">
            <w:pPr>
              <w:pStyle w:val="5"/>
              <w:widowControl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Variables</w:t>
            </w:r>
          </w:p>
        </w:tc>
        <w:tc>
          <w:tcPr>
            <w:tcW w:w="4829" w:type="dxa"/>
            <w:gridSpan w:val="2"/>
            <w:tcBorders>
              <w:top w:val="single" w:color="auto" w:sz="8" w:space="0"/>
              <w:bottom w:val="single" w:color="000000" w:sz="4" w:space="0"/>
            </w:tcBorders>
            <w:shd w:val="clear" w:color="auto" w:fill="FFFFFF"/>
            <w:vAlign w:val="center"/>
          </w:tcPr>
          <w:p w14:paraId="2D06FE61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Univariate Logistic analysis</w:t>
            </w:r>
          </w:p>
        </w:tc>
        <w:tc>
          <w:tcPr>
            <w:tcW w:w="4829" w:type="dxa"/>
            <w:gridSpan w:val="3"/>
            <w:tcBorders>
              <w:top w:val="single" w:color="auto" w:sz="8" w:space="0"/>
              <w:bottom w:val="single" w:color="000000" w:sz="4" w:space="0"/>
            </w:tcBorders>
            <w:shd w:val="clear" w:color="auto" w:fill="FFFFFF"/>
            <w:vAlign w:val="center"/>
          </w:tcPr>
          <w:p w14:paraId="40344676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Multivariate Logistic analysis</w:t>
            </w:r>
          </w:p>
        </w:tc>
      </w:tr>
      <w:tr w14:paraId="6794B3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3941" w:type="dxa"/>
            <w:vMerge w:val="continue"/>
            <w:tcBorders>
              <w:bottom w:val="single" w:color="auto" w:sz="8" w:space="0"/>
            </w:tcBorders>
            <w:shd w:val="clear" w:color="auto" w:fill="FFFFFF"/>
            <w:vAlign w:val="center"/>
          </w:tcPr>
          <w:p w14:paraId="285E46DB">
            <w:pPr>
              <w:pStyle w:val="5"/>
              <w:widowControl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366C584B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4061" w:type="dxa"/>
            <w:gridSpan w:val="2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4B764D46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R (95%CI)</w:t>
            </w:r>
          </w:p>
        </w:tc>
        <w:tc>
          <w:tcPr>
            <w:tcW w:w="1176" w:type="dxa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68F7025B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3406" w:type="dxa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1C30AEED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R (95%CI)</w:t>
            </w:r>
          </w:p>
        </w:tc>
      </w:tr>
      <w:tr w14:paraId="4679CA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94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F6C6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Treatment</w:t>
            </w:r>
          </w:p>
        </w:tc>
        <w:tc>
          <w:tcPr>
            <w:tcW w:w="101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27B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61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7C8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7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CC2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0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328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08F6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6F2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SET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B84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B34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9B4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D7D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</w:tr>
      <w:tr w14:paraId="7464CE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AFA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SITT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498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&lt;.001</w:t>
            </w: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106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 (0.15 ~ 0.39)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237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&lt;.001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FDB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 (0.14 ~ 0.38)</w:t>
            </w:r>
          </w:p>
        </w:tc>
      </w:tr>
      <w:tr w14:paraId="63E3CC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2DBF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Hepatocellular carcinoma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(HCC)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9E1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1DD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ABD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93B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72C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55C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Non-HCC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870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F60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6D1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47D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A5BA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751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HCC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27A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0.052</w:t>
            </w: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EBF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1.60 (1.00 ~ 2.57)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0528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1286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C5D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B23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 xml:space="preserve">Risk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f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actor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0DE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3B1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0CB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9BE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973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3C4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Rf1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885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AE4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B7E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019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</w:tr>
      <w:tr w14:paraId="227D9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FA60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Rf2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B4A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0.021</w:t>
            </w: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BDD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 (1.07 ~ 2.35)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0B2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0.184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5BB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1.33 (0.87 ~ 2.02)</w:t>
            </w:r>
          </w:p>
        </w:tc>
      </w:tr>
      <w:tr w14:paraId="4C3428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D28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Portal vein thrombosis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 (PVT)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CB4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EAD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738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F7D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9676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C09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PVT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67D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66B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102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FEB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</w:tr>
      <w:tr w14:paraId="0E212C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52F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Non-PVT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B57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0.013</w:t>
            </w: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072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 (0.38 ~ 0.89)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1C0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0.452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6EB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 (0.54 ~ 1.31)</w:t>
            </w:r>
          </w:p>
        </w:tc>
      </w:tr>
      <w:tr w14:paraId="223E73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286D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Shock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CDD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7A8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EAD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0FE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283E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D13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A3D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DA6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(Reference)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CC3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78B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A95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088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0.395</w:t>
            </w: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19B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1.33 (0.69 ~ 2.55)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410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43B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31E4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DDB0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485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0.758</w:t>
            </w: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368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(0.98 ~ 1.01)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A87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E8D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4A3AC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3A48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3E7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0.504</w:t>
            </w: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7AA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(1.00 ~ 1.00)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793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D78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760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495B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Child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 xml:space="preserve">-pugh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score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9E2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0.027</w:t>
            </w: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A20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1.11 (1.01 ~ 1.21)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15E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0.388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AC8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1.04 (0.95 ~ 1.14)</w:t>
            </w:r>
          </w:p>
        </w:tc>
      </w:tr>
      <w:tr w14:paraId="0C852D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CF56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Variceal diameter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E81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&lt;.001</w:t>
            </w:r>
          </w:p>
        </w:tc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03F2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2.41 (1.67 ~ 3.47)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F1D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1F0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 (1.32 ~ 3.03)</w:t>
            </w:r>
          </w:p>
        </w:tc>
      </w:tr>
      <w:tr w14:paraId="55C16C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94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bottom"/>
          </w:tcPr>
          <w:p w14:paraId="68EE9E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Portal vein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diameter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bottom"/>
          </w:tcPr>
          <w:p w14:paraId="71E6F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0.034</w:t>
            </w:r>
          </w:p>
        </w:tc>
        <w:tc>
          <w:tcPr>
            <w:tcW w:w="4061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bottom"/>
          </w:tcPr>
          <w:p w14:paraId="29DB3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2.27 (1.06 ~ 4.85)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bottom"/>
          </w:tcPr>
          <w:p w14:paraId="600C2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bottom"/>
          </w:tcPr>
          <w:p w14:paraId="01609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3.46 (1.42 ~ 8.45)</w:t>
            </w:r>
          </w:p>
        </w:tc>
      </w:tr>
    </w:tbl>
    <w:p w14:paraId="33F8FF88">
      <w:pP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 Multivariate analysis: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 xml:space="preserve"> c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omparison of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the risk of rebleeding beyond six weeks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 between the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SITT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 group and the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SET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 group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color w:val="000000"/>
          <w:sz w:val="24"/>
        </w:rPr>
        <w:t>Abbreviations:</w:t>
      </w:r>
      <w:r>
        <w:rPr>
          <w:rFonts w:hint="default" w:ascii="Times New Roman" w:hAnsi="Times New Roman" w:eastAsia="宋体" w:cs="Times New Roman"/>
          <w:color w:val="000000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2"/>
          <w:szCs w:val="22"/>
        </w:rPr>
        <w:t>SET, Standard Endoscopic Therapy; SITT, Standard Interventional Therapy</w:t>
      </w:r>
    </w:p>
    <w:p w14:paraId="57E700B3">
      <w:pPr>
        <w:ind w:firstLine="211" w:firstLineChars="10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Analysis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 of efficacy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 xml:space="preserve"> and safety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 between the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SET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 group and the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SITT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 group</w:t>
      </w:r>
    </w:p>
    <w:tbl>
      <w:tblPr>
        <w:tblStyle w:val="6"/>
        <w:tblW w:w="499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5"/>
        <w:gridCol w:w="2086"/>
        <w:gridCol w:w="1988"/>
        <w:gridCol w:w="2036"/>
        <w:gridCol w:w="1251"/>
        <w:gridCol w:w="1019"/>
      </w:tblGrid>
      <w:tr w14:paraId="3BD97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1997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98BE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747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7536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Total (n =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354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712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5715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SET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 (n =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177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729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1D22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SITT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(n =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177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448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3F82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>Statistic</w:t>
            </w:r>
          </w:p>
        </w:tc>
        <w:tc>
          <w:tcPr>
            <w:tcW w:w="365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3D2D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bCs/>
                <w:i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sz w:val="21"/>
                <w:szCs w:val="21"/>
              </w:rPr>
              <w:t>P</w:t>
            </w:r>
          </w:p>
        </w:tc>
      </w:tr>
      <w:tr w14:paraId="17E7E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1997" w:type="pct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9CF0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747" w:type="pct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F458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right="40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712" w:type="pct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EB7B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right="40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729" w:type="pct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D945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right="40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448" w:type="pct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C67C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right="40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B8A6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right="40"/>
              <w:jc w:val="center"/>
              <w:textAlignment w:val="auto"/>
              <w:rPr>
                <w:rFonts w:hint="default" w:ascii="Times New Roman" w:hAnsi="Times New Roman" w:eastAsia="Times New Roman" w:cs="Times New Roman"/>
                <w:i/>
                <w:sz w:val="21"/>
                <w:szCs w:val="21"/>
              </w:rPr>
            </w:pPr>
          </w:p>
        </w:tc>
      </w:tr>
      <w:tr w14:paraId="331A1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46F7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Rebleeding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within 5 days</w:t>
            </w:r>
          </w:p>
        </w:tc>
        <w:tc>
          <w:tcPr>
            <w:tcW w:w="74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48E9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right="4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1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4733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right="4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EA86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right="4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44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65DE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right="4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χ²=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0.71</w:t>
            </w:r>
          </w:p>
        </w:tc>
        <w:tc>
          <w:tcPr>
            <w:tcW w:w="365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C948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right="4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0.397</w:t>
            </w:r>
          </w:p>
        </w:tc>
      </w:tr>
      <w:tr w14:paraId="47377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BA77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0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Rebleeding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3EC4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right="4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4.24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F48D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right="4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8(4.52)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7D66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right="4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5(2.82)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E106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right="40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6DB7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right="40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 w14:paraId="7430C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67B5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00" w:left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Non-rebleeding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D6B4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341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95.76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2E3D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169(95.48)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E059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172(97.18)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5833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F66C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1EA3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1CD5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Rebleeding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within 6 weeks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08D6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D678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A55F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8230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χ²=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8.33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8B12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0.00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</w:tr>
      <w:tr w14:paraId="2840F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0B48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00" w:left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Rebleeding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A381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39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11.02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6737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15.82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3A2B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6.21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F98C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B0E0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9AC4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BF7A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00" w:left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Non-rebleeding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B483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315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88.98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6EFF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149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84.18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ABEF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166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93.79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CF9E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D8F5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16FB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91D3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Death within 6 weeks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F64E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854B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CF2C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85E9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χ²=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0.08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ADAA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0.778</w:t>
            </w:r>
          </w:p>
        </w:tc>
      </w:tr>
      <w:tr w14:paraId="2E65E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BC5B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0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Death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9F26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3.67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B23C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3.95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5B6F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3.39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63CE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6E22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5B12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6C50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00" w:left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Non-death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5AF7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341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96.33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0507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170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96.05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9B92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171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96.61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532C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5F8E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B882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6083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Rebleeding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beyond 6 weeks (within 1 years)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00A0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9FE2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3391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7F1A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χ²=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27.53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55FC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&lt;0.001</w:t>
            </w:r>
          </w:p>
        </w:tc>
      </w:tr>
      <w:tr w14:paraId="4C020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1B96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00" w:left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Rebleeding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0DA2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84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23.73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EFAA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63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35.59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9FF7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11.86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54E3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2681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DF84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2433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00" w:left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Non-rebleeding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0200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270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76.27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6019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114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64.41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6D1E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156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88.14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541E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8BCA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4B98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EDCF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Rebleeding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beyond 6 weeks (within 2 years)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A008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D8B8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EEC2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5427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χ²=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25.62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EEC3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&lt;0.001</w:t>
            </w:r>
          </w:p>
        </w:tc>
      </w:tr>
      <w:tr w14:paraId="38504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675D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00" w:left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Rebleeding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337A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101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28.53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20E9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72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40.68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F62C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16.38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997E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38E0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1603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22B2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00" w:left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Non-rebleeding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FD19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253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71.47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ABD6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105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59.32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C938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148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83.62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2B84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8D94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699F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C050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U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pper gastrointestinal discomfort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CF13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8A8D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21 (11.86)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19C1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A817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1B8F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FA6A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F280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ransient fever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C2A0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3851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29 (16.38)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9D80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9745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83DE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12A6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4271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epatic encephalopathy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FCC1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A96B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AB6E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34 (19.21)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362C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2265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916B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99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234A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tent stenosis or occlusion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1549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71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6AE5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72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DBB8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13 (7.34)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35A6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A830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after="40" w:line="280" w:lineRule="exact"/>
              <w:ind w:left="40" w:leftChars="0" w:right="4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41E61F44">
      <w:pPr>
        <w:rPr>
          <w:rFonts w:hint="default" w:ascii="Times New Roman" w:hAnsi="Times New Roman" w:cs="Times New Roman" w:eastAsiaTheme="minorEastAsia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Analysis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 of efficacy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 xml:space="preserve"> and safety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 between the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SET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 group and the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SITT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 xml:space="preserve"> group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color w:val="000000"/>
          <w:sz w:val="24"/>
        </w:rPr>
        <w:t>Abbreviations:</w:t>
      </w:r>
      <w:r>
        <w:rPr>
          <w:rFonts w:hint="default" w:ascii="Times New Roman" w:hAnsi="Times New Roman" w:eastAsia="宋体" w:cs="Times New Roman"/>
          <w:color w:val="000000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2"/>
          <w:szCs w:val="22"/>
        </w:rPr>
        <w:t>SET, Standard Endoscopic Therapy; SITT, Standard Interventional Therapy</w:t>
      </w:r>
    </w:p>
    <w:p w14:paraId="13F923C0">
      <w:pPr>
        <w:ind w:firstLine="221" w:firstLineChars="100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Analysis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 of efficacy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 xml:space="preserve"> and safety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 between the 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SET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 group and the 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SET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>+TP group</w:t>
      </w:r>
    </w:p>
    <w:tbl>
      <w:tblPr>
        <w:tblStyle w:val="6"/>
        <w:tblW w:w="4892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8"/>
        <w:gridCol w:w="1955"/>
        <w:gridCol w:w="2293"/>
        <w:gridCol w:w="2405"/>
        <w:gridCol w:w="1589"/>
        <w:gridCol w:w="1057"/>
      </w:tblGrid>
      <w:tr w14:paraId="10FB6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tblHeader/>
          <w:jc w:val="center"/>
        </w:trPr>
        <w:tc>
          <w:tcPr>
            <w:tcW w:w="435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FE9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195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693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>Total</w:t>
            </w:r>
          </w:p>
          <w:p w14:paraId="2154CC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 (n =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287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29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7D1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SET</w:t>
            </w:r>
          </w:p>
          <w:p w14:paraId="20401D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 (n =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201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40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169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SET+TP</w:t>
            </w:r>
          </w:p>
          <w:p w14:paraId="46E02B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(n =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58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249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>Statistic</w:t>
            </w:r>
          </w:p>
        </w:tc>
        <w:tc>
          <w:tcPr>
            <w:tcW w:w="105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828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sz w:val="21"/>
                <w:szCs w:val="21"/>
              </w:rPr>
              <w:t>P</w:t>
            </w:r>
          </w:p>
        </w:tc>
      </w:tr>
      <w:tr w14:paraId="1A708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tblHeader/>
          <w:jc w:val="center"/>
        </w:trPr>
        <w:tc>
          <w:tcPr>
            <w:tcW w:w="4358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B3F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1955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AE3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2293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72B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2405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9B0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1589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3C8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1057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4B8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i/>
                <w:sz w:val="21"/>
                <w:szCs w:val="21"/>
              </w:rPr>
            </w:pPr>
          </w:p>
        </w:tc>
      </w:tr>
      <w:tr w14:paraId="5754D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5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29E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Rebleeding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within 5 days</w:t>
            </w:r>
          </w:p>
        </w:tc>
        <w:tc>
          <w:tcPr>
            <w:tcW w:w="195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9B5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29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3C7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40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77D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8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6FD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χ²=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0.46</w:t>
            </w:r>
          </w:p>
        </w:tc>
        <w:tc>
          <w:tcPr>
            <w:tcW w:w="105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A53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0.49</w:t>
            </w:r>
          </w:p>
        </w:tc>
      </w:tr>
      <w:tr w14:paraId="20157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B88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Rebleeding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AC6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7.67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F0A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14(6.97)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764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8(9.30)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DFB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A8D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 w14:paraId="24623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010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Non-rebleeding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C7B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265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92.33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0F8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187(93.03)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97A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78(90.70)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15D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9FD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D200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FE1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Rebleeding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within 6 weeks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A4E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AB5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749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4A7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χ²=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0.002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30C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967</w:t>
            </w:r>
          </w:p>
        </w:tc>
      </w:tr>
      <w:tr w14:paraId="3A11E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AF7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Rebleeding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A9D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53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18.47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1AF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37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18.41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050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18.60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B93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85C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7DD1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0D6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Non-rebleeding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66C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234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81.53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933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164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81.59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1BD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70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81.40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F98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898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74B0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FF7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Death within 6 weeks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0DC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4FE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12F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236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χ²=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1.53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AAF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  <w:t>0.216</w:t>
            </w:r>
          </w:p>
        </w:tc>
      </w:tr>
      <w:tr w14:paraId="34C61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9EA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Death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42F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5.57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86F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4.48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9A8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8.14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CDB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844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6570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A28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Non-death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278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271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94.43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5BB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192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95.52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307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79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91.86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14C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7DA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A913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FDD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Rebleeding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or death within 6 weeks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907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265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A4E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5AC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χ²=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1A7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865</w:t>
            </w:r>
          </w:p>
        </w:tc>
      </w:tr>
      <w:tr w14:paraId="045BF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723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Rebleeding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or death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931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19.16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4D2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18.91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A82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19.77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117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047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F1F2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E10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Non-rebleeding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or death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B2E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232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80.84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119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163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81.09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7D9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69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80.23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C3C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D29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2D7A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BE6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 xml:space="preserve">bdominal discomfort, abdominal pain, 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or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 xml:space="preserve"> diarrhea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81E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B99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BD0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17 (19.77)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23D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141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BD01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35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4D9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ransient blood pressure elevation</w:t>
            </w:r>
          </w:p>
        </w:tc>
        <w:tc>
          <w:tcPr>
            <w:tcW w:w="195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C35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229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0F7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2B9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 (9.30)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CCE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C4A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357687B4">
      <w:pPr>
        <w:ind w:firstLine="221" w:firstLineChars="100"/>
        <w:rPr>
          <w:rFonts w:hint="default" w:ascii="Times New Roman" w:hAnsi="Times New Roman" w:cs="Times New Roman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Analysis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 of efficacy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 xml:space="preserve"> and safety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 between the 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SET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 group and the 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SET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>+TP group</w:t>
      </w:r>
      <w:r>
        <w:rPr>
          <w:rFonts w:hint="eastAsia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color w:val="000000"/>
          <w:sz w:val="24"/>
        </w:rPr>
        <w:t>Abbreviations:</w:t>
      </w:r>
      <w:r>
        <w:rPr>
          <w:rFonts w:hint="default" w:ascii="Times New Roman" w:hAnsi="Times New Roman" w:eastAsia="宋体" w:cs="Times New Roman"/>
          <w:color w:val="000000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Cs w:val="21"/>
        </w:rPr>
        <w:t>SET, Standard Endoscopic Therapy (octreotide-assisted endoscopic sclerotherapy/tissue adhesive injection); SET+TP, SET plus terlipressin.</w:t>
      </w:r>
    </w:p>
    <w:p w14:paraId="0F4D1A5A">
      <w:pPr>
        <w:ind w:firstLine="221" w:firstLineChars="100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10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 Comparison of efficacy between the 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SITT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 group and the 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SITT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>+TP group</w:t>
      </w:r>
    </w:p>
    <w:tbl>
      <w:tblPr>
        <w:tblStyle w:val="6"/>
        <w:tblW w:w="4892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8"/>
        <w:gridCol w:w="2235"/>
        <w:gridCol w:w="2293"/>
        <w:gridCol w:w="2405"/>
        <w:gridCol w:w="1589"/>
        <w:gridCol w:w="1057"/>
      </w:tblGrid>
      <w:tr w14:paraId="0507D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tblHeader/>
          <w:jc w:val="center"/>
        </w:trPr>
        <w:tc>
          <w:tcPr>
            <w:tcW w:w="407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085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2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4AA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</w:rPr>
              <w:t>Total</w:t>
            </w:r>
          </w:p>
          <w:p w14:paraId="54CA39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 (n =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  <w:t>184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29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F26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  <w:t>SITT</w:t>
            </w:r>
          </w:p>
          <w:p w14:paraId="4093FE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 (n =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  <w:t>124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40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E25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  <w:t>SITT+TP</w:t>
            </w:r>
          </w:p>
          <w:p w14:paraId="01742C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(n =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8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41F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</w:rPr>
              <w:t>Statistic</w:t>
            </w:r>
          </w:p>
        </w:tc>
        <w:tc>
          <w:tcPr>
            <w:tcW w:w="105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BF2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sz w:val="22"/>
                <w:szCs w:val="22"/>
              </w:rPr>
              <w:t>P</w:t>
            </w:r>
          </w:p>
        </w:tc>
      </w:tr>
      <w:tr w14:paraId="015F0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tblHeader/>
          <w:jc w:val="center"/>
        </w:trPr>
        <w:tc>
          <w:tcPr>
            <w:tcW w:w="4078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A46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2235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CE7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2293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AA5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A8B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12E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057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90E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i/>
                <w:sz w:val="22"/>
                <w:szCs w:val="22"/>
              </w:rPr>
            </w:pPr>
          </w:p>
        </w:tc>
      </w:tr>
      <w:tr w14:paraId="62175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07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488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Rebleeding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within 5 days</w:t>
            </w:r>
          </w:p>
        </w:tc>
        <w:tc>
          <w:tcPr>
            <w:tcW w:w="223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C7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29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9E2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40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AE2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58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7D2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χ²=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0.35</w:t>
            </w:r>
          </w:p>
        </w:tc>
        <w:tc>
          <w:tcPr>
            <w:tcW w:w="105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F37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0.555</w:t>
            </w:r>
          </w:p>
        </w:tc>
      </w:tr>
      <w:tr w14:paraId="0969D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4CA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Rebleeding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112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3.80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97B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4(3.23)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665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3(5.00)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01C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5AA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14:paraId="2AB9B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D45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Non-rebleeding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9E8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177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96.20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FF1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  <w:t>120(96.77)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E9C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  <w:t>57(95.00)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66B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7CA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BE6D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91E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Rebleeding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within 6 weeks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4E0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C70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5CA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C13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χ²=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2.27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D40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0.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132</w:t>
            </w:r>
          </w:p>
        </w:tc>
      </w:tr>
      <w:tr w14:paraId="1F77B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56D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Rebleeding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79D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4.89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8F4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3.23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6E7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8.33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409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0BA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D648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CD8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Non-rebleeding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A8F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175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95.11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6B7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120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96.77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96C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91.67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5EE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5F2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9B44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C73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Death within 6 weeks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DEC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76D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44D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347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χ²=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3.40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AD6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  <w:t>0.065</w:t>
            </w:r>
          </w:p>
        </w:tc>
      </w:tr>
      <w:tr w14:paraId="1713F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125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Death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200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8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4.35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F95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2.42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900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8.33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DA5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E25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1557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AC7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Non-death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A20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176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95.65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C76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121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97.58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1DD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91.67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FF6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846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B5AE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55C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Rebleeding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or death within 6 weeks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ED0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9B5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D8A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080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χ²=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2.27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058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0.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015</w:t>
            </w:r>
          </w:p>
        </w:tc>
      </w:tr>
      <w:tr w14:paraId="62C2D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DEC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Rebleeding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or death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6EA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9.24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7CE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5.65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975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16.67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468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A96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7796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07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BB1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 w:leftChars="0"/>
              <w:jc w:val="left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 xml:space="preserve">Non-rebleeding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or death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4B2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175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90.76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229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708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117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94.35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06C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83.33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B68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E9E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5E6E26CE">
      <w:pPr>
        <w:rPr>
          <w:rFonts w:hint="default" w:ascii="Times New Roman" w:hAnsi="Times New Roman" w:eastAsia="宋体" w:cs="Times New Roman"/>
          <w:color w:val="000000"/>
          <w:szCs w:val="21"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10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 Comparison of efficacy between the 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SITT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 group and the 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SITT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>+TP group</w:t>
      </w:r>
      <w:r>
        <w:rPr>
          <w:rFonts w:hint="eastAsia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color w:val="000000"/>
          <w:sz w:val="24"/>
        </w:rPr>
        <w:t>Abbreviations:</w:t>
      </w:r>
      <w:r>
        <w:rPr>
          <w:rFonts w:hint="default" w:ascii="Times New Roman" w:hAnsi="Times New Roman" w:eastAsia="宋体" w:cs="Times New Roman"/>
          <w:color w:val="000000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Cs w:val="21"/>
        </w:rPr>
        <w:t>SITT, Standard Interventional Therapy (octreotide combined with TIPS and gastric coronary vein embolization); SITT+TP, SITT plus terlipressin</w:t>
      </w:r>
    </w:p>
    <w:p w14:paraId="1EACE48B">
      <w:pPr>
        <w:ind w:firstLine="210" w:firstLineChars="100"/>
        <w:rPr>
          <w:rFonts w:hint="default" w:ascii="Times New Roman" w:hAnsi="Times New Roman" w:eastAsia="宋体" w:cs="Times New Roman"/>
          <w:color w:val="000000"/>
          <w:szCs w:val="21"/>
        </w:rPr>
      </w:pPr>
    </w:p>
    <w:p w14:paraId="099EBFE4">
      <w:pPr>
        <w:rPr>
          <w:rFonts w:hint="default" w:ascii="Times New Roman" w:hAnsi="Times New Roman" w:eastAsia="宋体" w:cs="Times New Roman"/>
          <w:color w:val="000000"/>
          <w:szCs w:val="21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0ADB483">
      <w:pPr>
        <w:rPr>
          <w:rFonts w:hint="default" w:ascii="Times New Roman" w:hAnsi="Times New Roman" w:eastAsia="宋体" w:cs="Times New Roman"/>
          <w:color w:val="000000"/>
          <w:szCs w:val="21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t xml:space="preserve">Table 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  <w:lang w:val="en-US" w:eastAsia="zh-CN"/>
        </w:rPr>
        <w:t>S1</w:t>
      </w:r>
      <w:r>
        <w:rPr>
          <w:rFonts w:hint="eastAsia" w:ascii="Times New Roman" w:hAnsi="Times New Roman" w:eastAsia="宋体" w:cs="Times New Roman"/>
          <w:b/>
          <w:bCs/>
          <w:color w:val="000000"/>
          <w:sz w:val="22"/>
          <w:szCs w:val="22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000000"/>
          <w:sz w:val="22"/>
          <w:szCs w:val="22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t>Analysis of healthcare resource utilization and medical costs</w:t>
      </w:r>
    </w:p>
    <w:tbl>
      <w:tblPr>
        <w:tblStyle w:val="6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2"/>
        <w:gridCol w:w="3358"/>
        <w:gridCol w:w="3052"/>
        <w:gridCol w:w="1356"/>
        <w:gridCol w:w="1321"/>
      </w:tblGrid>
      <w:tr w14:paraId="5F82E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1745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F7E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1202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B77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SET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(n = 201)</w:t>
            </w:r>
          </w:p>
        </w:tc>
        <w:tc>
          <w:tcPr>
            <w:tcW w:w="1093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9A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ET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  <w:t>+TP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(n = 86)</w:t>
            </w:r>
          </w:p>
        </w:tc>
        <w:tc>
          <w:tcPr>
            <w:tcW w:w="485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7F9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Statistic</w:t>
            </w:r>
          </w:p>
        </w:tc>
        <w:tc>
          <w:tcPr>
            <w:tcW w:w="473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C1B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i/>
                <w:color w:val="000000"/>
                <w:sz w:val="22"/>
                <w:szCs w:val="22"/>
              </w:rPr>
              <w:t>P</w:t>
            </w:r>
          </w:p>
        </w:tc>
      </w:tr>
      <w:tr w14:paraId="08545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1745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7B8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2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395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0EB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F52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3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C1D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i/>
                <w:color w:val="000000"/>
                <w:sz w:val="22"/>
                <w:szCs w:val="22"/>
              </w:rPr>
            </w:pPr>
          </w:p>
        </w:tc>
      </w:tr>
      <w:tr w14:paraId="3A8CA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29D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The length of hospital stay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 xml:space="preserve"> (days)</w:t>
            </w:r>
          </w:p>
          <w:p w14:paraId="2800B1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M (Q₁, Q₃)</w:t>
            </w:r>
          </w:p>
        </w:tc>
        <w:tc>
          <w:tcPr>
            <w:tcW w:w="120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4A2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10.25 (8.00, 13.68)</w:t>
            </w:r>
          </w:p>
        </w:tc>
        <w:tc>
          <w:tcPr>
            <w:tcW w:w="109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AD9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12.02 (8.93, 14.85)</w:t>
            </w:r>
          </w:p>
        </w:tc>
        <w:tc>
          <w:tcPr>
            <w:tcW w:w="48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23B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Z=-2.25</w:t>
            </w:r>
          </w:p>
        </w:tc>
        <w:tc>
          <w:tcPr>
            <w:tcW w:w="47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B59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</w:rPr>
              <w:t>0.024</w:t>
            </w:r>
          </w:p>
        </w:tc>
      </w:tr>
      <w:tr w14:paraId="164CE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AC0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Total hospitalization costs,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 xml:space="preserve"> ($)</w:t>
            </w:r>
          </w:p>
          <w:p w14:paraId="355EC6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M (Q₁, Q₃)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E5A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5973.1 </w:t>
            </w:r>
          </w:p>
          <w:p w14:paraId="5EF132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(4042.2–7806.1)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FD7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7952.2 </w:t>
            </w:r>
          </w:p>
          <w:p w14:paraId="3E9E63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(5830.6–10495.6)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D42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Z=-4.57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B2F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</w:rPr>
              <w:t>&lt;.001</w:t>
            </w:r>
          </w:p>
        </w:tc>
      </w:tr>
      <w:tr w14:paraId="6066E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2A2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Transfusion requirement, n(%)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B42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721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A58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χ²=0.16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5D3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0.689</w:t>
            </w:r>
          </w:p>
        </w:tc>
      </w:tr>
      <w:tr w14:paraId="2D54D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C22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AE5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100 (49.75)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D7D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45 (52.33)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F2B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7D5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</w:tr>
      <w:tr w14:paraId="4D87F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A51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260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101 (50.25)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460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41 (47.67)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BB3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271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</w:tr>
      <w:tr w14:paraId="5901A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BEF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ICU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requirement, n(%)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80E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F80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118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χ²=0.31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AF2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0.575</w:t>
            </w:r>
          </w:p>
        </w:tc>
      </w:tr>
      <w:tr w14:paraId="1C245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CCE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676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19 (9.45)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F26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10 (11.63)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8B7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339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</w:tr>
      <w:tr w14:paraId="61817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4BE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20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F6D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182 (90.55)</w:t>
            </w:r>
          </w:p>
        </w:tc>
        <w:tc>
          <w:tcPr>
            <w:tcW w:w="109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6AA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  <w:t>76 (88.37)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7F1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BAE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0BB50716">
      <w:pPr>
        <w:rPr>
          <w:rFonts w:hint="default" w:ascii="Times New Roman" w:hAnsi="Times New Roman" w:eastAsia="宋体" w:cs="Times New Roman"/>
          <w:color w:val="000000"/>
          <w:sz w:val="24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t xml:space="preserve">Table 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  <w:lang w:val="en-US" w:eastAsia="zh-CN"/>
        </w:rPr>
        <w:t>S1</w:t>
      </w:r>
      <w:r>
        <w:rPr>
          <w:rFonts w:hint="eastAsia" w:ascii="Times New Roman" w:hAnsi="Times New Roman" w:eastAsia="宋体" w:cs="Times New Roman"/>
          <w:b/>
          <w:bCs/>
          <w:color w:val="000000"/>
          <w:sz w:val="22"/>
          <w:szCs w:val="22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000000"/>
          <w:sz w:val="22"/>
          <w:szCs w:val="22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t>Analysis of healthcare resource utilization and medical costs</w:t>
      </w:r>
      <w:r>
        <w:rPr>
          <w:rFonts w:hint="eastAsia" w:ascii="Times New Roman" w:hAnsi="Times New Roman" w:eastAsia="宋体" w:cs="Times New Roman"/>
          <w:b/>
          <w:bCs/>
          <w:color w:val="000000"/>
          <w:sz w:val="22"/>
          <w:szCs w:val="22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color w:val="000000"/>
          <w:sz w:val="24"/>
        </w:rPr>
        <w:t>Abbreviations:</w:t>
      </w:r>
      <w:r>
        <w:rPr>
          <w:rFonts w:hint="default" w:ascii="Times New Roman" w:hAnsi="Times New Roman" w:eastAsia="宋体" w:cs="Times New Roman"/>
          <w:color w:val="000000"/>
          <w:sz w:val="22"/>
          <w:szCs w:val="22"/>
        </w:rPr>
        <w:t xml:space="preserve"> Abbreviations: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4"/>
          <w:lang w:val="en-US" w:eastAsia="zh-CN"/>
        </w:rPr>
        <w:t xml:space="preserve">SET, </w:t>
      </w:r>
      <w:r>
        <w:rPr>
          <w:rFonts w:hint="default" w:ascii="Times New Roman" w:hAnsi="Times New Roman" w:cs="Times New Roman"/>
          <w:sz w:val="24"/>
        </w:rPr>
        <w:t>Standard Endoscopic Therapy (</w:t>
      </w:r>
      <w:r>
        <w:rPr>
          <w:rFonts w:hint="default" w:ascii="Times New Roman" w:hAnsi="Times New Roman" w:eastAsia="宋体" w:cs="Times New Roman"/>
          <w:color w:val="000000"/>
          <w:sz w:val="24"/>
        </w:rPr>
        <w:t>octreotide-assisted endoscopic sclerotherapy/tissue adhesive injection</w:t>
      </w:r>
      <w:r>
        <w:rPr>
          <w:rFonts w:hint="default" w:ascii="Times New Roman" w:hAnsi="Times New Roman" w:cs="Times New Roman"/>
          <w:sz w:val="24"/>
        </w:rPr>
        <w:t>)</w:t>
      </w:r>
      <w:r>
        <w:rPr>
          <w:rFonts w:hint="default" w:ascii="Times New Roman" w:hAnsi="Times New Roman" w:eastAsia="宋体" w:cs="Times New Roman"/>
          <w:color w:val="000000"/>
          <w:sz w:val="24"/>
          <w:lang w:val="en-US" w:eastAsia="zh-CN"/>
        </w:rPr>
        <w:t>;</w:t>
      </w:r>
      <w:r>
        <w:rPr>
          <w:rFonts w:hint="default" w:ascii="Times New Roman" w:hAnsi="Times New Roman" w:eastAsia="宋体" w:cs="Times New Roman"/>
          <w:color w:val="000000"/>
          <w:sz w:val="24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4"/>
          <w:lang w:val="en-US" w:eastAsia="zh-CN"/>
        </w:rPr>
        <w:t>SET</w:t>
      </w:r>
      <w:r>
        <w:rPr>
          <w:rFonts w:hint="default" w:ascii="Times New Roman" w:hAnsi="Times New Roman" w:eastAsia="宋体" w:cs="Times New Roman"/>
          <w:color w:val="000000"/>
          <w:sz w:val="24"/>
        </w:rPr>
        <w:t xml:space="preserve">+TP: </w:t>
      </w:r>
      <w:r>
        <w:rPr>
          <w:rFonts w:hint="default" w:ascii="Times New Roman" w:hAnsi="Times New Roman" w:eastAsia="宋体" w:cs="Times New Roman"/>
          <w:color w:val="000000"/>
          <w:sz w:val="24"/>
          <w:lang w:val="en-US" w:eastAsia="zh-CN"/>
        </w:rPr>
        <w:t>SET</w:t>
      </w:r>
      <w:r>
        <w:rPr>
          <w:rFonts w:hint="default" w:ascii="Times New Roman" w:hAnsi="Times New Roman" w:eastAsia="宋体" w:cs="Times New Roman"/>
          <w:color w:val="000000"/>
          <w:sz w:val="24"/>
        </w:rPr>
        <w:t xml:space="preserve"> plus terlipressin.</w:t>
      </w:r>
    </w:p>
    <w:p w14:paraId="4E608815">
      <w:pP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0AFD35D">
      <w:pPr>
        <w:rPr>
          <w:rFonts w:hint="default"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S1</w:t>
      </w:r>
      <w:r>
        <w:rPr>
          <w:rFonts w:hint="eastAsia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2</w:t>
      </w:r>
      <w:r>
        <w:rPr>
          <w:rFonts w:hint="default" w:ascii="Times New Roman" w:hAnsi="Times New Roman" w:cs="Times New Roman"/>
          <w:color w:val="000000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t>Analysis of risk factors for six-week rebleeding or death</w:t>
      </w:r>
    </w:p>
    <w:tbl>
      <w:tblPr>
        <w:tblStyle w:val="6"/>
        <w:tblW w:w="14038" w:type="dxa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3"/>
        <w:gridCol w:w="704"/>
        <w:gridCol w:w="1158"/>
        <w:gridCol w:w="779"/>
        <w:gridCol w:w="2917"/>
        <w:gridCol w:w="188"/>
        <w:gridCol w:w="846"/>
        <w:gridCol w:w="930"/>
        <w:gridCol w:w="902"/>
        <w:gridCol w:w="2601"/>
      </w:tblGrid>
      <w:tr w14:paraId="6EF5A8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vMerge w:val="restart"/>
            <w:tcBorders>
              <w:top w:val="single" w:color="auto" w:sz="8" w:space="0"/>
            </w:tcBorders>
            <w:shd w:val="clear" w:color="auto" w:fill="FFFFFF"/>
            <w:vAlign w:val="center"/>
          </w:tcPr>
          <w:p w14:paraId="362CF317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Variables</w:t>
            </w:r>
          </w:p>
        </w:tc>
        <w:tc>
          <w:tcPr>
            <w:tcW w:w="5558" w:type="dxa"/>
            <w:gridSpan w:val="4"/>
            <w:tcBorders>
              <w:top w:val="single" w:color="auto" w:sz="8" w:space="0"/>
              <w:bottom w:val="single" w:color="000000" w:sz="4" w:space="0"/>
            </w:tcBorders>
            <w:shd w:val="clear" w:color="auto" w:fill="FFFFFF"/>
            <w:vAlign w:val="center"/>
          </w:tcPr>
          <w:p w14:paraId="4318DB02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Univariate Logistic analysis</w:t>
            </w:r>
          </w:p>
        </w:tc>
        <w:tc>
          <w:tcPr>
            <w:tcW w:w="5467" w:type="dxa"/>
            <w:gridSpan w:val="5"/>
            <w:tcBorders>
              <w:top w:val="single" w:color="auto" w:sz="8" w:space="0"/>
              <w:bottom w:val="single" w:color="000000" w:sz="4" w:space="0"/>
            </w:tcBorders>
            <w:shd w:val="clear" w:color="auto" w:fill="FFFFFF"/>
            <w:vAlign w:val="center"/>
          </w:tcPr>
          <w:p w14:paraId="06DE2C17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Multivariate Logistic analysis</w:t>
            </w:r>
          </w:p>
        </w:tc>
      </w:tr>
      <w:tr w14:paraId="7DE812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vMerge w:val="continue"/>
            <w:tcBorders>
              <w:bottom w:val="single" w:color="auto" w:sz="8" w:space="0"/>
            </w:tcBorders>
            <w:shd w:val="clear" w:color="auto" w:fill="FFFFFF"/>
            <w:vAlign w:val="center"/>
          </w:tcPr>
          <w:p w14:paraId="04A9862E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79A8C912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β</w:t>
            </w:r>
          </w:p>
        </w:tc>
        <w:tc>
          <w:tcPr>
            <w:tcW w:w="1158" w:type="dxa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2D13B1DC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779" w:type="dxa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59956073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49A1D7B0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OR (95%CI)</w:t>
            </w:r>
          </w:p>
        </w:tc>
        <w:tc>
          <w:tcPr>
            <w:tcW w:w="846" w:type="dxa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0ABBF230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β</w:t>
            </w:r>
          </w:p>
        </w:tc>
        <w:tc>
          <w:tcPr>
            <w:tcW w:w="930" w:type="dxa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08D5A163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902" w:type="dxa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3C90FEAA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</w:t>
            </w:r>
          </w:p>
        </w:tc>
        <w:tc>
          <w:tcPr>
            <w:tcW w:w="2601" w:type="dxa"/>
            <w:tcBorders>
              <w:top w:val="single" w:color="000000" w:sz="4" w:space="0"/>
              <w:bottom w:val="single" w:color="auto" w:sz="8" w:space="0"/>
            </w:tcBorders>
            <w:shd w:val="clear" w:color="auto" w:fill="FFFFFF"/>
            <w:vAlign w:val="center"/>
          </w:tcPr>
          <w:p w14:paraId="5C2C5DAB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OR (95%CI)</w:t>
            </w:r>
          </w:p>
        </w:tc>
      </w:tr>
      <w:tr w14:paraId="26DE4D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single" w:color="auto" w:sz="8" w:space="0"/>
              <w:bottom w:val="nil"/>
            </w:tcBorders>
            <w:shd w:val="clear" w:color="auto" w:fill="FFFFFF"/>
            <w:vAlign w:val="center"/>
          </w:tcPr>
          <w:p w14:paraId="7665A2DE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HCC</w:t>
            </w:r>
          </w:p>
        </w:tc>
        <w:tc>
          <w:tcPr>
            <w:tcW w:w="704" w:type="dxa"/>
            <w:tcBorders>
              <w:top w:val="single" w:color="auto" w:sz="8" w:space="0"/>
              <w:bottom w:val="nil"/>
            </w:tcBorders>
            <w:shd w:val="clear" w:color="auto" w:fill="FFFFFF"/>
            <w:vAlign w:val="center"/>
          </w:tcPr>
          <w:p w14:paraId="2069057E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auto" w:sz="8" w:space="0"/>
              <w:bottom w:val="nil"/>
            </w:tcBorders>
            <w:shd w:val="clear" w:color="auto" w:fill="FFFFFF"/>
            <w:vAlign w:val="center"/>
          </w:tcPr>
          <w:p w14:paraId="0E2D518C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8" w:space="0"/>
              <w:bottom w:val="nil"/>
            </w:tcBorders>
            <w:shd w:val="clear" w:color="auto" w:fill="FFFFFF"/>
            <w:vAlign w:val="center"/>
          </w:tcPr>
          <w:p w14:paraId="5E227380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2"/>
            <w:tcBorders>
              <w:top w:val="single" w:color="auto" w:sz="8" w:space="0"/>
              <w:bottom w:val="nil"/>
            </w:tcBorders>
            <w:shd w:val="clear" w:color="auto" w:fill="FFFFFF"/>
            <w:vAlign w:val="center"/>
          </w:tcPr>
          <w:p w14:paraId="361BDEAD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color="auto" w:sz="8" w:space="0"/>
              <w:bottom w:val="nil"/>
            </w:tcBorders>
            <w:shd w:val="clear" w:color="auto" w:fill="FFFFFF"/>
            <w:vAlign w:val="center"/>
          </w:tcPr>
          <w:p w14:paraId="3DE6D2DA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bottom w:val="nil"/>
            </w:tcBorders>
            <w:shd w:val="clear" w:color="auto" w:fill="FFFFFF"/>
            <w:vAlign w:val="center"/>
          </w:tcPr>
          <w:p w14:paraId="798A6655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color="auto" w:sz="8" w:space="0"/>
              <w:bottom w:val="nil"/>
            </w:tcBorders>
            <w:shd w:val="clear" w:color="auto" w:fill="FFFFFF"/>
            <w:vAlign w:val="center"/>
          </w:tcPr>
          <w:p w14:paraId="150725CE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color="auto" w:sz="8" w:space="0"/>
              <w:bottom w:val="nil"/>
            </w:tcBorders>
            <w:shd w:val="clear" w:color="auto" w:fill="FFFFFF"/>
            <w:vAlign w:val="center"/>
          </w:tcPr>
          <w:p w14:paraId="592A6C4A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77B99E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969FB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  Non-HCC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C321F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1063B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C9322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669E3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060C2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92D7A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3CB8C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D6D8A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1.00 (Reference)</w:t>
            </w:r>
          </w:p>
        </w:tc>
      </w:tr>
      <w:tr w14:paraId="1CE87C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DE634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  HCC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8D269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1.02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DE673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2.57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D52DD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0.010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95345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2.78 (1.28 - 6.04)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E494C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1.66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335FF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2.76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3C892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0.006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91545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5.24 (1.61 - 17.02)</w:t>
            </w:r>
          </w:p>
        </w:tc>
      </w:tr>
      <w:tr w14:paraId="5D53B6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737703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Cumulative blood loss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797DE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289BE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6E080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1E727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86CE4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9EEB8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08B7A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E750A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2CB8B9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64872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  &lt; 800 mL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60945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20618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0AE0D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7699F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35D94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66F90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98123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E8C0A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1.00 (Reference)</w:t>
            </w:r>
          </w:p>
        </w:tc>
      </w:tr>
      <w:tr w14:paraId="51FC77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A50B2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  &gt; 800 mL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2896D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1.20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5C869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2.93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2199B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0.003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1A073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3.32 (1.49 - 7.42)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10ED0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1.33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4D94B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2.61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76E69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0.009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E7111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3.79 (1.39 - 10.30)</w:t>
            </w:r>
          </w:p>
        </w:tc>
      </w:tr>
      <w:tr w14:paraId="2F0AFD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EE51C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Timing of endoscopy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C180D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33C77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A4BA6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4D165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44B50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EA4C6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C0264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8C1AE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A127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5C258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  &lt;6 h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ED234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7E93A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40308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E69D5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B2860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220D5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EDB6F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B99AB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1.00 (Reference)</w:t>
            </w:r>
          </w:p>
        </w:tc>
      </w:tr>
      <w:tr w14:paraId="59BEF1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3EDBD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  6~24 h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16815A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-1.39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FEC84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-2.01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6823F6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0.044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C6EBA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0.25 (0.06 - 0.97)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55019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-2.42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4553D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-2.53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26717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0.011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461B7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0.09 (0.01 - 0.58)</w:t>
            </w:r>
          </w:p>
        </w:tc>
      </w:tr>
      <w:tr w14:paraId="1154D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7F7C0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  &gt; 24 h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148FD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-1.21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897E0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-2.72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183D3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0.006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11F93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0.30 (0.12 - 0.71)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B5083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-0.80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FABDB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-1.34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26377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0.181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B2EDB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0.45 (0.14 - 1.45)</w:t>
            </w:r>
          </w:p>
        </w:tc>
      </w:tr>
      <w:tr w14:paraId="4CE6F3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1D72A">
            <w:pPr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Risk factor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2B439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22A2E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4F120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C2713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629EC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551B1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792A9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26A0C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0EF8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9A3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Rf1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8BB8B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7DEA2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2AFA1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3E021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59AB5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52493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AB971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62C68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1.00 (Reference)</w:t>
            </w:r>
          </w:p>
        </w:tc>
      </w:tr>
      <w:tr w14:paraId="6B2A1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C6C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Rf2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EEBC2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0.85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52A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2.11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67CA8">
            <w:pPr>
              <w:bidi w:val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DFE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2.35 (1.06 - 5.18)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21E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4E9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0.50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17C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0.618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02D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1.35 (0.42 - 4.34)</w:t>
            </w:r>
          </w:p>
        </w:tc>
      </w:tr>
      <w:tr w14:paraId="0EF978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69DE4">
            <w:pPr>
              <w:pStyle w:val="5"/>
              <w:widowControl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Shock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616285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2C979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8CB1F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7889B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945CD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7D3B4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397C5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DD01E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332421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DFDB7">
            <w:pPr>
              <w:pStyle w:val="5"/>
              <w:widowControl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  No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4C460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52593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E064E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18511">
            <w:pPr>
              <w:pStyle w:val="5"/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1283A">
            <w:pPr>
              <w:pStyle w:val="5"/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BBF6F">
            <w:pPr>
              <w:pStyle w:val="5"/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DC10F">
            <w:pPr>
              <w:pStyle w:val="5"/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A9D1C">
            <w:pPr>
              <w:pStyle w:val="5"/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1.00 (Reference)</w:t>
            </w:r>
          </w:p>
        </w:tc>
      </w:tr>
      <w:tr w14:paraId="0C86D2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D7B97">
            <w:pPr>
              <w:pStyle w:val="5"/>
              <w:widowControl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  Yes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972665">
            <w:pPr>
              <w:pStyle w:val="5"/>
              <w:widowControl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1.75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A0B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3.62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88C2C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&lt;.001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1A561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5.74 (2.23 - 14.79)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35574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1.12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F1AC0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1.93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5CEEF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0.054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A1992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3.06 (0.98 - 9.56)</w:t>
            </w:r>
          </w:p>
        </w:tc>
      </w:tr>
      <w:tr w14:paraId="6BFE39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CBAA2">
            <w:pPr>
              <w:pStyle w:val="5"/>
              <w:widowControl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Ascites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D98F8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7BC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EF374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CF936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715AA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6EE57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DEFE6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424B4">
            <w:pPr>
              <w:bidi w:val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2C6640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4F6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Mild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13CD1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6CFD7">
            <w:pPr>
              <w:pStyle w:val="5"/>
              <w:widowControl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68029">
            <w:pPr>
              <w:pStyle w:val="5"/>
              <w:widowControl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B80F7">
            <w:pPr>
              <w:pStyle w:val="5"/>
              <w:widowControl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  <w:t>1.00 (Reference)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4E752">
            <w:pPr>
              <w:pStyle w:val="5"/>
              <w:widowControl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91FD3">
            <w:pPr>
              <w:pStyle w:val="5"/>
              <w:widowControl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067F7">
            <w:pPr>
              <w:pStyle w:val="5"/>
              <w:widowControl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B84A4">
            <w:pPr>
              <w:pStyle w:val="5"/>
              <w:widowControl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  <w:t>1.00 (Reference)</w:t>
            </w:r>
          </w:p>
        </w:tc>
      </w:tr>
      <w:tr w14:paraId="45F77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1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500B4F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hint="default" w:ascii="Times New Roman" w:hAnsi="Times New Roman" w:eastAsia="Times New Roma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  <w:t>Moderate to severe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5E94BCBC">
            <w:pPr>
              <w:pStyle w:val="5"/>
              <w:widowControl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0.77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43CDC4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2.10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014A81D9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  <w:t>0.036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34820B4A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  <w:t>2.17 (1.05 - 4.45)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0A81AA4E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  <w:t>0.16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7EBF4A5F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  <w:t>0.34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3034E1B8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  <w:t>0.732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56900038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  <w:t>1.17 (0.48 - 2.87)</w:t>
            </w:r>
          </w:p>
        </w:tc>
      </w:tr>
    </w:tbl>
    <w:p w14:paraId="36EA5DB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S1</w:t>
      </w:r>
      <w:r>
        <w:rPr>
          <w:rFonts w:hint="eastAsia" w:ascii="Times New Roman" w:hAnsi="Times New Roman" w:cs="Times New Roman"/>
          <w:b/>
          <w:bCs/>
          <w:color w:val="000000"/>
          <w:sz w:val="22"/>
          <w:szCs w:val="22"/>
          <w:lang w:val="en-US" w:eastAsia="zh-CN"/>
        </w:rPr>
        <w:t>2</w:t>
      </w:r>
      <w:r>
        <w:rPr>
          <w:rFonts w:hint="default" w:ascii="Times New Roman" w:hAnsi="Times New Roman" w:cs="Times New Roman"/>
          <w:color w:val="000000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sz w:val="22"/>
          <w:szCs w:val="22"/>
        </w:rPr>
        <w:t>Analysis of risk factors for six-week rebleeding or death</w:t>
      </w:r>
      <w:r>
        <w:rPr>
          <w:rFonts w:hint="eastAsia" w:ascii="Times New Roman" w:hAnsi="Times New Roman" w:eastAsia="宋体" w:cs="Times New Roman"/>
          <w:b/>
          <w:bCs/>
          <w:color w:val="000000"/>
          <w:sz w:val="22"/>
          <w:szCs w:val="22"/>
          <w:lang w:val="en-US" w:eastAsia="zh-CN"/>
        </w:rPr>
        <w:t xml:space="preserve">. </w:t>
      </w:r>
      <w:bookmarkStart w:id="1" w:name="_GoBack"/>
      <w:bookmarkEnd w:id="1"/>
      <w:r>
        <w:rPr>
          <w:rFonts w:hint="default" w:ascii="Times New Roman" w:hAnsi="Times New Roman" w:cs="Times New Roman"/>
          <w:color w:val="000000"/>
          <w:sz w:val="24"/>
        </w:rPr>
        <w:t>Abbreviations:</w:t>
      </w:r>
      <w:r>
        <w:rPr>
          <w:rFonts w:hint="default" w:ascii="Times New Roman" w:hAnsi="Times New Roman" w:cs="Times New Roman"/>
          <w:color w:val="000000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</w:rPr>
        <w:t xml:space="preserve">Analysis of risk factors for six-week rebleeding or death after octreotide combined with endoscopic therapy for 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AEVB</w:t>
      </w:r>
      <w:r>
        <w:rPr>
          <w:rFonts w:hint="default" w:ascii="Times New Roman" w:hAnsi="Times New Roman" w:eastAsia="宋体" w:cs="Times New Roman"/>
          <w:sz w:val="22"/>
          <w:szCs w:val="22"/>
        </w:rPr>
        <w:t>. Abbreviation: HCC, hepatocellular carcinoma.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191783"/>
    <w:multiLevelType w:val="multilevel"/>
    <w:tmpl w:val="78191783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792" w:hanging="432"/>
      </w:pPr>
    </w:lvl>
    <w:lvl w:ilvl="2" w:tentative="0">
      <w:start w:val="1"/>
      <w:numFmt w:val="decimal"/>
      <w:pStyle w:val="2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147AD"/>
    <w:rsid w:val="0A6F265A"/>
    <w:rsid w:val="0C4E57FB"/>
    <w:rsid w:val="0F5D514B"/>
    <w:rsid w:val="16914614"/>
    <w:rsid w:val="178E4789"/>
    <w:rsid w:val="1F7147AD"/>
    <w:rsid w:val="2A8F7215"/>
    <w:rsid w:val="304C0947"/>
    <w:rsid w:val="35233AA2"/>
    <w:rsid w:val="382F099D"/>
    <w:rsid w:val="3B1665F6"/>
    <w:rsid w:val="3BF27305"/>
    <w:rsid w:val="41CD10BB"/>
    <w:rsid w:val="496258A7"/>
    <w:rsid w:val="4AA543A7"/>
    <w:rsid w:val="4BAA6947"/>
    <w:rsid w:val="4CE77988"/>
    <w:rsid w:val="574633BB"/>
    <w:rsid w:val="5E456495"/>
    <w:rsid w:val="6D2C27DC"/>
    <w:rsid w:val="6DDD2579"/>
    <w:rsid w:val="70D32D6E"/>
    <w:rsid w:val="753B48E1"/>
    <w:rsid w:val="7EBF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3"/>
    <w:unhideWhenUsed/>
    <w:qFormat/>
    <w:uiPriority w:val="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4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877</Words>
  <Characters>4401</Characters>
  <Lines>0</Lines>
  <Paragraphs>0</Paragraphs>
  <TotalTime>5</TotalTime>
  <ScaleCrop>false</ScaleCrop>
  <LinksUpToDate>false</LinksUpToDate>
  <CharactersWithSpaces>5018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2026-03-03T02:40:00Z</dcterms:created>
  <dc:creator>昵称无</dc:creator>
  <cp:lastModifiedBy>昵称无</cp:lastModifiedBy>
  <dcterms:modified xsi:type="dcterms:W3CDTF">2026-08-13T08:53:14Z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4639FC3314204308AD019EB4146C81C1_13</vt:lpwstr>
  </property>
  <property fmtid="{D5CDD505-2E9C-101B-9397-08002B2CF9AE}" pid="4" name="KSOTemplateDocerSaveRecord">
    <vt:lpwstr>eyJoZGlkIjoiZThjNGZkNGIwYmU5MTIwNDUzMzc2Y2VmYWRjOTZjMzMiLCJ1c2VySWQiOiI2NTY1MTE2OTIifQ==</vt:lpwstr>
  </property>
</Properties>
</file>