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B65AD" w14:textId="59E733FB" w:rsidR="0031347D" w:rsidRDefault="0031347D" w:rsidP="009A0C39">
      <w:pPr>
        <w:rPr>
          <w:b/>
          <w:bCs/>
        </w:rPr>
      </w:pPr>
      <w:r>
        <w:rPr>
          <w:b/>
          <w:bCs/>
        </w:rPr>
        <w:t>Supplementary material</w:t>
      </w:r>
      <w:r w:rsidR="00CE2C02">
        <w:rPr>
          <w:b/>
          <w:bCs/>
        </w:rPr>
        <w:t>s and methods</w:t>
      </w:r>
    </w:p>
    <w:p w14:paraId="393673CB" w14:textId="6092170E" w:rsidR="009A0C39" w:rsidRPr="009A0C39" w:rsidRDefault="009A0C39" w:rsidP="009A0C39">
      <w:pPr>
        <w:rPr>
          <w:b/>
          <w:bCs/>
        </w:rPr>
      </w:pPr>
      <w:r w:rsidRPr="009A0C39">
        <w:rPr>
          <w:b/>
          <w:bCs/>
        </w:rPr>
        <w:t>Statistical analysis</w:t>
      </w:r>
    </w:p>
    <w:p w14:paraId="79050876" w14:textId="77777777" w:rsidR="009A0C39" w:rsidRDefault="009A0C39" w:rsidP="009A0C39">
      <w:r>
        <w:t xml:space="preserve">Age, BMI, PPD, CAL, glucose concentration and pH were handled as continuous, </w:t>
      </w:r>
      <w:proofErr w:type="gramStart"/>
      <w:r>
        <w:t>normally-distributed</w:t>
      </w:r>
      <w:proofErr w:type="gramEnd"/>
      <w:r>
        <w:t xml:space="preserve"> variables, using means and standard deviations for descriptive data. Age and BMI were handled as a continuous, </w:t>
      </w:r>
      <w:proofErr w:type="gramStart"/>
      <w:r>
        <w:t>normally-distributed</w:t>
      </w:r>
      <w:proofErr w:type="gramEnd"/>
      <w:r>
        <w:t xml:space="preserve"> variable to facilitate model convergence in the confounder-adjusted analyses. All other quantitative variables were handled as discrete data, using medians and interquartile range for descriptive data. </w:t>
      </w:r>
    </w:p>
    <w:p w14:paraId="51228F47" w14:textId="57A128BD" w:rsidR="009A0C39" w:rsidRDefault="009A0C39" w:rsidP="009A0C39">
      <w:r>
        <w:t>All statistical analyses were conducted using R (version 4.3.3) with a two-sided</w:t>
      </w:r>
      <w:r w:rsidR="0018660E">
        <w:t xml:space="preserve"> Bonferroni-adjusted</w:t>
      </w:r>
      <w:r>
        <w:t xml:space="preserve"> alpha level of 0.0</w:t>
      </w:r>
      <w:r w:rsidR="0018660E">
        <w:t>16</w:t>
      </w:r>
      <w:r w:rsidR="0018660E">
        <w:rPr>
          <w:rFonts w:ascii="Calibri" w:hAnsi="Calibri" w:cs="Calibri"/>
        </w:rPr>
        <w:t>̅</w:t>
      </w:r>
      <w:r w:rsidR="0018660E">
        <w:t xml:space="preserve"> for the primary, within-site analyses and 0.05 for the other analyses</w:t>
      </w:r>
      <w:r>
        <w:t xml:space="preserve">. Missing data was assumed as missing completely at random and managed with listwise deletion in the repeated-measures ANCOVA and type III Wald F tests. No sensitivity analyses were performed. </w:t>
      </w:r>
    </w:p>
    <w:p w14:paraId="35DF6CBD" w14:textId="3B26BCF5" w:rsidR="009A0C39" w:rsidRDefault="009A0C39" w:rsidP="009A0C39">
      <w:r>
        <w:t xml:space="preserve">The primary outcome, glucose responses within the sampled sites, were analysed with repeated-measures ANOVA and ANCOVA for the unadjusted and adjusted estimates respectively. using group as a between-subject factor and time as a within-subject factor with a random intercept for each participant within the </w:t>
      </w:r>
      <w:proofErr w:type="spellStart"/>
      <w:r>
        <w:t>afex</w:t>
      </w:r>
      <w:proofErr w:type="spellEnd"/>
      <w:r>
        <w:t xml:space="preserve"> package. Centred age and BMI variables were added as covariates in the repeated-measures ANCOVA. All analyses applied the Greenhouse-Geisser correction for violation of sphericity. Model assumptions of residual normality, homogeneity of variance, sphericity and outliers were assessed statistically with Shapiro-Wilks test, Levene’s test, Mauchly test and zeroed score deviation respectively. Furthermore, quantile-quantile (Q-Q) plots, histograms, residuals-fitted and standardised residuals plots were inspected for visual confirmation. Post-hoc pairwise comparison of resultant estimated marginal means from each group at the different time points were performed for significant interaction terms, applying the Bonferroni correction for multiplicity. </w:t>
      </w:r>
    </w:p>
    <w:p w14:paraId="575B4F3F" w14:textId="365C7D38" w:rsidR="009A0C39" w:rsidRDefault="009A0C39" w:rsidP="009A0C39">
      <w:r>
        <w:t xml:space="preserve">The secondary and tertiary exploratory outcomes, glucose responses across sites and subgingival pH response within the gingival </w:t>
      </w:r>
      <w:r w:rsidR="00A2057D">
        <w:t>blood</w:t>
      </w:r>
      <w:r w:rsidR="00A2057D">
        <w:t xml:space="preserve"> </w:t>
      </w:r>
      <w:r>
        <w:t>respectively</w:t>
      </w:r>
      <w:r w:rsidR="00270EAF">
        <w:t xml:space="preserve"> (with synchronous coupling)</w:t>
      </w:r>
      <w:r>
        <w:t xml:space="preserve">, were analysed using a linear mixed model and type III F-test with Kenward-Roger approximation. Post-hoc pairwise comparison of resultant estimated marginal means was performed where the fixed effects or interactions of Site and/or Group reached p &lt; 0.1, using Kenward-Roger adjusted standard error and degrees of freedom and applying the Bonferroni correction for multiplicity. The Time × Group interaction was performed for exploration in the interdental pH analysis. The resultant model coefficients, standard error, Wald confidence intervals, random effect variance components and conditional and marginal coefficients of determination were </w:t>
      </w:r>
      <w:r w:rsidR="00CC7FB9">
        <w:t xml:space="preserve">also </w:t>
      </w:r>
      <w:r>
        <w:t xml:space="preserve">extracted. T- statistics and p-values were derived using Satterthwaite’s approximation. Model assumptions of residual normality, random effects normality, homogeneity of variance, outliers and influence were assessed statistically with Shapiro-Wilks tests, </w:t>
      </w:r>
      <w:proofErr w:type="spellStart"/>
      <w:r>
        <w:t>check_</w:t>
      </w:r>
      <w:proofErr w:type="gramStart"/>
      <w:r>
        <w:t>heteroscedasticity</w:t>
      </w:r>
      <w:proofErr w:type="spellEnd"/>
      <w:r>
        <w:t>(</w:t>
      </w:r>
      <w:proofErr w:type="gramEnd"/>
      <w:r>
        <w:t>) from the performance package, zeroed score deviation, Cook’s distance and generalised variance inflation factors respectively. Furthermore, quantile-quantile (Q-Q) plots, histograms, participant random effect intercepts, residuals-fitted, standardised residuals and Cook’s distance plots were inspected for visual confirmation.</w:t>
      </w:r>
    </w:p>
    <w:p w14:paraId="28EE389B" w14:textId="0964A616" w:rsidR="00E11F25" w:rsidRDefault="009A0C39" w:rsidP="009A0C39">
      <w:r>
        <w:t>Linear mixed models were fitted with restricted maximum likelihood, with model equations based on the pre-specified research question without stepwise model comparison. For glucose responses across sites, the fixed effects included Time (following the provision of oral glucose), Site (sampled) and Group (</w:t>
      </w:r>
      <w:proofErr w:type="spellStart"/>
      <w:r>
        <w:t>ie</w:t>
      </w:r>
      <w:proofErr w:type="spellEnd"/>
      <w:r>
        <w:t xml:space="preserve"> </w:t>
      </w:r>
      <w:r w:rsidR="00CC7FB9">
        <w:t>health</w:t>
      </w:r>
      <w:r>
        <w:t>/</w:t>
      </w:r>
      <w:r w:rsidR="00CC7FB9">
        <w:t>periodontitis</w:t>
      </w:r>
      <w:r>
        <w:t xml:space="preserve">) with all two-way and three-way interaction </w:t>
      </w:r>
      <w:r>
        <w:lastRenderedPageBreak/>
        <w:t>terms included. For the pH response, both Time, Group and the two-way interaction term were included as fixed effects. Both models used centred age and BMI variables as fixed effects for the confounder-adjusted estimates. Models were first fitted with a maximal random effects structure but simplified to converge and avoid singular fit. This was achieved by first removing interaction terms and then correlations between the nested terms (</w:t>
      </w:r>
      <w:proofErr w:type="spellStart"/>
      <w:r>
        <w:t>ie</w:t>
      </w:r>
      <w:proofErr w:type="spellEnd"/>
      <w:r>
        <w:t xml:space="preserve"> Time and Site within each participant). The control group, baseline time and venous blood sample (for glucose data only) were set as reference points for the models.</w:t>
      </w:r>
    </w:p>
    <w:p w14:paraId="5580CBF1" w14:textId="2FB21CF9" w:rsidR="00270EAF" w:rsidRDefault="00270EAF" w:rsidP="00270EAF"/>
    <w:sectPr w:rsidR="00270E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C39"/>
    <w:rsid w:val="000B046B"/>
    <w:rsid w:val="0018660E"/>
    <w:rsid w:val="001C4CAD"/>
    <w:rsid w:val="00240229"/>
    <w:rsid w:val="00257A62"/>
    <w:rsid w:val="00270EAF"/>
    <w:rsid w:val="0031347D"/>
    <w:rsid w:val="007875D7"/>
    <w:rsid w:val="00882DC5"/>
    <w:rsid w:val="008E260C"/>
    <w:rsid w:val="009A0C39"/>
    <w:rsid w:val="00A2057D"/>
    <w:rsid w:val="00B0583E"/>
    <w:rsid w:val="00B12F66"/>
    <w:rsid w:val="00B52FD9"/>
    <w:rsid w:val="00C435F6"/>
    <w:rsid w:val="00CC7FB9"/>
    <w:rsid w:val="00CE2C02"/>
    <w:rsid w:val="00E11F25"/>
    <w:rsid w:val="00ED072B"/>
    <w:rsid w:val="00F66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D0505"/>
  <w15:chartTrackingRefBased/>
  <w15:docId w15:val="{1894ECEA-7AF7-4D70-893C-7279B9EB6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0C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C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C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C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C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C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C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C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C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C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C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C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C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C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C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C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C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C39"/>
    <w:rPr>
      <w:rFonts w:eastAsiaTheme="majorEastAsia" w:cstheme="majorBidi"/>
      <w:color w:val="272727" w:themeColor="text1" w:themeTint="D8"/>
    </w:rPr>
  </w:style>
  <w:style w:type="paragraph" w:styleId="Title">
    <w:name w:val="Title"/>
    <w:basedOn w:val="Normal"/>
    <w:next w:val="Normal"/>
    <w:link w:val="TitleChar"/>
    <w:uiPriority w:val="10"/>
    <w:qFormat/>
    <w:rsid w:val="009A0C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C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C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C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C39"/>
    <w:pPr>
      <w:spacing w:before="160"/>
      <w:jc w:val="center"/>
    </w:pPr>
    <w:rPr>
      <w:i/>
      <w:iCs/>
      <w:color w:val="404040" w:themeColor="text1" w:themeTint="BF"/>
    </w:rPr>
  </w:style>
  <w:style w:type="character" w:customStyle="1" w:styleId="QuoteChar">
    <w:name w:val="Quote Char"/>
    <w:basedOn w:val="DefaultParagraphFont"/>
    <w:link w:val="Quote"/>
    <w:uiPriority w:val="29"/>
    <w:rsid w:val="009A0C39"/>
    <w:rPr>
      <w:i/>
      <w:iCs/>
      <w:color w:val="404040" w:themeColor="text1" w:themeTint="BF"/>
    </w:rPr>
  </w:style>
  <w:style w:type="paragraph" w:styleId="ListParagraph">
    <w:name w:val="List Paragraph"/>
    <w:basedOn w:val="Normal"/>
    <w:uiPriority w:val="34"/>
    <w:qFormat/>
    <w:rsid w:val="009A0C39"/>
    <w:pPr>
      <w:ind w:left="720"/>
      <w:contextualSpacing/>
    </w:pPr>
  </w:style>
  <w:style w:type="character" w:styleId="IntenseEmphasis">
    <w:name w:val="Intense Emphasis"/>
    <w:basedOn w:val="DefaultParagraphFont"/>
    <w:uiPriority w:val="21"/>
    <w:qFormat/>
    <w:rsid w:val="009A0C39"/>
    <w:rPr>
      <w:i/>
      <w:iCs/>
      <w:color w:val="0F4761" w:themeColor="accent1" w:themeShade="BF"/>
    </w:rPr>
  </w:style>
  <w:style w:type="paragraph" w:styleId="IntenseQuote">
    <w:name w:val="Intense Quote"/>
    <w:basedOn w:val="Normal"/>
    <w:next w:val="Normal"/>
    <w:link w:val="IntenseQuoteChar"/>
    <w:uiPriority w:val="30"/>
    <w:qFormat/>
    <w:rsid w:val="009A0C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C39"/>
    <w:rPr>
      <w:i/>
      <w:iCs/>
      <w:color w:val="0F4761" w:themeColor="accent1" w:themeShade="BF"/>
    </w:rPr>
  </w:style>
  <w:style w:type="character" w:styleId="IntenseReference">
    <w:name w:val="Intense Reference"/>
    <w:basedOn w:val="DefaultParagraphFont"/>
    <w:uiPriority w:val="32"/>
    <w:qFormat/>
    <w:rsid w:val="009A0C39"/>
    <w:rPr>
      <w:b/>
      <w:bCs/>
      <w:smallCaps/>
      <w:color w:val="0F4761" w:themeColor="accent1" w:themeShade="BF"/>
      <w:spacing w:val="5"/>
    </w:rPr>
  </w:style>
  <w:style w:type="paragraph" w:styleId="Revision">
    <w:name w:val="Revision"/>
    <w:hidden/>
    <w:uiPriority w:val="99"/>
    <w:semiHidden/>
    <w:rsid w:val="001866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1864</TotalTime>
  <Pages>2</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Daly</dc:creator>
  <cp:keywords/>
  <dc:description/>
  <cp:lastModifiedBy>Vitor de Carvalho Moreno das Neves</cp:lastModifiedBy>
  <cp:revision>12</cp:revision>
  <dcterms:created xsi:type="dcterms:W3CDTF">2026-06-22T20:18:00Z</dcterms:created>
  <dcterms:modified xsi:type="dcterms:W3CDTF">2026-07-14T05:19:00Z</dcterms:modified>
</cp:coreProperties>
</file>