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96D9" w14:textId="77777777" w:rsidR="00546352" w:rsidRDefault="00546352" w:rsidP="005463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6352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4DD8B11F" w14:textId="77777777" w:rsidR="00467646" w:rsidRPr="00546352" w:rsidRDefault="00467646" w:rsidP="005463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254FF2" w14:textId="77777777" w:rsidR="00467646" w:rsidRPr="00467646" w:rsidRDefault="00467646" w:rsidP="00467646">
      <w:pPr>
        <w:rPr>
          <w:rFonts w:ascii="Times New Roman" w:hAnsi="Times New Roman" w:cs="Times New Roman"/>
          <w:sz w:val="24"/>
          <w:szCs w:val="24"/>
        </w:rPr>
      </w:pPr>
      <w:r w:rsidRPr="00467646">
        <w:rPr>
          <w:rFonts w:ascii="Times New Roman" w:hAnsi="Times New Roman" w:cs="Times New Roman"/>
          <w:sz w:val="24"/>
          <w:szCs w:val="24"/>
        </w:rPr>
        <w:t>This Supporting Information provides additional experimental data and characterization results supporting the structural evolution and generality discussed in the main text.</w:t>
      </w:r>
    </w:p>
    <w:p w14:paraId="4283A09C" w14:textId="77777777" w:rsidR="00467646" w:rsidRDefault="00467646" w:rsidP="00467646">
      <w:pPr>
        <w:rPr>
          <w:rFonts w:ascii="Times New Roman" w:hAnsi="Times New Roman" w:cs="Times New Roman"/>
          <w:sz w:val="24"/>
          <w:szCs w:val="24"/>
        </w:rPr>
      </w:pPr>
      <w:r w:rsidRPr="00467646">
        <w:rPr>
          <w:rFonts w:ascii="Times New Roman" w:hAnsi="Times New Roman" w:cs="Times New Roman"/>
          <w:sz w:val="24"/>
          <w:szCs w:val="24"/>
        </w:rPr>
        <w:t>Supplementary figures include morphological comparisons across different monomer systems, additional structural characterization, and thermal and chemical stability analyses. These data further support the diffusion–reaction-controlled mechanism and the decoupling between apparent morphology and internal packing density.</w:t>
      </w:r>
    </w:p>
    <w:p w14:paraId="201ACA97" w14:textId="77777777" w:rsidR="00990CA3" w:rsidRDefault="00990CA3" w:rsidP="00990CA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242D3E" w14:textId="77777777" w:rsidR="00361DAD" w:rsidRDefault="00361DAD" w:rsidP="00361D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C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3570B4" wp14:editId="09318D93">
            <wp:extent cx="3022600" cy="2260142"/>
            <wp:effectExtent l="0" t="0" r="6350" b="6985"/>
            <wp:docPr id="17737633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633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6925" cy="226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87A12" w14:textId="77777777" w:rsidR="00361DAD" w:rsidRPr="00990CA3" w:rsidRDefault="00361DAD" w:rsidP="00361DAD">
      <w:pPr>
        <w:spacing w:line="276" w:lineRule="auto"/>
        <w:rPr>
          <w:rFonts w:ascii="Times New Roman" w:hAnsi="Times New Roman" w:cs="Times New Roman"/>
          <w:b/>
          <w:bCs/>
          <w:szCs w:val="21"/>
        </w:rPr>
      </w:pPr>
      <w:r w:rsidRPr="00990CA3">
        <w:rPr>
          <w:rFonts w:ascii="Times New Roman" w:hAnsi="Times New Roman" w:cs="Times New Roman"/>
          <w:b/>
          <w:bCs/>
          <w:szCs w:val="21"/>
        </w:rPr>
        <w:t>Fig</w:t>
      </w:r>
      <w:r w:rsidRPr="00990CA3">
        <w:rPr>
          <w:rFonts w:ascii="Times New Roman" w:hAnsi="Times New Roman" w:cs="Times New Roman" w:hint="eastAsia"/>
          <w:b/>
          <w:bCs/>
          <w:szCs w:val="21"/>
        </w:rPr>
        <w:t>ure</w:t>
      </w:r>
      <w:r w:rsidRPr="00990CA3">
        <w:rPr>
          <w:rFonts w:ascii="Times New Roman" w:hAnsi="Times New Roman" w:cs="Times New Roman"/>
          <w:b/>
          <w:bCs/>
          <w:szCs w:val="21"/>
        </w:rPr>
        <w:t xml:space="preserve"> S1 | Correlation-function analysis of the SAXS profile of TTPA–IL.</w:t>
      </w:r>
    </w:p>
    <w:p w14:paraId="6F9FB025" w14:textId="77777777" w:rsidR="00361DAD" w:rsidRPr="00990CA3" w:rsidRDefault="00361DAD" w:rsidP="00361DAD">
      <w:pPr>
        <w:spacing w:line="276" w:lineRule="auto"/>
        <w:rPr>
          <w:rFonts w:ascii="Times New Roman" w:hAnsi="Times New Roman" w:cs="Times New Roman"/>
          <w:szCs w:val="21"/>
        </w:rPr>
      </w:pPr>
      <w:r w:rsidRPr="00990CA3">
        <w:rPr>
          <w:rFonts w:ascii="Times New Roman" w:hAnsi="Times New Roman" w:cs="Times New Roman"/>
          <w:szCs w:val="21"/>
        </w:rPr>
        <w:t xml:space="preserve">Correlation-function analysis performed on the SAXS profile of TTPA–IL. The analysis yields a characteristic hard-domain size of approximately 31 nm and a long-period correlation of approximately 108 nm. These values suggest structural correlations extending beyond the characteristic ~12 nm periodicity identified from the SAXS reflections. </w:t>
      </w:r>
    </w:p>
    <w:p w14:paraId="2B2E9168" w14:textId="77777777" w:rsidR="00467646" w:rsidRPr="00361DAD" w:rsidRDefault="00467646" w:rsidP="00546352">
      <w:pPr>
        <w:rPr>
          <w:rFonts w:ascii="Times New Roman" w:hAnsi="Times New Roman" w:cs="Times New Roman"/>
          <w:sz w:val="24"/>
          <w:szCs w:val="24"/>
        </w:rPr>
      </w:pPr>
    </w:p>
    <w:p w14:paraId="004A1AA0" w14:textId="13E524DF" w:rsidR="00593573" w:rsidRPr="00546352" w:rsidRDefault="0038641A">
      <w:pPr>
        <w:rPr>
          <w:rFonts w:ascii="Times New Roman" w:hAnsi="Times New Roman" w:cs="Times New Roman"/>
        </w:rPr>
      </w:pPr>
      <w:r w:rsidRPr="0038641A">
        <w:rPr>
          <w:noProof/>
        </w:rPr>
        <w:drawing>
          <wp:inline distT="0" distB="0" distL="0" distR="0" wp14:anchorId="3B0F6637" wp14:editId="7AC9EECD">
            <wp:extent cx="5400040" cy="1485900"/>
            <wp:effectExtent l="0" t="0" r="0" b="0"/>
            <wp:docPr id="152491066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750C6" w14:textId="3253F2EC" w:rsidR="00546352" w:rsidRPr="00546352" w:rsidRDefault="00546352" w:rsidP="00546352">
      <w:pPr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2</w:t>
      </w:r>
      <w:r w:rsidRPr="00546352">
        <w:rPr>
          <w:rFonts w:ascii="Times New Roman" w:hAnsi="Times New Roman" w:cs="Times New Roman"/>
          <w:b/>
          <w:bCs/>
        </w:rPr>
        <w:t xml:space="preserve"> | Comparison of morphology in TPA-based systems.</w:t>
      </w:r>
    </w:p>
    <w:p w14:paraId="1DB153EB" w14:textId="77777777" w:rsidR="00546352" w:rsidRDefault="00546352" w:rsidP="00546352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 xml:space="preserve">Polarized optical microscopy (POM) images of polymer structures derived from TPA–DBT, TPA–IL, and TTPE–IL systems. Samples were treated by sonication in isopropanol for 10 minutes prior to </w:t>
      </w:r>
      <w:r w:rsidRPr="00546352">
        <w:rPr>
          <w:rFonts w:ascii="Times New Roman" w:hAnsi="Times New Roman" w:cs="Times New Roman"/>
        </w:rPr>
        <w:lastRenderedPageBreak/>
        <w:t>observation. Differences in morphology reflect the influence of solvent environment and reaction conditions on structure formation.</w:t>
      </w:r>
    </w:p>
    <w:p w14:paraId="7D325C16" w14:textId="77777777" w:rsidR="00546352" w:rsidRPr="00546352" w:rsidRDefault="00546352" w:rsidP="00546352">
      <w:pPr>
        <w:rPr>
          <w:rFonts w:ascii="Times New Roman" w:hAnsi="Times New Roman" w:cs="Times New Roman"/>
        </w:rPr>
      </w:pPr>
    </w:p>
    <w:p w14:paraId="15B0DE85" w14:textId="160C579A" w:rsidR="00546352" w:rsidRPr="00546352" w:rsidRDefault="0038641A" w:rsidP="00546352">
      <w:pPr>
        <w:jc w:val="center"/>
        <w:rPr>
          <w:rFonts w:ascii="Times New Roman" w:hAnsi="Times New Roman" w:cs="Times New Roman"/>
        </w:rPr>
      </w:pPr>
      <w:r w:rsidRPr="0038641A">
        <w:rPr>
          <w:noProof/>
        </w:rPr>
        <w:drawing>
          <wp:inline distT="0" distB="0" distL="0" distR="0" wp14:anchorId="1626CBFE" wp14:editId="69246A92">
            <wp:extent cx="5400040" cy="3325495"/>
            <wp:effectExtent l="0" t="0" r="0" b="8255"/>
            <wp:docPr id="18776503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D3B4F" w14:textId="2F82498C" w:rsidR="00546352" w:rsidRPr="00546352" w:rsidRDefault="00546352" w:rsidP="00546352">
      <w:pPr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3</w:t>
      </w:r>
      <w:r w:rsidRPr="00546352">
        <w:rPr>
          <w:rFonts w:ascii="Times New Roman" w:hAnsi="Times New Roman" w:cs="Times New Roman"/>
          <w:b/>
          <w:bCs/>
        </w:rPr>
        <w:t xml:space="preserve"> | X-ray diffraction analysis of different polymer systems.</w:t>
      </w:r>
    </w:p>
    <w:p w14:paraId="42355D14" w14:textId="20B6E1CC" w:rsidR="00546352" w:rsidRPr="00272B1B" w:rsidRDefault="00546352" w:rsidP="00546352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>Powder X-ray diffraction (PXRD) patterns of representative systems, including TPA–DBT, TPA–IL, and TTPE–IL. Characteristic interlayer spacings are observed in the range of ~3.9–4.1 Å,</w:t>
      </w:r>
      <w:r w:rsidR="00467646" w:rsidRPr="00467646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="00467646" w:rsidRPr="00467646">
        <w:rPr>
          <w:rFonts w:ascii="Times New Roman" w:hAnsi="Times New Roman" w:cs="Times New Roman"/>
        </w:rPr>
        <w:t>indicating that local packing is preserved despite differences in morphology, consistent with the conclusions in Fig</w:t>
      </w:r>
      <w:r w:rsidR="004611A4">
        <w:rPr>
          <w:rFonts w:ascii="Times New Roman" w:hAnsi="Times New Roman" w:cs="Times New Roman" w:hint="eastAsia"/>
        </w:rPr>
        <w:t xml:space="preserve">ure </w:t>
      </w:r>
      <w:r w:rsidR="00467646" w:rsidRPr="00467646">
        <w:rPr>
          <w:rFonts w:ascii="Times New Roman" w:hAnsi="Times New Roman" w:cs="Times New Roman"/>
        </w:rPr>
        <w:t>6.</w:t>
      </w:r>
      <w:r w:rsidR="00272B1B">
        <w:rPr>
          <w:rFonts w:ascii="Times New Roman" w:hAnsi="Times New Roman" w:cs="Times New Roman" w:hint="eastAsia"/>
        </w:rPr>
        <w:t xml:space="preserve"> </w:t>
      </w:r>
      <w:r w:rsidR="00272B1B" w:rsidRPr="00272B1B">
        <w:rPr>
          <w:rFonts w:ascii="Times New Roman" w:hAnsi="Times New Roman" w:cs="Times New Roman"/>
        </w:rPr>
        <w:t>Minor additional peaks are attributed to residual or confined BMIM–PF₆ species associated with the polymer structures under ionic liquid conditions.</w:t>
      </w:r>
    </w:p>
    <w:p w14:paraId="143E1496" w14:textId="77777777" w:rsidR="00546352" w:rsidRDefault="00546352">
      <w:pPr>
        <w:rPr>
          <w:rFonts w:ascii="Times New Roman" w:hAnsi="Times New Roman" w:cs="Times New Roman"/>
        </w:rPr>
      </w:pPr>
    </w:p>
    <w:p w14:paraId="7B5C1549" w14:textId="6DB4D5C2" w:rsidR="00546352" w:rsidRPr="00546352" w:rsidRDefault="00D15143">
      <w:pPr>
        <w:rPr>
          <w:rFonts w:ascii="Times New Roman" w:hAnsi="Times New Roman" w:cs="Times New Roman"/>
        </w:rPr>
      </w:pPr>
      <w:r w:rsidRPr="00D15143">
        <w:rPr>
          <w:noProof/>
        </w:rPr>
        <w:drawing>
          <wp:inline distT="0" distB="0" distL="0" distR="0" wp14:anchorId="461A8A8D" wp14:editId="77D23D5B">
            <wp:extent cx="5400040" cy="1467485"/>
            <wp:effectExtent l="0" t="0" r="0" b="0"/>
            <wp:docPr id="9725238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0AB3" w14:textId="015D8CB3" w:rsidR="00546352" w:rsidRPr="00546352" w:rsidRDefault="00546352" w:rsidP="00546352">
      <w:pPr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4</w:t>
      </w:r>
      <w:r w:rsidRPr="00546352">
        <w:rPr>
          <w:rFonts w:ascii="Times New Roman" w:hAnsi="Times New Roman" w:cs="Times New Roman"/>
          <w:b/>
          <w:bCs/>
        </w:rPr>
        <w:t xml:space="preserve"> | SEM comparison across different systems.</w:t>
      </w:r>
    </w:p>
    <w:p w14:paraId="7E0EEDED" w14:textId="77777777" w:rsidR="00546352" w:rsidRPr="00546352" w:rsidRDefault="00546352" w:rsidP="00546352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>Scanning electron microscopy (SEM) images of polymer structures obtained from TPA–IL, TPA–DBT, and TTPE–IL systems. Variations in morphology demonstrate the effect of reaction environment and monomer reactivity on structural evolution.</w:t>
      </w:r>
    </w:p>
    <w:p w14:paraId="546640F0" w14:textId="77777777" w:rsidR="00546352" w:rsidRDefault="00546352" w:rsidP="00546352">
      <w:pPr>
        <w:rPr>
          <w:rFonts w:ascii="Times New Roman" w:hAnsi="Times New Roman" w:cs="Times New Roman"/>
        </w:rPr>
      </w:pPr>
    </w:p>
    <w:p w14:paraId="2A7705AF" w14:textId="3C412BEF" w:rsidR="00467646" w:rsidRPr="00546352" w:rsidRDefault="007D6BB6" w:rsidP="00546352">
      <w:pPr>
        <w:rPr>
          <w:rFonts w:ascii="Times New Roman" w:hAnsi="Times New Roman" w:cs="Times New Roman"/>
        </w:rPr>
      </w:pPr>
      <w:r w:rsidRPr="007D6BB6">
        <w:rPr>
          <w:noProof/>
        </w:rPr>
        <w:drawing>
          <wp:inline distT="0" distB="0" distL="0" distR="0" wp14:anchorId="6E34D83D" wp14:editId="2682F22D">
            <wp:extent cx="5400040" cy="2616835"/>
            <wp:effectExtent l="0" t="0" r="0" b="0"/>
            <wp:docPr id="2542375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301B7" w14:textId="2951D590" w:rsidR="00467646" w:rsidRPr="00467646" w:rsidRDefault="00467646" w:rsidP="00467646">
      <w:pPr>
        <w:rPr>
          <w:rFonts w:ascii="Times New Roman" w:hAnsi="Times New Roman" w:cs="Times New Roman"/>
          <w:b/>
          <w:bCs/>
        </w:rPr>
      </w:pPr>
      <w:r w:rsidRPr="00467646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5</w:t>
      </w:r>
      <w:r w:rsidRPr="00467646">
        <w:rPr>
          <w:rFonts w:ascii="Times New Roman" w:hAnsi="Times New Roman" w:cs="Times New Roman"/>
          <w:b/>
          <w:bCs/>
        </w:rPr>
        <w:t xml:space="preserve"> | Internal structural heterogeneity across different systems.</w:t>
      </w:r>
    </w:p>
    <w:p w14:paraId="0040F131" w14:textId="7ABA2066" w:rsidR="00546352" w:rsidRPr="00467646" w:rsidRDefault="00467646" w:rsidP="00546352">
      <w:pPr>
        <w:rPr>
          <w:rFonts w:ascii="Times New Roman" w:hAnsi="Times New Roman" w:cs="Times New Roman"/>
        </w:rPr>
      </w:pPr>
      <w:r w:rsidRPr="00467646">
        <w:rPr>
          <w:rFonts w:ascii="Times New Roman" w:hAnsi="Times New Roman" w:cs="Times New Roman"/>
        </w:rPr>
        <w:t xml:space="preserve">STEM–SEM images of representative polymer systems, including TPA–IL, TPA–DBT, and TTPE–IL. </w:t>
      </w:r>
      <w:r w:rsidR="006B1FF1" w:rsidRPr="006B1FF1">
        <w:rPr>
          <w:rFonts w:ascii="Times New Roman" w:hAnsi="Times New Roman" w:cs="Times New Roman"/>
        </w:rPr>
        <w:t>Contrast differences within particles indicate spatially heterogeneous internal organization under non-equilibrium conditions. The relative contributions of molecular orientation, mesoscale order and local composition cannot be distinguished from these data alone.</w:t>
      </w:r>
      <w:r w:rsidRPr="00467646">
        <w:rPr>
          <w:rFonts w:ascii="Times New Roman" w:hAnsi="Times New Roman" w:cs="Times New Roman"/>
        </w:rPr>
        <w:t xml:space="preserve"> These observations complement the cross-sectional FIB–SEM analysis (Fig</w:t>
      </w:r>
      <w:r w:rsidR="004611A4">
        <w:rPr>
          <w:rFonts w:ascii="Times New Roman" w:hAnsi="Times New Roman" w:cs="Times New Roman" w:hint="eastAsia"/>
        </w:rPr>
        <w:t>ure</w:t>
      </w:r>
      <w:r w:rsidRPr="00467646">
        <w:rPr>
          <w:rFonts w:ascii="Times New Roman" w:hAnsi="Times New Roman" w:cs="Times New Roman"/>
        </w:rPr>
        <w:t xml:space="preserve"> 4), which confirms the solid nature of the particles.</w:t>
      </w:r>
    </w:p>
    <w:p w14:paraId="7DC2DE45" w14:textId="7C053833" w:rsidR="00546352" w:rsidRPr="00546352" w:rsidRDefault="007A6B94" w:rsidP="005463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988B35C" wp14:editId="11316142">
            <wp:extent cx="5400000" cy="5652858"/>
            <wp:effectExtent l="0" t="0" r="0" b="5080"/>
            <wp:docPr id="8102844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652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EEEC2" w14:textId="77777777" w:rsidR="000078E1" w:rsidRDefault="000078E1" w:rsidP="00546352">
      <w:pPr>
        <w:rPr>
          <w:rFonts w:ascii="Times New Roman" w:hAnsi="Times New Roman" w:cs="Times New Roman"/>
          <w:b/>
          <w:bCs/>
        </w:rPr>
      </w:pPr>
    </w:p>
    <w:p w14:paraId="273AD135" w14:textId="72EE4050" w:rsidR="00546352" w:rsidRPr="00546352" w:rsidRDefault="00546352" w:rsidP="00546352">
      <w:pPr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6</w:t>
      </w:r>
      <w:r w:rsidRPr="00546352">
        <w:rPr>
          <w:rFonts w:ascii="Times New Roman" w:hAnsi="Times New Roman" w:cs="Times New Roman"/>
          <w:b/>
          <w:bCs/>
        </w:rPr>
        <w:t xml:space="preserve"> | Structural characterization of low-reactivity systems.</w:t>
      </w:r>
    </w:p>
    <w:p w14:paraId="35492A73" w14:textId="38D8F506" w:rsidR="00272B1B" w:rsidRPr="00272B1B" w:rsidRDefault="00546352" w:rsidP="00272B1B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 xml:space="preserve">POM, SEM, and PXRD data for TPMA–IL and TPE–IL systems. These systems exhibit planar lamellar morphologies and characteristic interlayer spacings, consistent with diffusion-dominated growth under </w:t>
      </w:r>
      <w:r w:rsidR="001E65D0" w:rsidRPr="001E65D0">
        <w:rPr>
          <w:rFonts w:ascii="Times New Roman" w:hAnsi="Times New Roman" w:cs="Times New Roman"/>
        </w:rPr>
        <w:t>low effective-</w:t>
      </w:r>
      <w:proofErr w:type="spellStart"/>
      <w:r w:rsidR="001E65D0" w:rsidRPr="001E65D0">
        <w:rPr>
          <w:rFonts w:ascii="Times New Roman" w:hAnsi="Times New Roman" w:cs="Times New Roman"/>
        </w:rPr>
        <w:t>Damköhler</w:t>
      </w:r>
      <w:proofErr w:type="spellEnd"/>
      <w:r w:rsidR="001E65D0" w:rsidRPr="001E65D0">
        <w:rPr>
          <w:rFonts w:ascii="Times New Roman" w:hAnsi="Times New Roman" w:cs="Times New Roman"/>
        </w:rPr>
        <w:t>-number conditions</w:t>
      </w:r>
      <w:r w:rsidRPr="00546352">
        <w:rPr>
          <w:rFonts w:ascii="Times New Roman" w:hAnsi="Times New Roman" w:cs="Times New Roman"/>
        </w:rPr>
        <w:t>.</w:t>
      </w:r>
      <w:r w:rsidR="00272B1B">
        <w:rPr>
          <w:rFonts w:ascii="Times New Roman" w:hAnsi="Times New Roman" w:cs="Times New Roman" w:hint="eastAsia"/>
        </w:rPr>
        <w:t xml:space="preserve"> </w:t>
      </w:r>
      <w:r w:rsidR="00272B1B" w:rsidRPr="00272B1B">
        <w:rPr>
          <w:rFonts w:ascii="Times New Roman" w:hAnsi="Times New Roman" w:cs="Times New Roman"/>
        </w:rPr>
        <w:t xml:space="preserve">Additional peaks </w:t>
      </w:r>
      <w:r w:rsidR="00342CC4">
        <w:rPr>
          <w:rFonts w:ascii="Times New Roman" w:hAnsi="Times New Roman" w:cs="Times New Roman"/>
        </w:rPr>
        <w:t xml:space="preserve">(marked with asterisks) </w:t>
      </w:r>
      <w:r w:rsidR="00272B1B" w:rsidRPr="00272B1B">
        <w:rPr>
          <w:rFonts w:ascii="Times New Roman" w:hAnsi="Times New Roman" w:cs="Times New Roman"/>
        </w:rPr>
        <w:t>observed in the PXRD patterns are attributed to confined BMIM–PF₆ species, which remain associated with the polymer structures under ionic liquid conditions, particularly in lower-reactivity systems where polymer network formation is less dense.</w:t>
      </w:r>
    </w:p>
    <w:p w14:paraId="2D1386BC" w14:textId="52EE51B2" w:rsidR="00546352" w:rsidRPr="00546352" w:rsidRDefault="00546352" w:rsidP="00546352">
      <w:pPr>
        <w:rPr>
          <w:rFonts w:ascii="Times New Roman" w:hAnsi="Times New Roman" w:cs="Times New Roman"/>
        </w:rPr>
      </w:pPr>
    </w:p>
    <w:p w14:paraId="66A4F75E" w14:textId="77777777" w:rsidR="00B53B9B" w:rsidRDefault="00B53B9B" w:rsidP="001838F6">
      <w:pPr>
        <w:jc w:val="center"/>
        <w:rPr>
          <w:rFonts w:ascii="Times New Roman" w:hAnsi="Times New Roman" w:cs="Times New Roman"/>
        </w:rPr>
      </w:pPr>
    </w:p>
    <w:p w14:paraId="4513FC53" w14:textId="48D880BA" w:rsidR="00B53B9B" w:rsidRDefault="00B53B9B" w:rsidP="00971E85">
      <w:pPr>
        <w:rPr>
          <w:rFonts w:ascii="Times New Roman" w:hAnsi="Times New Roman" w:cs="Times New Roman"/>
        </w:rPr>
      </w:pPr>
    </w:p>
    <w:p w14:paraId="604A0E21" w14:textId="3B6C5A5A" w:rsidR="00546352" w:rsidRDefault="004500B9" w:rsidP="004C3FA2">
      <w:pPr>
        <w:jc w:val="center"/>
        <w:rPr>
          <w:rFonts w:ascii="Times New Roman" w:hAnsi="Times New Roman" w:cs="Times New Roman"/>
        </w:rPr>
      </w:pPr>
      <w:r w:rsidRPr="004500B9">
        <w:rPr>
          <w:noProof/>
        </w:rPr>
        <w:lastRenderedPageBreak/>
        <w:drawing>
          <wp:inline distT="0" distB="0" distL="0" distR="0" wp14:anchorId="7CF0A960" wp14:editId="3BFBACB8">
            <wp:extent cx="3131820" cy="2397846"/>
            <wp:effectExtent l="0" t="0" r="0" b="2540"/>
            <wp:docPr id="17226878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521" cy="2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6BDC9" w14:textId="5521838F" w:rsidR="004500B9" w:rsidRPr="004500B9" w:rsidRDefault="004500B9" w:rsidP="004500B9">
      <w:pPr>
        <w:rPr>
          <w:rFonts w:ascii="Times New Roman" w:hAnsi="Times New Roman" w:cs="Times New Roman"/>
          <w:b/>
          <w:bCs/>
        </w:rPr>
      </w:pPr>
      <w:r w:rsidRPr="004500B9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7</w:t>
      </w:r>
      <w:r w:rsidRPr="004500B9">
        <w:rPr>
          <w:rFonts w:ascii="Times New Roman" w:hAnsi="Times New Roman" w:cs="Times New Roman"/>
          <w:b/>
          <w:bCs/>
        </w:rPr>
        <w:t xml:space="preserve"> | Correlation between density and molecular packing across different polymer systems. </w:t>
      </w:r>
    </w:p>
    <w:p w14:paraId="770CA093" w14:textId="29CCAC5B" w:rsidR="001838F6" w:rsidRPr="004500B9" w:rsidRDefault="004500B9" w:rsidP="00395ACA">
      <w:pPr>
        <w:rPr>
          <w:rFonts w:ascii="Times New Roman" w:hAnsi="Times New Roman" w:cs="Times New Roman"/>
        </w:rPr>
      </w:pPr>
      <w:r w:rsidRPr="004500B9">
        <w:rPr>
          <w:rFonts w:ascii="Times New Roman" w:hAnsi="Times New Roman" w:cs="Times New Roman"/>
        </w:rPr>
        <w:t xml:space="preserve">True density values measured by helium </w:t>
      </w:r>
      <w:proofErr w:type="spellStart"/>
      <w:r w:rsidRPr="004500B9">
        <w:rPr>
          <w:rFonts w:ascii="Times New Roman" w:hAnsi="Times New Roman" w:cs="Times New Roman"/>
        </w:rPr>
        <w:t>pycnometry</w:t>
      </w:r>
      <w:proofErr w:type="spellEnd"/>
      <w:r w:rsidRPr="004500B9">
        <w:rPr>
          <w:rFonts w:ascii="Times New Roman" w:hAnsi="Times New Roman" w:cs="Times New Roman"/>
        </w:rPr>
        <w:t xml:space="preserve"> are compared with interlayer spacings obtained from PXRD. A dashed line is added as a guide to the eye to highlight the inverse correlation between interlayer distance and density. When the ester systems (TPE-IL and TTPE-IL) are considered separately, the data show an approximately linear trend, suggesting a possible difference in intercept between ester and </w:t>
      </w:r>
      <w:proofErr w:type="gramStart"/>
      <w:r w:rsidRPr="004500B9">
        <w:rPr>
          <w:rFonts w:ascii="Times New Roman" w:hAnsi="Times New Roman" w:cs="Times New Roman"/>
        </w:rPr>
        <w:t>amide</w:t>
      </w:r>
      <w:proofErr w:type="gramEnd"/>
      <w:r w:rsidRPr="004500B9">
        <w:rPr>
          <w:rFonts w:ascii="Times New Roman" w:hAnsi="Times New Roman" w:cs="Times New Roman"/>
        </w:rPr>
        <w:t xml:space="preserve"> systems. These results indicate that density is primarily governed by local molecular packing rather than macroscopic morphology.</w:t>
      </w:r>
    </w:p>
    <w:p w14:paraId="6B920FFE" w14:textId="77777777" w:rsidR="001838F6" w:rsidRDefault="001838F6" w:rsidP="001838F6">
      <w:pPr>
        <w:jc w:val="center"/>
        <w:rPr>
          <w:rFonts w:ascii="Times New Roman" w:hAnsi="Times New Roman" w:cs="Times New Roman"/>
        </w:rPr>
      </w:pPr>
    </w:p>
    <w:p w14:paraId="5D8F0E79" w14:textId="0145DB76" w:rsidR="00546352" w:rsidRPr="00546352" w:rsidRDefault="00546352" w:rsidP="00546352">
      <w:pPr>
        <w:jc w:val="center"/>
        <w:rPr>
          <w:rFonts w:ascii="Times New Roman" w:hAnsi="Times New Roman" w:cs="Times New Roman"/>
        </w:rPr>
      </w:pPr>
      <w:r w:rsidRPr="00546352">
        <w:rPr>
          <w:rFonts w:hint="eastAsia"/>
          <w:noProof/>
        </w:rPr>
        <w:drawing>
          <wp:inline distT="0" distB="0" distL="0" distR="0" wp14:anchorId="0A117417" wp14:editId="4208C6B2">
            <wp:extent cx="4451070" cy="2674620"/>
            <wp:effectExtent l="0" t="0" r="6985" b="0"/>
            <wp:docPr id="205756235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743" cy="267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8C6E" w14:textId="21200205" w:rsidR="00546352" w:rsidRPr="00546352" w:rsidRDefault="00546352" w:rsidP="00546352">
      <w:pPr>
        <w:jc w:val="left"/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8</w:t>
      </w:r>
      <w:r w:rsidRPr="00546352">
        <w:rPr>
          <w:rFonts w:ascii="Times New Roman" w:hAnsi="Times New Roman" w:cs="Times New Roman"/>
          <w:b/>
          <w:bCs/>
        </w:rPr>
        <w:t xml:space="preserve"> | Chemical stability under acidic conditions.</w:t>
      </w:r>
    </w:p>
    <w:p w14:paraId="12664478" w14:textId="77777777" w:rsidR="00546352" w:rsidRPr="00546352" w:rsidRDefault="00546352" w:rsidP="00546352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>Optical microscopy images of polymer particles after exposure to concentrated sulfuric acid under crossed and parallel polarizers. The preservation of morphology indicates high chemical stability of the formed covalent networks.</w:t>
      </w:r>
    </w:p>
    <w:p w14:paraId="5A6CF9B6" w14:textId="77777777" w:rsidR="00546352" w:rsidRDefault="00546352">
      <w:pPr>
        <w:rPr>
          <w:rFonts w:ascii="Times New Roman" w:hAnsi="Times New Roman" w:cs="Times New Roman"/>
        </w:rPr>
      </w:pPr>
    </w:p>
    <w:p w14:paraId="2D0AAE92" w14:textId="2CC7926C" w:rsidR="00546352" w:rsidRPr="00546352" w:rsidRDefault="00546352">
      <w:pPr>
        <w:rPr>
          <w:rFonts w:ascii="Times New Roman" w:hAnsi="Times New Roman" w:cs="Times New Roman"/>
        </w:rPr>
      </w:pPr>
      <w:r w:rsidRPr="00546352">
        <w:rPr>
          <w:rFonts w:hint="eastAsia"/>
          <w:noProof/>
        </w:rPr>
        <w:lastRenderedPageBreak/>
        <w:drawing>
          <wp:inline distT="0" distB="0" distL="0" distR="0" wp14:anchorId="10DDDF52" wp14:editId="0D4AE400">
            <wp:extent cx="5400040" cy="2238375"/>
            <wp:effectExtent l="0" t="0" r="0" b="9525"/>
            <wp:docPr id="16942457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3DD23" w14:textId="2105D3B5" w:rsidR="00546352" w:rsidRPr="00546352" w:rsidRDefault="00546352" w:rsidP="00546352">
      <w:pPr>
        <w:rPr>
          <w:rFonts w:ascii="Times New Roman" w:hAnsi="Times New Roman" w:cs="Times New Roman"/>
          <w:b/>
          <w:bCs/>
        </w:rPr>
      </w:pPr>
      <w:r w:rsidRPr="00546352">
        <w:rPr>
          <w:rFonts w:ascii="Times New Roman" w:hAnsi="Times New Roman" w:cs="Times New Roman"/>
          <w:b/>
          <w:bCs/>
        </w:rPr>
        <w:t>Figure S</w:t>
      </w:r>
      <w:r w:rsidR="00990CA3">
        <w:rPr>
          <w:rFonts w:ascii="Times New Roman" w:hAnsi="Times New Roman" w:cs="Times New Roman" w:hint="eastAsia"/>
          <w:b/>
          <w:bCs/>
        </w:rPr>
        <w:t>9</w:t>
      </w:r>
      <w:r w:rsidRPr="00546352">
        <w:rPr>
          <w:rFonts w:ascii="Times New Roman" w:hAnsi="Times New Roman" w:cs="Times New Roman"/>
          <w:b/>
          <w:bCs/>
        </w:rPr>
        <w:t xml:space="preserve"> | Thermal stability of polymer particles.</w:t>
      </w:r>
    </w:p>
    <w:p w14:paraId="5EFFAE50" w14:textId="77777777" w:rsidR="00546352" w:rsidRPr="00546352" w:rsidRDefault="00546352" w:rsidP="00546352">
      <w:pPr>
        <w:rPr>
          <w:rFonts w:ascii="Times New Roman" w:hAnsi="Times New Roman" w:cs="Times New Roman"/>
        </w:rPr>
      </w:pPr>
      <w:r w:rsidRPr="00546352">
        <w:rPr>
          <w:rFonts w:ascii="Times New Roman" w:hAnsi="Times New Roman" w:cs="Times New Roman"/>
        </w:rPr>
        <w:t>Thermogravimetric analysis (TGA) curves measured under inert (</w:t>
      </w:r>
      <w:proofErr w:type="spellStart"/>
      <w:r w:rsidRPr="00546352">
        <w:rPr>
          <w:rFonts w:ascii="Times New Roman" w:hAnsi="Times New Roman" w:cs="Times New Roman"/>
        </w:rPr>
        <w:t>Ar</w:t>
      </w:r>
      <w:proofErr w:type="spellEnd"/>
      <w:r w:rsidRPr="00546352">
        <w:rPr>
          <w:rFonts w:ascii="Times New Roman" w:hAnsi="Times New Roman" w:cs="Times New Roman"/>
        </w:rPr>
        <w:t>) and oxidative (</w:t>
      </w:r>
      <w:proofErr w:type="spellStart"/>
      <w:r w:rsidRPr="00546352">
        <w:rPr>
          <w:rFonts w:ascii="Times New Roman" w:hAnsi="Times New Roman" w:cs="Times New Roman"/>
        </w:rPr>
        <w:t>Ar</w:t>
      </w:r>
      <w:proofErr w:type="spellEnd"/>
      <w:r w:rsidRPr="00546352">
        <w:rPr>
          <w:rFonts w:ascii="Times New Roman" w:hAnsi="Times New Roman" w:cs="Times New Roman"/>
        </w:rPr>
        <w:t xml:space="preserve">/O₂) atmospheres for representative systems. The materials exhibit high thermal stability </w:t>
      </w:r>
      <w:proofErr w:type="gramStart"/>
      <w:r w:rsidRPr="00546352">
        <w:rPr>
          <w:rFonts w:ascii="Times New Roman" w:hAnsi="Times New Roman" w:cs="Times New Roman"/>
        </w:rPr>
        <w:t>characteristic</w:t>
      </w:r>
      <w:proofErr w:type="gramEnd"/>
      <w:r w:rsidRPr="00546352">
        <w:rPr>
          <w:rFonts w:ascii="Times New Roman" w:hAnsi="Times New Roman" w:cs="Times New Roman"/>
        </w:rPr>
        <w:t xml:space="preserve"> of aromatic polymer structures.</w:t>
      </w:r>
    </w:p>
    <w:p w14:paraId="3A3DF855" w14:textId="77777777" w:rsidR="00546352" w:rsidRDefault="00546352" w:rsidP="00546352">
      <w:pPr>
        <w:rPr>
          <w:rFonts w:ascii="Times New Roman" w:hAnsi="Times New Roman" w:cs="Times New Roman"/>
        </w:rPr>
      </w:pPr>
    </w:p>
    <w:p w14:paraId="43A56CF0" w14:textId="263A447F" w:rsidR="00546352" w:rsidRPr="00546352" w:rsidRDefault="00546352" w:rsidP="000078E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5C7330" w14:textId="57E58071" w:rsidR="00BB02C3" w:rsidRPr="00BB02C3" w:rsidRDefault="00BB02C3" w:rsidP="00BB02C3">
      <w:pPr>
        <w:rPr>
          <w:rFonts w:ascii="Times New Roman" w:hAnsi="Times New Roman" w:cs="Times New Roman"/>
        </w:rPr>
      </w:pPr>
      <w:r w:rsidRPr="00BB02C3">
        <w:rPr>
          <w:rFonts w:ascii="Times New Roman" w:hAnsi="Times New Roman" w:cs="Times New Roman"/>
          <w:b/>
          <w:bCs/>
        </w:rPr>
        <w:lastRenderedPageBreak/>
        <w:t>Supplementary Note | Effective reaction–transport parameter</w:t>
      </w:r>
      <w:r w:rsidRPr="00BB02C3">
        <w:rPr>
          <w:rFonts w:ascii="Times New Roman" w:hAnsi="Times New Roman" w:cs="Times New Roman"/>
        </w:rPr>
        <w:br/>
        <w:t xml:space="preserve">In the present study, the </w:t>
      </w:r>
      <w:proofErr w:type="spellStart"/>
      <w:r w:rsidRPr="00BB02C3">
        <w:rPr>
          <w:rFonts w:ascii="Times New Roman" w:hAnsi="Times New Roman" w:cs="Times New Roman"/>
        </w:rPr>
        <w:t>Damköhler</w:t>
      </w:r>
      <w:proofErr w:type="spellEnd"/>
      <w:r w:rsidRPr="00BB02C3">
        <w:rPr>
          <w:rFonts w:ascii="Times New Roman" w:hAnsi="Times New Roman" w:cs="Times New Roman"/>
        </w:rPr>
        <w:t xml:space="preserve"> number is used as an effective, qualitative descriptor of the competition between bond-formation kinetics and mass transport during phase-transition polymerization. A rigorous determination of </w:t>
      </w:r>
      <m:oMath>
        <m:r>
          <w:rPr>
            <w:rFonts w:ascii="Cambria Math" w:hAnsi="Cambria Math" w:cs="Times New Roman"/>
          </w:rPr>
          <m:t>Da</m:t>
        </m:r>
      </m:oMath>
      <w:r w:rsidR="001E65D0">
        <w:rPr>
          <w:rFonts w:ascii="Times New Roman" w:hAnsi="Times New Roman" w:cs="Times New Roman" w:hint="eastAsia"/>
        </w:rPr>
        <w:t xml:space="preserve"> </w:t>
      </w:r>
      <w:r w:rsidRPr="00BB02C3">
        <w:rPr>
          <w:rFonts w:ascii="Times New Roman" w:hAnsi="Times New Roman" w:cs="Times New Roman"/>
        </w:rPr>
        <w:t xml:space="preserve">would require independently measured reaction-rate constants, diffusion coefficients in the evolving reaction medium, and a physically defined characteristic transport length scale. These quantities are not directly accessible under the present heterogeneous polymerization conditions. Accordingly, no absolute </w:t>
      </w:r>
      <m:oMath>
        <m:r>
          <w:rPr>
            <w:rFonts w:ascii="Cambria Math" w:hAnsi="Cambria Math" w:cs="Times New Roman"/>
          </w:rPr>
          <m:t>Da</m:t>
        </m:r>
      </m:oMath>
      <w:r w:rsidR="001E65D0">
        <w:rPr>
          <w:rFonts w:ascii="Times New Roman" w:hAnsi="Times New Roman" w:cs="Times New Roman" w:hint="eastAsia"/>
        </w:rPr>
        <w:t xml:space="preserve"> v</w:t>
      </w:r>
      <w:r w:rsidRPr="00BB02C3">
        <w:rPr>
          <w:rFonts w:ascii="Times New Roman" w:hAnsi="Times New Roman" w:cs="Times New Roman"/>
        </w:rPr>
        <w:t>alues are assigned. Instead, increasing temperature and monomer reactivity are considered to increase the effective reaction-to-transport ratio, shifting the system from a diffusion-dominated regime that favours lamellar growth towards a reaction-dominated regime associated with three-dimensional particle formation.</w:t>
      </w:r>
    </w:p>
    <w:p w14:paraId="3D419F47" w14:textId="2B317952" w:rsidR="00401F65" w:rsidRPr="00BB02C3" w:rsidRDefault="00401F65" w:rsidP="00401F65">
      <w:pPr>
        <w:rPr>
          <w:rFonts w:ascii="Times New Roman" w:hAnsi="Times New Roman" w:cs="Times New Roman"/>
        </w:rPr>
      </w:pPr>
    </w:p>
    <w:p w14:paraId="1F9E506A" w14:textId="77777777" w:rsidR="00546352" w:rsidRPr="00546352" w:rsidRDefault="00546352">
      <w:pPr>
        <w:rPr>
          <w:rFonts w:ascii="Times New Roman" w:hAnsi="Times New Roman" w:cs="Times New Roman"/>
        </w:rPr>
      </w:pPr>
    </w:p>
    <w:sectPr w:rsidR="00546352" w:rsidRPr="005463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8D19" w14:textId="77777777" w:rsidR="00434C68" w:rsidRDefault="00434C68" w:rsidP="00272B1B">
      <w:r>
        <w:separator/>
      </w:r>
    </w:p>
  </w:endnote>
  <w:endnote w:type="continuationSeparator" w:id="0">
    <w:p w14:paraId="1714E671" w14:textId="77777777" w:rsidR="00434C68" w:rsidRDefault="00434C68" w:rsidP="0027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5E63" w14:textId="77777777" w:rsidR="00434C68" w:rsidRDefault="00434C68" w:rsidP="00272B1B">
      <w:r>
        <w:separator/>
      </w:r>
    </w:p>
  </w:footnote>
  <w:footnote w:type="continuationSeparator" w:id="0">
    <w:p w14:paraId="7A5AB66C" w14:textId="77777777" w:rsidR="00434C68" w:rsidRDefault="00434C68" w:rsidP="00272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52"/>
    <w:rsid w:val="000078E1"/>
    <w:rsid w:val="000268DD"/>
    <w:rsid w:val="00067B37"/>
    <w:rsid w:val="000F4CEB"/>
    <w:rsid w:val="000F6FBE"/>
    <w:rsid w:val="00111C05"/>
    <w:rsid w:val="0011533B"/>
    <w:rsid w:val="00146B31"/>
    <w:rsid w:val="001838F6"/>
    <w:rsid w:val="00196461"/>
    <w:rsid w:val="001E65D0"/>
    <w:rsid w:val="00204E1B"/>
    <w:rsid w:val="002078F7"/>
    <w:rsid w:val="00216BE1"/>
    <w:rsid w:val="002477FB"/>
    <w:rsid w:val="00272B1B"/>
    <w:rsid w:val="002B4300"/>
    <w:rsid w:val="002B5F77"/>
    <w:rsid w:val="00342CC4"/>
    <w:rsid w:val="00361DAD"/>
    <w:rsid w:val="0038641A"/>
    <w:rsid w:val="00395ACA"/>
    <w:rsid w:val="003F71F0"/>
    <w:rsid w:val="00401F65"/>
    <w:rsid w:val="00434C68"/>
    <w:rsid w:val="00437C47"/>
    <w:rsid w:val="004500B9"/>
    <w:rsid w:val="004611A4"/>
    <w:rsid w:val="00467646"/>
    <w:rsid w:val="00481E70"/>
    <w:rsid w:val="004C3FA2"/>
    <w:rsid w:val="004D123A"/>
    <w:rsid w:val="004E665C"/>
    <w:rsid w:val="00502093"/>
    <w:rsid w:val="00542F0D"/>
    <w:rsid w:val="00546352"/>
    <w:rsid w:val="00547316"/>
    <w:rsid w:val="00567910"/>
    <w:rsid w:val="00571982"/>
    <w:rsid w:val="00593573"/>
    <w:rsid w:val="00596E0F"/>
    <w:rsid w:val="005C62A0"/>
    <w:rsid w:val="005F5FED"/>
    <w:rsid w:val="00632C24"/>
    <w:rsid w:val="006640A5"/>
    <w:rsid w:val="0067134B"/>
    <w:rsid w:val="00697759"/>
    <w:rsid w:val="006A6CFF"/>
    <w:rsid w:val="006B1FF1"/>
    <w:rsid w:val="006C7EAC"/>
    <w:rsid w:val="00725C67"/>
    <w:rsid w:val="007719D6"/>
    <w:rsid w:val="00780042"/>
    <w:rsid w:val="00790FCB"/>
    <w:rsid w:val="007A54C3"/>
    <w:rsid w:val="007A6B94"/>
    <w:rsid w:val="007B4FEC"/>
    <w:rsid w:val="007D6BB6"/>
    <w:rsid w:val="007F7003"/>
    <w:rsid w:val="00817F24"/>
    <w:rsid w:val="008A7F17"/>
    <w:rsid w:val="008B1D48"/>
    <w:rsid w:val="009036E2"/>
    <w:rsid w:val="00941248"/>
    <w:rsid w:val="00947CC5"/>
    <w:rsid w:val="00971E85"/>
    <w:rsid w:val="00982D9C"/>
    <w:rsid w:val="00985E4D"/>
    <w:rsid w:val="00990CA3"/>
    <w:rsid w:val="009E261A"/>
    <w:rsid w:val="00AC67D4"/>
    <w:rsid w:val="00AD6F0F"/>
    <w:rsid w:val="00B05227"/>
    <w:rsid w:val="00B27CB2"/>
    <w:rsid w:val="00B479AC"/>
    <w:rsid w:val="00B53B9B"/>
    <w:rsid w:val="00B636F9"/>
    <w:rsid w:val="00BB02C3"/>
    <w:rsid w:val="00BE0050"/>
    <w:rsid w:val="00C41A44"/>
    <w:rsid w:val="00C70A7F"/>
    <w:rsid w:val="00CF0172"/>
    <w:rsid w:val="00D05DCF"/>
    <w:rsid w:val="00D15143"/>
    <w:rsid w:val="00D604EC"/>
    <w:rsid w:val="00D877C5"/>
    <w:rsid w:val="00DA1C32"/>
    <w:rsid w:val="00DA224E"/>
    <w:rsid w:val="00DB6E1A"/>
    <w:rsid w:val="00DC7CE7"/>
    <w:rsid w:val="00DE2160"/>
    <w:rsid w:val="00E86DFC"/>
    <w:rsid w:val="00E937AF"/>
    <w:rsid w:val="00EA5B42"/>
    <w:rsid w:val="00EC1136"/>
    <w:rsid w:val="00EF533F"/>
    <w:rsid w:val="00F54B92"/>
    <w:rsid w:val="00F609BE"/>
    <w:rsid w:val="00F655F9"/>
    <w:rsid w:val="00F75D1B"/>
    <w:rsid w:val="00F83BBB"/>
    <w:rsid w:val="00FA731F"/>
    <w:rsid w:val="00FB0A6A"/>
    <w:rsid w:val="00FB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CBEEF"/>
  <w15:chartTrackingRefBased/>
  <w15:docId w15:val="{D1E1BCA0-8B76-4448-81F8-8486F2DE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3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6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3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3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63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63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63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63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63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63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63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63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63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6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63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63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63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63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63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63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63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63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635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72B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2B1B"/>
  </w:style>
  <w:style w:type="paragraph" w:styleId="ac">
    <w:name w:val="footer"/>
    <w:basedOn w:val="a"/>
    <w:link w:val="ad"/>
    <w:uiPriority w:val="99"/>
    <w:unhideWhenUsed/>
    <w:rsid w:val="00272B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2B1B"/>
  </w:style>
  <w:style w:type="paragraph" w:styleId="ae">
    <w:name w:val="Revision"/>
    <w:hidden/>
    <w:uiPriority w:val="99"/>
    <w:semiHidden/>
    <w:rsid w:val="00342CC4"/>
  </w:style>
  <w:style w:type="character" w:styleId="af">
    <w:name w:val="annotation reference"/>
    <w:basedOn w:val="a0"/>
    <w:uiPriority w:val="99"/>
    <w:semiHidden/>
    <w:unhideWhenUsed/>
    <w:rsid w:val="006C7EA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6C7EAC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6C7EA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C7EA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C7E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812</Words>
  <Characters>4634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OK岡本 敏(Satoshi Okamoto)_SCC</dc:creator>
  <cp:keywords/>
  <dc:description/>
  <cp:lastModifiedBy>OK岡本 敏(Satoshi Okamoto)_SCC</cp:lastModifiedBy>
  <cp:revision>22</cp:revision>
  <dcterms:created xsi:type="dcterms:W3CDTF">2026-06-11T12:09:00Z</dcterms:created>
  <dcterms:modified xsi:type="dcterms:W3CDTF">2026-08-12T07:41:00Z</dcterms:modified>
</cp:coreProperties>
</file>