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Cs/>
          <w:b/>
        </w:rPr>
        <w:t xml:space="preserve">Additional file 1</w:t>
      </w:r>
    </w:p>
    <w:p>
      <w:pPr>
        <w:pStyle w:val="BodyText"/>
      </w:pPr>
      <w:r>
        <w:rPr>
          <w:bCs/>
          <w:b/>
        </w:rPr>
        <w:t xml:space="preserve">Supplementary materials for: Profiles of Planned Smartphone Use in Adolescents: A Two-Sample Latent Profile Analysis</w:t>
      </w:r>
    </w:p>
    <w:p>
      <w:pPr>
        <w:pStyle w:val="BodyText"/>
      </w:pPr>
      <w:r>
        <w:t xml:space="preserve">Mustafa Özkan, Bursa Uludag University</w:t>
      </w:r>
    </w:p>
    <w:p>
      <w:pPr>
        <w:pStyle w:val="BodyText"/>
      </w:pPr>
      <w:r>
        <w:rPr>
          <w:bCs/>
          <w:b/>
        </w:rPr>
        <w:t xml:space="preserve">Table S1</w:t>
      </w:r>
    </w:p>
    <w:p>
      <w:pPr>
        <w:pStyle w:val="BodyText"/>
      </w:pPr>
      <w:r>
        <w:rPr>
          <w:iCs/>
          <w:i/>
        </w:rPr>
        <w:t xml:space="preserve">Classification Quality (k = 3)</w:t>
      </w:r>
    </w:p>
    <w:tbl>
      <w:tblPr>
        <w:tblStyle w:val="Table"/>
        <w:tblLook w:firstRow="1" w:lastRow="0" w:firstColumn="0" w:lastColumn="0" w:noHBand="0" w:noVBand="0" w:val="0020"/>
        <w:jc w:val="start"/>
        <w:tblW w:w="5000" w:type="pct"/>
        <w:tbl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nil"/>
        </w:tblBorders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>
            <w:tcBorders>
              <w:bottom w:val="single" w:sz="4" w:space="0" w:color="auto"/>
            </w:tcBorders>
          </w:tcPr>
          <w:tcPr/>
          <w:p>
            <w:pPr>
              <w:pStyle w:val="Compact"/>
              <w:jc w:val="left"/>
            </w:pPr>
            <w:r>
              <w:t xml:space="preserve">Profile</w:t>
            </w:r>
          </w:p>
        </w:tc>
        <w:tc>
          <w:tcPr>
            <w:tcBorders>
              <w:bottom w:val="single" w:sz="4" w:space="0" w:color="auto"/>
            </w:tcBorders>
          </w:tcPr>
          <w:tcPr/>
          <w:p>
            <w:pPr>
              <w:pStyle w:val="Compact"/>
              <w:jc w:val="left"/>
            </w:pPr>
            <w:r>
              <w:t xml:space="preserve">S1 Q diagonal</w:t>
            </w:r>
          </w:p>
        </w:tc>
        <w:tc>
          <w:tcPr>
            <w:tcBorders>
              <w:bottom w:val="single" w:sz="4" w:space="0" w:color="auto"/>
            </w:tcBorders>
          </w:tcPr>
          <w:tcPr/>
          <w:p>
            <w:pPr>
              <w:pStyle w:val="Compact"/>
              <w:jc w:val="left"/>
            </w:pPr>
            <w:r>
              <w:t xml:space="preserve">S1 AvePP</w:t>
            </w:r>
          </w:p>
        </w:tc>
        <w:tc>
          <w:tcPr>
            <w:tcBorders>
              <w:bottom w:val="single" w:sz="4" w:space="0" w:color="auto"/>
            </w:tcBorders>
          </w:tcPr>
          <w:tcPr/>
          <w:p>
            <w:pPr>
              <w:pStyle w:val="Compact"/>
              <w:jc w:val="left"/>
            </w:pPr>
            <w:r>
              <w:t xml:space="preserve">S2 Q diagonal</w:t>
            </w:r>
          </w:p>
        </w:tc>
        <w:tc>
          <w:tcPr>
            <w:tcBorders>
              <w:bottom w:val="single" w:sz="4" w:space="0" w:color="auto"/>
            </w:tcBorders>
          </w:tcPr>
          <w:tcPr/>
          <w:p>
            <w:pPr>
              <w:pStyle w:val="Compact"/>
              <w:jc w:val="left"/>
            </w:pPr>
            <w:r>
              <w:t xml:space="preserve">S2 AvePP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Social-focused planners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0.798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0.836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Non-planners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0.837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Comprehensive planners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0.867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0.853</w:t>
            </w:r>
          </w:p>
        </w:tc>
      </w:tr>
    </w:tbl>
    <w:p>
      <w:pPr>
        <w:spacing w:before="60" w:after="240" w:line="240" w:lineRule="auto"/>
        <w:pStyle w:val="BodyText"/>
      </w:pPr>
      <w:r>
        <w:rPr>
          <w:sz w:val="20"/>
          <w:szCs w:val="20"/>
          <w:iCs/>
          <w:i/>
        </w:rPr>
        <w:t xml:space="preserve">Note.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Entropy: Study 1 = .628; Study 2 = .657. Q diagonal = probability of assignment to the correct class; AvePP = average posterior probability of assignment. Analyses: R 4.3.3 (lavaan, mclust, nnet); BCH and ML three-step corrections and bootstrap confidence intervals implemented in R.</w:t>
      </w:r>
    </w:p>
    <w:p>
      <w:pPr>
        <w:sectPr>
          <w:pgSz w:w="11906" w:h="16838"/>
          <w:pgMar w:top="1440" w:right="1440" w:bottom="1440" w:left="1440" w:header="708" w:footer="708" w:gutter="0"/>
          <w:cols w:space="708"/>
        </w:sectPr>
      </w:pPr>
    </w:p>
    <w:p>
      <w:pPr>
        <w:pStyle w:val="BodyText"/>
      </w:pPr>
      <w:r>
        <w:rPr>
          <w:bCs/>
          <w:b/>
        </w:rPr>
        <w:t xml:space="preserve">Table S2</w:t>
      </w:r>
    </w:p>
    <w:p>
      <w:pPr>
        <w:pStyle w:val="BodyText"/>
      </w:pPr>
      <w:r>
        <w:rPr>
          <w:iCs/>
          <w:i/>
        </w:rPr>
        <w:t xml:space="preserve">Multi-Group Latent Profile Similarity Testing: Model Comparison (k = 3, EEI; Pooled Data, N = 1749)</w:t>
      </w:r>
    </w:p>
    <w:tbl>
      <w:tblPr>
        <w:tblStyle w:val="Table"/>
        <w:tblLook w:firstRow="1" w:lastRow="0" w:firstColumn="0" w:lastColumn="0" w:noHBand="0" w:noVBand="0" w:val="0020"/>
        <w:jc w:val="start"/>
        <w:tblW w:w="5000" w:type="pct"/>
        <w:tbl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nil"/>
        </w:tblBorders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>
            <w:tcBorders>
              <w:bottom w:val="single" w:sz="4" w:space="0" w:color="auto"/>
            </w:tcBorders>
          </w:tcPr>
          <w:tcPr/>
          <w:p>
            <w:pPr>
              <w:pStyle w:val="Compact"/>
              <w:jc w:val="left"/>
            </w:pPr>
            <w:r>
              <w:t xml:space="preserve">Model</w:t>
            </w:r>
          </w:p>
        </w:tc>
        <w:tc>
          <w:tcPr>
            <w:tcBorders>
              <w:bottom w:val="single" w:sz="4" w:space="0" w:color="auto"/>
            </w:tcBorders>
          </w:tcPr>
          <w:tcPr/>
          <w:p>
            <w:pPr>
              <w:pStyle w:val="Compact"/>
              <w:jc w:val="left"/>
            </w:pPr>
            <w:r>
              <w:t xml:space="preserve">logL</w:t>
            </w:r>
          </w:p>
        </w:tc>
        <w:tc>
          <w:tcPr>
            <w:tcBorders>
              <w:bottom w:val="single" w:sz="4" w:space="0" w:color="auto"/>
            </w:tcBorders>
          </w:tcPr>
          <w:tcPr/>
          <w:p>
            <w:pPr>
              <w:pStyle w:val="Compact"/>
              <w:jc w:val="left"/>
            </w:pPr>
            <w:r>
              <w:t xml:space="preserve">Parameters</w:t>
            </w:r>
          </w:p>
        </w:tc>
        <w:tc>
          <w:tcPr>
            <w:tcBorders>
              <w:bottom w:val="single" w:sz="4" w:space="0" w:color="auto"/>
            </w:tcBorders>
          </w:tcPr>
          <w:tcPr/>
          <w:p>
            <w:pPr>
              <w:pStyle w:val="Compact"/>
              <w:jc w:val="left"/>
            </w:pPr>
            <w:r>
              <w:t xml:space="preserve">BIC</w:t>
            </w:r>
          </w:p>
        </w:tc>
        <w:tc>
          <w:tcPr>
            <w:tcBorders>
              <w:bottom w:val="single" w:sz="4" w:space="0" w:color="auto"/>
            </w:tcBorders>
          </w:tcPr>
          <w:tcPr/>
          <w:p>
            <w:pPr>
              <w:pStyle w:val="Compact"/>
              <w:jc w:val="left"/>
            </w:pPr>
            <w:r>
              <w:t xml:space="preserve">aBIC</w:t>
            </w:r>
          </w:p>
        </w:tc>
        <w:tc>
          <w:tcPr>
            <w:tcBorders>
              <w:bottom w:val="single" w:sz="4" w:space="0" w:color="auto"/>
            </w:tcBorders>
          </w:tcPr>
          <w:tcPr/>
          <w:p>
            <w:pPr>
              <w:pStyle w:val="Compact"/>
              <w:jc w:val="left"/>
            </w:pPr>
            <w:r>
              <w:t xml:space="preserve">ΔBIC</w:t>
            </w:r>
          </w:p>
        </w:tc>
        <w:tc>
          <w:tcPr>
            <w:tcBorders>
              <w:bottom w:val="single" w:sz="4" w:space="0" w:color="auto"/>
            </w:tcBorders>
          </w:tcPr>
          <w:tcPr/>
          <w:p>
            <w:pPr>
              <w:pStyle w:val="Compact"/>
              <w:jc w:val="left"/>
            </w:pPr>
            <w:r>
              <w:t xml:space="preserve">ΔaBIC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 Configural (free)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−6923.92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14056.9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13968.0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 Structural (profile means equal)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−6933.42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14008.7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13948.3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−48.2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−19.6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 Dispersion (+ variances equal)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−6933.92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13987.3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13936.5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−69.6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−31.5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4. Distributional (+ mixing proportions equal)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−6936.63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13977.8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13933.3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−79.1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−34.6</w:t>
            </w:r>
          </w:p>
        </w:tc>
      </w:tr>
    </w:tbl>
    <w:p>
      <w:pPr>
        <w:spacing w:before="60" w:after="240" w:line="240" w:lineRule="auto"/>
        <w:pStyle w:val="BodyText"/>
      </w:pPr>
      <w:r>
        <w:rPr>
          <w:sz w:val="20"/>
          <w:szCs w:val="20"/>
          <w:iCs/>
          <w:i/>
        </w:rPr>
        <w:t xml:space="preserve">Note.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Models constrained stepwise following Morin et al. (2016); the grouping variable is sample (Study 1, Study 2). ΔBIC and ΔaBIC are differences relative to the configural model; negative values favor the constrained model. The lowest BIC and aBIC are obtained in the full (distributional) similarity model.</w:t>
      </w:r>
    </w:p>
    <w:p>
      <w:pPr>
        <w:sectPr>
          <w:pgSz w:w="16838" w:h="11906" w:orient="landscape"/>
          <w:pgMar w:top="1134" w:right="1134" w:bottom="1134" w:left="1134" w:header="708" w:footer="708" w:gutter="0"/>
          <w:cols w:space="708"/>
        </w:sectPr>
      </w:pPr>
    </w:p>
    <w:sectPr>
      <w:pgSz w:w="11906" w:h="16838"/>
      <w:pgMar w:top="1440" w:right="1440" w:bottom="1440" w:left="1440" w:header="708" w:footer="708" w:gutter="0"/>
      <w:cols w:space="708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pPr>
      <w:spacing w:before="0" w:after="120" w:line="276" w:lineRule="auto"/>
    </w:pPr>
    <w:rPr>
      <w:rFonts w:ascii="Times New Roman" w:hAnsi="Times New Roman" w:cs="Times New Roman"/>
      <w:sz w:val="24"/>
      <w:szCs w:val="24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pPr>
      <w:spacing w:before="0" w:after="0" w:line="240" w:lineRule="auto"/>
      <w:ind w:firstLine="0"/>
    </w:pPr>
    <w:rPr>
      <w:rFonts w:ascii="Times New Roman" w:hAnsi="Times New Roman" w:cs="Times New Roman"/>
      <w:sz w:val="24"/>
      <w:szCs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000000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000000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000000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000000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00000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00000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000000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2026-08-11T20:49:41Z</dcterms:created>
  <dcterms:modified xsi:type="dcterms:W3CDTF">2026-08-11T20:49:41Z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