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C98162">
      <w:pPr>
        <w:spacing w:after="1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Supplementary Table S1. </w:t>
      </w:r>
      <w:r>
        <w:rPr>
          <w:rFonts w:ascii="Times New Roman" w:hAnsi="Times New Roman" w:eastAsia="Times New Roman"/>
          <w:b w:val="0"/>
          <w:i w:val="0"/>
          <w:sz w:val="21"/>
        </w:rPr>
        <w:t>Results of Principal Component Analysis for Socioeconomic Status Index Construction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2"/>
        <w:gridCol w:w="1872"/>
        <w:gridCol w:w="1872"/>
        <w:gridCol w:w="1872"/>
        <w:gridCol w:w="1872"/>
      </w:tblGrid>
      <w:tr w14:paraId="7DA749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18" w:type="dxa"/>
            <w:tcBorders>
              <w:top w:val="single" w:color="000000" w:sz="12" w:space="0"/>
              <w:bottom w:val="single" w:color="000000" w:sz="6" w:space="0"/>
            </w:tcBorders>
          </w:tcPr>
          <w:p w14:paraId="500C24E8"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1"/>
              </w:rPr>
              <w:t>Variable</w:t>
            </w:r>
          </w:p>
        </w:tc>
        <w:tc>
          <w:tcPr>
            <w:tcW w:w="1587" w:type="dxa"/>
            <w:tcBorders>
              <w:top w:val="single" w:color="000000" w:sz="12" w:space="0"/>
              <w:bottom w:val="single" w:color="000000" w:sz="6" w:space="0"/>
            </w:tcBorders>
          </w:tcPr>
          <w:p w14:paraId="0B9D6812"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1"/>
              </w:rPr>
              <w:t>Loading on PC1</w:t>
            </w:r>
          </w:p>
        </w:tc>
        <w:tc>
          <w:tcPr>
            <w:tcW w:w="1417" w:type="dxa"/>
            <w:tcBorders>
              <w:top w:val="single" w:color="000000" w:sz="12" w:space="0"/>
              <w:bottom w:val="single" w:color="000000" w:sz="6" w:space="0"/>
            </w:tcBorders>
          </w:tcPr>
          <w:p w14:paraId="5CDB7F16"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1"/>
              </w:rPr>
              <w:t>Communality</w:t>
            </w:r>
          </w:p>
        </w:tc>
        <w:tc>
          <w:tcPr>
            <w:tcW w:w="1701" w:type="dxa"/>
            <w:tcBorders>
              <w:top w:val="single" w:color="000000" w:sz="12" w:space="0"/>
              <w:bottom w:val="single" w:color="000000" w:sz="6" w:space="0"/>
            </w:tcBorders>
          </w:tcPr>
          <w:p w14:paraId="6C37F5A8"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1"/>
              </w:rPr>
              <w:t>Score coefficient</w:t>
            </w:r>
          </w:p>
        </w:tc>
        <w:tc>
          <w:tcPr>
            <w:tcW w:w="1417" w:type="dxa"/>
            <w:tcBorders>
              <w:top w:val="single" w:color="000000" w:sz="12" w:space="0"/>
              <w:bottom w:val="single" w:color="000000" w:sz="6" w:space="0"/>
            </w:tcBorders>
          </w:tcPr>
          <w:p w14:paraId="796251B7"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1"/>
              </w:rPr>
              <w:t>Weight (%)</w:t>
            </w:r>
          </w:p>
        </w:tc>
      </w:tr>
      <w:tr w14:paraId="34BAB0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18" w:type="dxa"/>
          </w:tcPr>
          <w:p w14:paraId="27E90BF1"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  <w:t>Education level</w:t>
            </w:r>
          </w:p>
        </w:tc>
        <w:tc>
          <w:tcPr>
            <w:tcW w:w="1587" w:type="dxa"/>
          </w:tcPr>
          <w:p w14:paraId="1220AADF"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  <w:t>0.844</w:t>
            </w:r>
          </w:p>
        </w:tc>
        <w:tc>
          <w:tcPr>
            <w:tcW w:w="1417" w:type="dxa"/>
          </w:tcPr>
          <w:p w14:paraId="4EBD311E"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  <w:t>0.712</w:t>
            </w:r>
          </w:p>
        </w:tc>
        <w:tc>
          <w:tcPr>
            <w:tcW w:w="1701" w:type="dxa"/>
          </w:tcPr>
          <w:p w14:paraId="0FCA9596"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  <w:t>0.707</w:t>
            </w:r>
          </w:p>
        </w:tc>
        <w:tc>
          <w:tcPr>
            <w:tcW w:w="1417" w:type="dxa"/>
          </w:tcPr>
          <w:p w14:paraId="13313428"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  <w:t>50.000</w:t>
            </w:r>
          </w:p>
        </w:tc>
      </w:tr>
      <w:tr w14:paraId="6AC8E4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18" w:type="dxa"/>
            <w:tcBorders>
              <w:bottom w:val="single" w:color="000000" w:sz="12" w:space="0"/>
            </w:tcBorders>
          </w:tcPr>
          <w:p w14:paraId="00CDA25E"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  <w:t>Log-transformed household income</w:t>
            </w:r>
          </w:p>
        </w:tc>
        <w:tc>
          <w:tcPr>
            <w:tcW w:w="1587" w:type="dxa"/>
            <w:tcBorders>
              <w:bottom w:val="single" w:color="000000" w:sz="12" w:space="0"/>
            </w:tcBorders>
          </w:tcPr>
          <w:p w14:paraId="2F73D6F9"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  <w:t>0.844</w:t>
            </w:r>
          </w:p>
        </w:tc>
        <w:tc>
          <w:tcPr>
            <w:tcW w:w="1417" w:type="dxa"/>
            <w:tcBorders>
              <w:bottom w:val="single" w:color="000000" w:sz="12" w:space="0"/>
            </w:tcBorders>
          </w:tcPr>
          <w:p w14:paraId="39AFAE12"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  <w:t>0.712</w:t>
            </w:r>
          </w:p>
        </w:tc>
        <w:tc>
          <w:tcPr>
            <w:tcW w:w="1701" w:type="dxa"/>
            <w:tcBorders>
              <w:bottom w:val="single" w:color="000000" w:sz="12" w:space="0"/>
            </w:tcBorders>
          </w:tcPr>
          <w:p w14:paraId="7EE7E474"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  <w:t>0.707</w:t>
            </w:r>
          </w:p>
        </w:tc>
        <w:tc>
          <w:tcPr>
            <w:tcW w:w="1417" w:type="dxa"/>
            <w:tcBorders>
              <w:bottom w:val="single" w:color="000000" w:sz="12" w:space="0"/>
            </w:tcBorders>
          </w:tcPr>
          <w:p w14:paraId="5CC2AD1B"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  <w:t>50.000</w:t>
            </w:r>
          </w:p>
        </w:tc>
      </w:tr>
    </w:tbl>
    <w:p w14:paraId="7CF16528">
      <w:pPr>
        <w:spacing w:before="120" w:line="276" w:lineRule="auto"/>
      </w:pPr>
      <w:r>
        <w:rPr>
          <w:rFonts w:ascii="Times New Roman" w:hAnsi="Times New Roman" w:eastAsia="Times New Roman"/>
          <w:b w:val="0"/>
          <w:i w:val="0"/>
          <w:sz w:val="18"/>
        </w:rPr>
        <w:t xml:space="preserve">Note. PC1 = first principal component. Extraction method: Principal Component Analysis. The eigenvalue of PC1 was 1.424, accounting for 71.209% of the total variance. The Kaiser–Meyer–Olkin (KMO) measure of sampling adequacy was 0.500. Bartlett's test of sphericity was statistically significant (approx. χ² = 138.357, df = 1, </w:t>
      </w:r>
      <w:r>
        <w:rPr>
          <w:rFonts w:ascii="Times New Roman" w:hAnsi="Times New Roman" w:eastAsia="Times New Roman"/>
          <w:b w:val="0"/>
          <w:i/>
          <w:sz w:val="18"/>
        </w:rPr>
        <w:t>P</w:t>
      </w:r>
      <w:r>
        <w:rPr>
          <w:rFonts w:ascii="Times New Roman" w:hAnsi="Times New Roman" w:eastAsia="Times New Roman"/>
          <w:b w:val="0"/>
          <w:i w:val="0"/>
          <w:sz w:val="18"/>
        </w:rPr>
        <w:t xml:space="preserve"> &lt; 0.001), indicating sufficient correlation between variables for factor extraction. </w:t>
      </w:r>
      <w:r>
        <w:rPr>
          <w:rFonts w:ascii="Times New Roman" w:hAnsi="Times New Roman" w:eastAsia="Times New Roman"/>
          <w:b w:val="0"/>
          <w:i/>
          <w:sz w:val="18"/>
        </w:rPr>
        <w:t>N</w:t>
      </w:r>
      <w:r>
        <w:rPr>
          <w:rFonts w:ascii="Times New Roman" w:hAnsi="Times New Roman" w:eastAsia="Times New Roman"/>
          <w:b w:val="0"/>
          <w:i w:val="0"/>
          <w:sz w:val="18"/>
        </w:rPr>
        <w:t xml:space="preserve"> = 700 after listwise deletion of missing data (43 cases excluded).</w:t>
      </w:r>
    </w:p>
    <w:p w14:paraId="53A3A828">
      <w:pPr>
        <w:spacing w:before="60" w:line="276" w:lineRule="auto"/>
      </w:pPr>
      <w:r>
        <w:rPr>
          <w:rFonts w:ascii="Times New Roman" w:hAnsi="Times New Roman" w:eastAsia="Times New Roman"/>
          <w:b w:val="0"/>
          <w:i w:val="0"/>
          <w:sz w:val="18"/>
        </w:rPr>
        <w:t>Both variables exhibited identical loadings (0.844) and score coefficients (0.707 ≈ 1/√2) on PC1, indicating that the first principal component is mathematically equivalent to an equal-weighted average of the two standardized variables. In sensitivity analyses, employment status and urban/rural residence were additionally included to construct a four-dimensional socioeconomic resources index, and the conclusions remained robust.</w:t>
      </w:r>
      <w:bookmarkStart w:id="0" w:name="_GoBack"/>
      <w:bookmarkEnd w:id="0"/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auto"/>
    <w:pitch w:val="default"/>
    <w:sig w:usb0="A00002BF" w:usb1="68C7FCFB" w:usb2="00000010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_MEDREF_DOCUID" w:val="{01A8BD63-8A89-4728-A57E-E3BAFCEEB303}"/>
    <w:docVar w:name="KY_MEDREF_VERSION" w:val="3"/>
  </w:docVars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4A624C03"/>
    <w:rsid w:val="795B6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160</Words>
  <Characters>1027</Characters>
  <Lines>0</Lines>
  <Paragraphs>0</Paragraphs>
  <TotalTime>0</TotalTime>
  <ScaleCrop>false</ScaleCrop>
  <LinksUpToDate>false</LinksUpToDate>
  <CharactersWithSpaces>1169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蒋蒋</cp:lastModifiedBy>
  <dcterms:modified xsi:type="dcterms:W3CDTF">2026-08-12T03:50:07Z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9850C776B2724A1CAE81B6379A64BCCD_13</vt:lpwstr>
  </property>
  <property fmtid="{D5CDD505-2E9C-101B-9397-08002B2CF9AE}" pid="4" name="KSOTemplateDocerSaveRecord">
    <vt:lpwstr>eyJoZGlkIjoiMmQ5NDFhMTI4ZjEzMGE0NGI1YTZlYmU3ZjU2OTI3OTEiLCJ1c2VySWQiOiIzMzk2ODcyNDgifQ==</vt:lpwstr>
  </property>
</Properties>
</file>