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 w:before="0" w:line="240" w:lineRule="auto"/>
        <w:jc w:val="left"/>
      </w:pPr>
      <w:r>
        <w:rPr>
          <w:rFonts w:ascii="Times New Roman" w:hAnsi="Times New Roman" w:eastAsia="Times New Roman"/>
          <w:b/>
          <w:sz w:val="20"/>
        </w:rPr>
        <w:t xml:space="preserve">Associated manuscript: </w:t>
      </w:r>
      <w:r>
        <w:rPr>
          <w:rFonts w:ascii="Times New Roman" w:hAnsi="Times New Roman" w:eastAsia="Times New Roman"/>
          <w:i/>
          <w:sz w:val="20"/>
        </w:rPr>
        <w:t>Development and Internal Validation of a Machine-Learning Model to Identify Low Clinical Teaching Self-Efficacy Among Nurse Preceptors: A Multicenter Cross-Sectional Study</w:t>
      </w:r>
    </w:p>
    <w:p>
      <w:pPr>
        <w:keepNext/>
        <w:spacing w:before="0" w:after="120" w:line="240" w:lineRule="auto"/>
        <w:jc w:val="center"/>
      </w:pPr>
      <w:r>
        <w:rPr>
          <w:rFonts w:ascii="Times New Roman" w:hAnsi="Times New Roman" w:eastAsia="Times New Roman"/>
          <w:b/>
          <w:sz w:val="28"/>
        </w:rPr>
        <w:t>Additional file 1</w:t>
      </w:r>
    </w:p>
    <w:p>
      <w:pPr>
        <w:keepNext/>
        <w:spacing w:after="100" w:before="0" w:line="240" w:lineRule="auto"/>
        <w:jc w:val="center"/>
      </w:pPr>
      <w:r>
        <w:rPr>
          <w:rFonts w:ascii="Times New Roman" w:hAnsi="Times New Roman" w:eastAsia="Times New Roman"/>
          <w:b/>
          <w:sz w:val="22"/>
        </w:rPr>
        <w:t>Supplementary Table S1. Pairwise DeLong comparisons of test-set AUCs among eight models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 w:sz="10" w:space="0" w:color="000000"/>
          <w:bottom w:val="nil" w:sz="10" w:space="0" w:color="000000"/>
          <w:left w:val="nil"/>
          <w:right w:val="nil"/>
          <w:insideV w:val="nil"/>
          <w:insideH w:val="nil"/>
        </w:tblBorders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>
        <w:trPr>
          <w:cantSplit/>
          <w:trHeight w:hRule="atLeast" w:val="360"/>
          <w:tblHeader w:val="true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1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Model 2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AUC 1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AUC 2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AUC</w:t>
              <w:br/>
              <w:t>difference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Z statistic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Raw P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bottom w:val="single" w:sz="8" w:space="0" w:color="000000"/>
              <w:top w:val="single" w:sz="10" w:space="0" w:color="000000"/>
              <w:left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Holm-adjusted</w:t>
              <w:br/>
              <w:t>P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-0.111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-5.830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-0.108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-5.608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-0.115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-5.287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-0.117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-5.250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0.095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5.239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-0.123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-4.926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-0.120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-4.796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0.101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4.763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-0.107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-4.193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-0.047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-3.663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0.005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-0.045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-3.673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0.005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0.070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3.417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0.011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0.064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3.340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&lt;0.001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0.013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0.031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3.213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0.020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0.078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3.178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0.021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0.071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3.165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0.002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0.021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-0.014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-3.169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0.002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0.021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-0.076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-2.974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0.003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0.032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-0.083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-2.871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0.004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0.041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-0.016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-2.834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0.005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0.041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-0.040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-2.224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0.026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0.209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-0.037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-2.082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0.037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0.261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Random forest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0.920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-0.024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-1.467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0.142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0.855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-0.005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-0.226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0.821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1.000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Logistic regression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0.813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-0.012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-0.413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0.680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1.000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Decision tree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XGBoost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0.896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0.889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0.007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0.499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0.618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1.000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SVM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KNN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0.819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0.825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-0.006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-0.280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0.779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1.000</w:t>
            </w:r>
          </w:p>
        </w:tc>
      </w:tr>
      <w:tr>
        <w:trPr>
          <w:cantSplit/>
          <w:trHeight w:hRule="atLeast" w:val="270"/>
        </w:trPr>
        <w:tc>
          <w:tcPr>
            <w:tcW w:type="dxa" w:w="175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Neural network</w:t>
            </w:r>
          </w:p>
        </w:tc>
        <w:tc>
          <w:tcPr>
            <w:tcW w:type="dxa" w:w="1928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LightGBM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0.936</w:t>
            </w:r>
          </w:p>
        </w:tc>
        <w:tc>
          <w:tcPr>
            <w:tcW w:type="dxa" w:w="879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0.934</w:t>
            </w:r>
          </w:p>
        </w:tc>
        <w:tc>
          <w:tcPr>
            <w:tcW w:type="dxa" w:w="1247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0.002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0.708</w:t>
            </w:r>
          </w:p>
        </w:tc>
        <w:tc>
          <w:tcPr>
            <w:tcW w:type="dxa" w:w="1134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0.479</w:t>
            </w:r>
          </w:p>
        </w:tc>
        <w:tc>
          <w:tcPr>
            <w:tcW w:type="dxa" w:w="1361"/>
            <w:vAlign w:val="center"/>
            <w:tcMar>
              <w:top w:w="35" w:type="dxa"/>
              <w:start w:w="55" w:type="dxa"/>
              <w:bottom w:w="35" w:type="dxa"/>
              <w:end w:w="55" w:type="dxa"/>
            </w:tcMar>
            <w:tcBorders>
              <w:top w:val="nil"/>
              <w:left w:val="nil"/>
              <w:bottom w:val="single" w:sz="10" w:space="0" w:color="000000"/>
              <w:right w:val="nil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1.000</w:t>
            </w:r>
          </w:p>
        </w:tc>
      </w:tr>
    </w:tbl>
    <w:p>
      <w:pPr>
        <w:keepLines/>
        <w:spacing w:before="100" w:after="0" w:line="240" w:lineRule="auto"/>
        <w:ind w:firstLine="0"/>
        <w:jc w:val="left"/>
      </w:pPr>
      <w:r>
        <w:rPr>
          <w:rFonts w:ascii="Times New Roman" w:hAnsi="Times New Roman" w:eastAsia="Times New Roman"/>
          <w:sz w:val="17"/>
        </w:rPr>
        <w:t>Note: AUC, area under the receiver operating characteristic curve; KNN, k-nearest neighbors; SVM, support vector machine; XGBoost, extreme gradient boosting; LightGBM, Light Gradient Boosting Machine. AUC difference was calculated as AUC 1 minus AUC 2. Raw P values were obtained using paired DeLong tests; Holm-adjusted P values account for all 28 pairwise model comparisons.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Times New Roman"/>
        <w:sz w:val="18"/>
      </w:rPr>
      <w:t>Page S</w:t>
    </w:r>
    <w:r>
      <w:rPr>
        <w:rFonts w:ascii="Times New Roman" w:hAnsi="Times New Roman" w:eastAsia="Times New Roman"/>
        <w:sz w:val="18"/>
      </w:rPr>
      <w:fldChar w:fldCharType="begin"/>
      <w:instrText xml:space="preserve">PAGE</w:instrText>
      <w:fldChar w:fldCharType="end"/>
    </w:r>
    <w:r>
      <w:rPr>
        <w:rFonts w:ascii="Times New Roman" w:hAnsi="Times New Roman" w:eastAsia="Times New Roman"/>
        <w:sz w:val="18"/>
      </w:rPr>
      <w:t xml:space="preserve"> of S</w:t>
    </w:r>
    <w:r>
      <w:rPr>
        <w:rFonts w:ascii="Times New Roman" w:hAnsi="Times New Roman" w:eastAsia="Times New Roman"/>
        <w:sz w:val="18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 w:eastAsia="Times New Roman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