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C02E0" w14:textId="779FB1A8" w:rsidR="00A709C8" w:rsidRPr="008D450E" w:rsidRDefault="004F3DB2" w:rsidP="008D450E">
      <w:pPr>
        <w:pStyle w:val="Title"/>
        <w:jc w:val="center"/>
        <w:rPr>
          <w:sz w:val="32"/>
          <w:szCs w:val="44"/>
        </w:rPr>
      </w:pPr>
      <w:r w:rsidRPr="008D450E">
        <w:rPr>
          <w:sz w:val="32"/>
          <w:szCs w:val="44"/>
        </w:rPr>
        <w:t>Low-Pt NiNC-supported PtNi nanoalloy oxygen reduction reaction electrocatalysts</w:t>
      </w:r>
      <w:r w:rsidR="00E22117" w:rsidRPr="008D450E">
        <w:rPr>
          <w:rFonts w:cs="Arial"/>
          <w:sz w:val="32"/>
          <w:szCs w:val="44"/>
        </w:rPr>
        <w:t>—</w:t>
      </w:r>
      <w:r w:rsidRPr="008D450E">
        <w:rPr>
          <w:sz w:val="32"/>
          <w:szCs w:val="44"/>
        </w:rPr>
        <w:t>In situ tracking of the atomic alloying process</w:t>
      </w:r>
    </w:p>
    <w:p w14:paraId="1E39F524" w14:textId="77777777" w:rsidR="00922C70" w:rsidRPr="002A29E8" w:rsidRDefault="00922C70" w:rsidP="002A29E8">
      <w:pPr>
        <w:ind w:firstLine="0"/>
        <w:jc w:val="center"/>
        <w:rPr>
          <w:b/>
          <w:bCs/>
          <w:lang w:val="de-DE"/>
        </w:rPr>
      </w:pPr>
      <w:r w:rsidRPr="002A29E8">
        <w:rPr>
          <w:b/>
          <w:bCs/>
          <w:lang w:val="de-DE"/>
        </w:rPr>
        <w:t>Quanchen Feng,</w:t>
      </w:r>
      <w:r w:rsidRPr="002A29E8">
        <w:rPr>
          <w:b/>
          <w:bCs/>
          <w:vertAlign w:val="superscript"/>
          <w:lang w:val="de-DE"/>
        </w:rPr>
        <w:t>†,*</w:t>
      </w:r>
      <w:r w:rsidRPr="002A29E8">
        <w:rPr>
          <w:b/>
          <w:bCs/>
          <w:lang w:val="de-DE"/>
        </w:rPr>
        <w:t xml:space="preserve"> Xingli Wang,</w:t>
      </w:r>
      <w:r w:rsidRPr="002A29E8">
        <w:rPr>
          <w:b/>
          <w:bCs/>
          <w:vertAlign w:val="superscript"/>
          <w:lang w:val="de-DE"/>
        </w:rPr>
        <w:t>†</w:t>
      </w:r>
      <w:r w:rsidRPr="002A29E8">
        <w:rPr>
          <w:b/>
          <w:bCs/>
          <w:lang w:val="de-DE"/>
        </w:rPr>
        <w:t xml:space="preserve"> Malte Klingenhof,</w:t>
      </w:r>
      <w:r w:rsidRPr="002A29E8">
        <w:rPr>
          <w:b/>
          <w:bCs/>
          <w:vertAlign w:val="superscript"/>
          <w:lang w:val="de-DE"/>
        </w:rPr>
        <w:t>†</w:t>
      </w:r>
      <w:r w:rsidRPr="002A29E8">
        <w:rPr>
          <w:b/>
          <w:bCs/>
          <w:lang w:val="de-DE"/>
        </w:rPr>
        <w:t xml:space="preserve"> Marc Heggen,</w:t>
      </w:r>
      <w:r w:rsidRPr="002A29E8">
        <w:rPr>
          <w:b/>
          <w:bCs/>
          <w:vertAlign w:val="superscript"/>
          <w:lang w:val="de-DE"/>
        </w:rPr>
        <w:t>‡</w:t>
      </w:r>
      <w:r w:rsidRPr="002A29E8">
        <w:rPr>
          <w:b/>
          <w:bCs/>
          <w:lang w:val="de-DE"/>
        </w:rPr>
        <w:t xml:space="preserve"> and Peter Strasser</w:t>
      </w:r>
      <w:r w:rsidRPr="002A29E8">
        <w:rPr>
          <w:b/>
          <w:bCs/>
          <w:vertAlign w:val="superscript"/>
          <w:lang w:val="de-DE"/>
        </w:rPr>
        <w:t>†,*</w:t>
      </w:r>
    </w:p>
    <w:p w14:paraId="307E1AC1" w14:textId="77777777" w:rsidR="00922C70" w:rsidRPr="002A29E8" w:rsidRDefault="00922C70" w:rsidP="002A29E8">
      <w:pPr>
        <w:ind w:firstLine="0"/>
        <w:jc w:val="center"/>
        <w:rPr>
          <w:i/>
          <w:iCs/>
          <w:lang w:val="en-US"/>
        </w:rPr>
      </w:pPr>
      <w:r w:rsidRPr="002A29E8">
        <w:rPr>
          <w:i/>
          <w:iCs/>
          <w:vertAlign w:val="superscript"/>
        </w:rPr>
        <w:t>†</w:t>
      </w:r>
      <w:r w:rsidRPr="002A29E8">
        <w:rPr>
          <w:i/>
          <w:iCs/>
          <w:lang w:val="en-US"/>
        </w:rPr>
        <w:t>Department of Chemistry, Chemical and Materials Engineering Division, The Electrochemical Energy, Catalysis and Materials Science Laboratory, Technische Universität Berlin, Berlin, Germany.</w:t>
      </w:r>
    </w:p>
    <w:p w14:paraId="70D52C30" w14:textId="77777777" w:rsidR="00922C70" w:rsidRPr="002A29E8" w:rsidRDefault="00922C70" w:rsidP="002A29E8">
      <w:pPr>
        <w:ind w:firstLine="0"/>
        <w:jc w:val="center"/>
        <w:rPr>
          <w:i/>
          <w:iCs/>
          <w:lang w:val="en-US"/>
        </w:rPr>
      </w:pPr>
      <w:r w:rsidRPr="002A29E8">
        <w:rPr>
          <w:i/>
          <w:iCs/>
          <w:vertAlign w:val="superscript"/>
        </w:rPr>
        <w:t>‡</w:t>
      </w:r>
      <w:r w:rsidRPr="002A29E8">
        <w:rPr>
          <w:i/>
          <w:iCs/>
          <w:lang w:val="en-US"/>
        </w:rPr>
        <w:t>Ernst Ruska-Centre for Microscopy and Spectroscopy with Electrons, Forschungszentrum Jülich GmbH, 52425 Jülich, Germany.</w:t>
      </w:r>
    </w:p>
    <w:p w14:paraId="3D0D119E" w14:textId="77777777" w:rsidR="00922C70" w:rsidRPr="00922C70" w:rsidRDefault="00922C70" w:rsidP="002A29E8">
      <w:pPr>
        <w:ind w:firstLine="0"/>
        <w:jc w:val="center"/>
        <w:rPr>
          <w:lang w:val="de-DE"/>
        </w:rPr>
      </w:pPr>
      <w:r w:rsidRPr="00922C70">
        <w:rPr>
          <w:vertAlign w:val="superscript"/>
          <w:lang w:val="de-DE"/>
        </w:rPr>
        <w:t>*</w:t>
      </w:r>
      <w:r w:rsidRPr="00922C70">
        <w:rPr>
          <w:lang w:val="de-DE"/>
        </w:rPr>
        <w:t>E-mail: quanchen.feng@campus.tu-berlin.de</w:t>
      </w:r>
    </w:p>
    <w:p w14:paraId="4AEEDB2C" w14:textId="6407924E" w:rsidR="00922C70" w:rsidRDefault="00922C70" w:rsidP="002A29E8">
      <w:pPr>
        <w:ind w:firstLine="0"/>
        <w:jc w:val="center"/>
        <w:rPr>
          <w:lang w:val="de-DE"/>
        </w:rPr>
      </w:pPr>
      <w:r w:rsidRPr="00922C70">
        <w:rPr>
          <w:vertAlign w:val="superscript"/>
          <w:lang w:val="de-DE"/>
        </w:rPr>
        <w:t>*</w:t>
      </w:r>
      <w:r w:rsidRPr="00922C70">
        <w:rPr>
          <w:lang w:val="de-DE"/>
        </w:rPr>
        <w:t xml:space="preserve">E-mail: </w:t>
      </w:r>
      <w:r w:rsidR="002A29E8" w:rsidRPr="002A29E8">
        <w:rPr>
          <w:lang w:val="de-DE"/>
        </w:rPr>
        <w:t>pstrasser@tu-berlin.de</w:t>
      </w:r>
    </w:p>
    <w:p w14:paraId="291532EA" w14:textId="77777777" w:rsidR="002A29E8" w:rsidRPr="00ED5EB0" w:rsidRDefault="002A29E8" w:rsidP="00922C70">
      <w:pPr>
        <w:ind w:firstLine="0"/>
      </w:pPr>
    </w:p>
    <w:p w14:paraId="7A3F05A0" w14:textId="77777777" w:rsidR="009353CC" w:rsidRPr="00ED5EB0" w:rsidRDefault="009353CC" w:rsidP="0052507A">
      <w:pPr>
        <w:pStyle w:val="Heading2"/>
        <w:sectPr w:rsidR="009353CC" w:rsidRPr="00ED5EB0" w:rsidSect="00480CBE">
          <w:pgSz w:w="11906" w:h="16838"/>
          <w:pgMar w:top="1440" w:right="1440" w:bottom="1440" w:left="1440" w:header="708" w:footer="708" w:gutter="0"/>
          <w:cols w:space="708"/>
          <w:docGrid w:linePitch="360"/>
        </w:sectPr>
      </w:pPr>
    </w:p>
    <w:p w14:paraId="2F8C9529" w14:textId="762B67EE" w:rsidR="0052507A" w:rsidRDefault="0052507A" w:rsidP="0052507A">
      <w:pPr>
        <w:pStyle w:val="Heading2"/>
      </w:pPr>
      <w:r>
        <w:lastRenderedPageBreak/>
        <w:t>Experimental section</w:t>
      </w:r>
    </w:p>
    <w:p w14:paraId="6CF09BBC" w14:textId="14A33FCB" w:rsidR="00507FDB" w:rsidRPr="00507FDB" w:rsidRDefault="00507FDB" w:rsidP="00507FDB">
      <w:pPr>
        <w:pStyle w:val="Heading3"/>
      </w:pPr>
      <w:r>
        <w:t>Catalyst preparation</w:t>
      </w:r>
    </w:p>
    <w:p w14:paraId="0685EA3D" w14:textId="70320378" w:rsidR="00675595" w:rsidRDefault="00675595" w:rsidP="0052507A">
      <w:r w:rsidRPr="004B5048">
        <w:rPr>
          <w:b/>
          <w:bCs/>
          <w:i/>
          <w:iCs/>
        </w:rPr>
        <w:t>Synthesis of NiNC</w:t>
      </w:r>
      <w:r>
        <w:rPr>
          <w:b/>
          <w:bCs/>
          <w:i/>
          <w:iCs/>
        </w:rPr>
        <w:t>-1</w:t>
      </w:r>
      <w:r w:rsidRPr="004B5048">
        <w:rPr>
          <w:b/>
          <w:bCs/>
          <w:i/>
          <w:iCs/>
        </w:rPr>
        <w:t xml:space="preserve"> support material:</w:t>
      </w:r>
      <w:r>
        <w:t xml:space="preserve"> </w:t>
      </w:r>
      <w:r w:rsidR="000D30D6">
        <w:t>NiNC-1</w:t>
      </w:r>
      <w:r w:rsidR="003762BC" w:rsidRPr="003762BC">
        <w:t xml:space="preserve"> </w:t>
      </w:r>
      <w:r w:rsidR="000D30D6">
        <w:t xml:space="preserve">support material was synthesized </w:t>
      </w:r>
      <w:r w:rsidR="003D2054">
        <w:t xml:space="preserve">by following a previously </w:t>
      </w:r>
      <w:r w:rsidR="00EA4C0B">
        <w:t xml:space="preserve">described </w:t>
      </w:r>
      <w:r w:rsidR="003D2054">
        <w:t>method</w:t>
      </w:r>
      <w:r w:rsidR="009C441D">
        <w:fldChar w:fldCharType="begin">
          <w:fldData xml:space="preserve">PEVuZE5vdGU+PENpdGU+PEF1dGhvcj5aaXRvbG88L0F1dGhvcj48WWVhcj4yMDE1PC9ZZWFyPjxS
ZWNOdW0+NDA1NjwvUmVjTnVtPjxEaXNwbGF5VGV4dD48c3R5bGUgZmFjZT0ic3VwZXJzY3JpcHQi
PjEsMjwvc3R5bGU+PC9EaXNwbGF5VGV4dD48cmVjb3JkPjxyZWMtbnVtYmVyPjQwNTY8L3JlYy1u
dW1iZXI+PGZvcmVpZ24ta2V5cz48a2V5IGFwcD0iRU4iIGRiLWlkPSJyZDlhMnNhZjl2eHZzeGVh
dHJweGFyczg5MHJzYXBzZXA5cjkiIHRpbWVzdGFtcD0iMTYyNDk3MDQ1NSI+NDA1Njwva2V5Pjwv
Zm9yZWlnbi1rZXlzPjxyZWYtdHlwZSBuYW1lPSJKb3VybmFsIEFydGljbGUiPjE3PC9yZWYtdHlw
ZT48Y29udHJpYnV0b3JzPjxhdXRob3JzPjxhdXRob3I+Wml0b2xvLCBBbmRyZWE8L2F1dGhvcj48
YXV0aG9yPkdvZWxsbmVyLCBWaW5jZW50PC9hdXRob3I+PGF1dGhvcj5Bcm1lbCwgVmFuZXNzYTwv
YXV0aG9yPjxhdXRob3I+U291Z3JhdGksIE1vdWxheS1UYWhhcjwvYXV0aG9yPjxhdXRob3I+TWlu
ZXZhLCBUem9ua2E8L2F1dGhvcj48YXV0aG9yPlN0aWV2YW5vLCBMb3JlbnpvPC9hdXRob3I+PGF1
dGhvcj5Gb25kYSwgRW1pbGlhbm88L2F1dGhvcj48YXV0aG9yPkphb3VlbiwgRnLDqWTDqXJpYzwv
YXV0aG9yPjwvYXV0aG9ycz48L2NvbnRyaWJ1dG9ycz48dGl0bGVzPjx0aXRsZT5JZGVudGlmaWNh
dGlvbiBvZiBjYXRhbHl0aWMgc2l0ZXMgZm9yIG94eWdlbiByZWR1Y3Rpb24gaW4gaXJvbi0gYW5k
IG5pdHJvZ2VuLWRvcGVkIGdyYXBoZW5lIG1hdGVyaWFsczwvdGl0bGU+PHNlY29uZGFyeS10aXRs
ZT5OYXR1cmUgTWF0ZXJpYWxzPC9zZWNvbmRhcnktdGl0bGU+PC90aXRsZXM+PHBlcmlvZGljYWw+
PGZ1bGwtdGl0bGU+TmF0dXJlIE1hdGVyaWFsczwvZnVsbC10aXRsZT48YWJici0xPk5hdC4gTWF0
ZXIuPC9hYmJyLTE+PC9wZXJpb2RpY2FsPjxwYWdlcz45MzfigJM5NDI8L3BhZ2VzPjx2b2x1bWU+
MTQ8L3ZvbHVtZT48bnVtYmVyPjk8L251bWJlcj48ZGF0ZXM+PHllYXI+MjAxNTwveWVhcj48cHVi
LWRhdGVzPjxkYXRlPjIwMTUvMDkvMDE8L2RhdGU+PC9wdWItZGF0ZXM+PC9kYXRlcz48aXNibj4x
NDc2LTQ2NjA8L2lzYm4+PHVybHM+PHJlbGF0ZWQtdXJscz48dXJsPmh0dHBzOi8vZG9pLm9yZy8x
MC4xMDM4L25tYXQ0MzY3PC91cmw+PC9yZWxhdGVkLXVybHM+PC91cmxzPjxlbGVjdHJvbmljLXJl
c291cmNlLW51bT4xMC4xMDM4L25tYXQ0MzY3PC9lbGVjdHJvbmljLXJlc291cmNlLW51bT48L3Jl
Y29yZD48L0NpdGU+PENpdGU+PEF1dGhvcj5aaXRvbG88L0F1dGhvcj48WWVhcj4yMDE3PC9ZZWFy
PjxSZWNOdW0+Mzk4NTwvUmVjTnVtPjxyZWNvcmQ+PHJlYy1udW1iZXI+Mzk4NTwvcmVjLW51bWJl
cj48Zm9yZWlnbi1rZXlzPjxrZXkgYXBwPSJFTiIgZGItaWQ9InJkOWEyc2FmOXZ4dnN4ZWF0cnB4
YXJzODkwcnNhcHNlcDlyOSIgdGltZXN0YW1wPSIxNTk5MTQzMDc2Ij4zOTg1PC9rZXk+PC9mb3Jl
aWduLWtleXM+PHJlZi10eXBlIG5hbWU9IkpvdXJuYWwgQXJ0aWNsZSI+MTc8L3JlZi10eXBlPjxj
b250cmlidXRvcnM+PGF1dGhvcnM+PGF1dGhvcj5aaXRvbG8sIEFuZHJlYTwvYXV0aG9yPjxhdXRo
b3I+UmFuamJhci1TYWhyYWllLCBOYXN0YXJhbjwvYXV0aG9yPjxhdXRob3I+TWluZXZhLCBUem9u
a2E8L2F1dGhvcj48YXV0aG9yPkxpLCBKaW5na3VuPC9hdXRob3I+PGF1dGhvcj5KaWEsIFFpbmd5
aW5nPC9hdXRob3I+PGF1dGhvcj5TdGFtYXRpbiwgU2VyYmFuPC9hdXRob3I+PGF1dGhvcj5IYXJy
aW5ndG9uLCBHZW9yZ2UgRi48L2F1dGhvcj48YXV0aG9yPkx5dGgsIFN0ZXBoZW4gTWF0aGV3PC9h
dXRob3I+PGF1dGhvcj5LcnRpbCwgUGV0cjwvYXV0aG9yPjxhdXRob3I+TXVrZXJqZWUsIFNhbmpl
ZXY8L2F1dGhvcj48YXV0aG9yPkZvbmRhLCBFbWlsaWFubzwvYXV0aG9yPjxhdXRob3I+SmFvdWVu
LCBGcsOpZMOpcmljPC9hdXRob3I+PC9hdXRob3JzPjwvY29udHJpYnV0b3JzPjx0aXRsZXM+PHRp
dGxlPklkZW50aWZpY2F0aW9uIG9mIGNhdGFseXRpYyBzaXRlcyBpbiBjb2JhbHQtbml0cm9nZW4t
Y2FyYm9uIG1hdGVyaWFscyBmb3IgdGhlIG94eWdlbiByZWR1Y3Rpb24gcmVhY3Rpb248L3RpdGxl
PjxzZWNvbmRhcnktdGl0bGU+TmF0dXJlIENvbW11bmljYXRpb25zPC9zZWNvbmRhcnktdGl0bGU+
PC90aXRsZXM+PHBlcmlvZGljYWw+PGZ1bGwtdGl0bGU+TmF0dXJlIENvbW11bmljYXRpb25zPC9m
dWxsLXRpdGxlPjxhYmJyLTE+TmF0LiBDb21tdW4uPC9hYmJyLTE+PC9wZXJpb2RpY2FsPjxwYWdl
cz45NTc8L3BhZ2VzPjx2b2x1bWU+ODwvdm9sdW1lPjxudW1iZXI+MTwvbnVtYmVyPjxkYXRlcz48
eWVhcj4yMDE3PC95ZWFyPjxwdWItZGF0ZXM+PGRhdGU+MjAxNy8xMC8xNjwvZGF0ZT48L3B1Yi1k
YXRlcz48L2RhdGVzPjxpc2JuPjIwNDEtMTcyMzwvaXNibj48dXJscz48cmVsYXRlZC11cmxzPjx1
cmw+aHR0cHM6Ly9kb2kub3JnLzEwLjEwMzgvczQxNDY3LTAxNy0wMTEwMC03PC91cmw+PC9yZWxh
dGVkLXVybHM+PC91cmxzPjxlbGVjdHJvbmljLXJlc291cmNlLW51bT4xMC4xMDM4L3M0MTQ2Ny0w
MTctMDExMDAtNzwvZWxlY3Ryb25pYy1yZXNvdXJjZS1udW0+PC9yZWNvcmQ+PC9DaXRlPjwvRW5k
Tm90ZT4A
</w:fldData>
        </w:fldChar>
      </w:r>
      <w:r w:rsidR="002E31E9">
        <w:instrText xml:space="preserve"> ADDIN EN.CITE </w:instrText>
      </w:r>
      <w:r w:rsidR="002E31E9">
        <w:fldChar w:fldCharType="begin">
          <w:fldData xml:space="preserve">PEVuZE5vdGU+PENpdGU+PEF1dGhvcj5aaXRvbG88L0F1dGhvcj48WWVhcj4yMDE1PC9ZZWFyPjxS
ZWNOdW0+NDA1NjwvUmVjTnVtPjxEaXNwbGF5VGV4dD48c3R5bGUgZmFjZT0ic3VwZXJzY3JpcHQi
PjEsMjwvc3R5bGU+PC9EaXNwbGF5VGV4dD48cmVjb3JkPjxyZWMtbnVtYmVyPjQwNTY8L3JlYy1u
dW1iZXI+PGZvcmVpZ24ta2V5cz48a2V5IGFwcD0iRU4iIGRiLWlkPSJyZDlhMnNhZjl2eHZzeGVh
dHJweGFyczg5MHJzYXBzZXA5cjkiIHRpbWVzdGFtcD0iMTYyNDk3MDQ1NSI+NDA1Njwva2V5Pjwv
Zm9yZWlnbi1rZXlzPjxyZWYtdHlwZSBuYW1lPSJKb3VybmFsIEFydGljbGUiPjE3PC9yZWYtdHlw
ZT48Y29udHJpYnV0b3JzPjxhdXRob3JzPjxhdXRob3I+Wml0b2xvLCBBbmRyZWE8L2F1dGhvcj48
YXV0aG9yPkdvZWxsbmVyLCBWaW5jZW50PC9hdXRob3I+PGF1dGhvcj5Bcm1lbCwgVmFuZXNzYTwv
YXV0aG9yPjxhdXRob3I+U291Z3JhdGksIE1vdWxheS1UYWhhcjwvYXV0aG9yPjxhdXRob3I+TWlu
ZXZhLCBUem9ua2E8L2F1dGhvcj48YXV0aG9yPlN0aWV2YW5vLCBMb3JlbnpvPC9hdXRob3I+PGF1
dGhvcj5Gb25kYSwgRW1pbGlhbm88L2F1dGhvcj48YXV0aG9yPkphb3VlbiwgRnLDqWTDqXJpYzwv
YXV0aG9yPjwvYXV0aG9ycz48L2NvbnRyaWJ1dG9ycz48dGl0bGVzPjx0aXRsZT5JZGVudGlmaWNh
dGlvbiBvZiBjYXRhbHl0aWMgc2l0ZXMgZm9yIG94eWdlbiByZWR1Y3Rpb24gaW4gaXJvbi0gYW5k
IG5pdHJvZ2VuLWRvcGVkIGdyYXBoZW5lIG1hdGVyaWFsczwvdGl0bGU+PHNlY29uZGFyeS10aXRs
ZT5OYXR1cmUgTWF0ZXJpYWxzPC9zZWNvbmRhcnktdGl0bGU+PC90aXRsZXM+PHBlcmlvZGljYWw+
PGZ1bGwtdGl0bGU+TmF0dXJlIE1hdGVyaWFsczwvZnVsbC10aXRsZT48YWJici0xPk5hdC4gTWF0
ZXIuPC9hYmJyLTE+PC9wZXJpb2RpY2FsPjxwYWdlcz45MzfigJM5NDI8L3BhZ2VzPjx2b2x1bWU+
MTQ8L3ZvbHVtZT48bnVtYmVyPjk8L251bWJlcj48ZGF0ZXM+PHllYXI+MjAxNTwveWVhcj48cHVi
LWRhdGVzPjxkYXRlPjIwMTUvMDkvMDE8L2RhdGU+PC9wdWItZGF0ZXM+PC9kYXRlcz48aXNibj4x
NDc2LTQ2NjA8L2lzYm4+PHVybHM+PHJlbGF0ZWQtdXJscz48dXJsPmh0dHBzOi8vZG9pLm9yZy8x
MC4xMDM4L25tYXQ0MzY3PC91cmw+PC9yZWxhdGVkLXVybHM+PC91cmxzPjxlbGVjdHJvbmljLXJl
c291cmNlLW51bT4xMC4xMDM4L25tYXQ0MzY3PC9lbGVjdHJvbmljLXJlc291cmNlLW51bT48L3Jl
Y29yZD48L0NpdGU+PENpdGU+PEF1dGhvcj5aaXRvbG88L0F1dGhvcj48WWVhcj4yMDE3PC9ZZWFy
PjxSZWNOdW0+Mzk4NTwvUmVjTnVtPjxyZWNvcmQ+PHJlYy1udW1iZXI+Mzk4NTwvcmVjLW51bWJl
cj48Zm9yZWlnbi1rZXlzPjxrZXkgYXBwPSJFTiIgZGItaWQ9InJkOWEyc2FmOXZ4dnN4ZWF0cnB4
YXJzODkwcnNhcHNlcDlyOSIgdGltZXN0YW1wPSIxNTk5MTQzMDc2Ij4zOTg1PC9rZXk+PC9mb3Jl
aWduLWtleXM+PHJlZi10eXBlIG5hbWU9IkpvdXJuYWwgQXJ0aWNsZSI+MTc8L3JlZi10eXBlPjxj
b250cmlidXRvcnM+PGF1dGhvcnM+PGF1dGhvcj5aaXRvbG8sIEFuZHJlYTwvYXV0aG9yPjxhdXRo
b3I+UmFuamJhci1TYWhyYWllLCBOYXN0YXJhbjwvYXV0aG9yPjxhdXRob3I+TWluZXZhLCBUem9u
a2E8L2F1dGhvcj48YXV0aG9yPkxpLCBKaW5na3VuPC9hdXRob3I+PGF1dGhvcj5KaWEsIFFpbmd5
aW5nPC9hdXRob3I+PGF1dGhvcj5TdGFtYXRpbiwgU2VyYmFuPC9hdXRob3I+PGF1dGhvcj5IYXJy
aW5ndG9uLCBHZW9yZ2UgRi48L2F1dGhvcj48YXV0aG9yPkx5dGgsIFN0ZXBoZW4gTWF0aGV3PC9h
dXRob3I+PGF1dGhvcj5LcnRpbCwgUGV0cjwvYXV0aG9yPjxhdXRob3I+TXVrZXJqZWUsIFNhbmpl
ZXY8L2F1dGhvcj48YXV0aG9yPkZvbmRhLCBFbWlsaWFubzwvYXV0aG9yPjxhdXRob3I+SmFvdWVu
LCBGcsOpZMOpcmljPC9hdXRob3I+PC9hdXRob3JzPjwvY29udHJpYnV0b3JzPjx0aXRsZXM+PHRp
dGxlPklkZW50aWZpY2F0aW9uIG9mIGNhdGFseXRpYyBzaXRlcyBpbiBjb2JhbHQtbml0cm9nZW4t
Y2FyYm9uIG1hdGVyaWFscyBmb3IgdGhlIG94eWdlbiByZWR1Y3Rpb24gcmVhY3Rpb248L3RpdGxl
PjxzZWNvbmRhcnktdGl0bGU+TmF0dXJlIENvbW11bmljYXRpb25zPC9zZWNvbmRhcnktdGl0bGU+
PC90aXRsZXM+PHBlcmlvZGljYWw+PGZ1bGwtdGl0bGU+TmF0dXJlIENvbW11bmljYXRpb25zPC9m
dWxsLXRpdGxlPjxhYmJyLTE+TmF0LiBDb21tdW4uPC9hYmJyLTE+PC9wZXJpb2RpY2FsPjxwYWdl
cz45NTc8L3BhZ2VzPjx2b2x1bWU+ODwvdm9sdW1lPjxudW1iZXI+MTwvbnVtYmVyPjxkYXRlcz48
eWVhcj4yMDE3PC95ZWFyPjxwdWItZGF0ZXM+PGRhdGU+MjAxNy8xMC8xNjwvZGF0ZT48L3B1Yi1k
YXRlcz48L2RhdGVzPjxpc2JuPjIwNDEtMTcyMzwvaXNibj48dXJscz48cmVsYXRlZC11cmxzPjx1
cmw+aHR0cHM6Ly9kb2kub3JnLzEwLjEwMzgvczQxNDY3LTAxNy0wMTEwMC03PC91cmw+PC9yZWxh
dGVkLXVybHM+PC91cmxzPjxlbGVjdHJvbmljLXJlc291cmNlLW51bT4xMC4xMDM4L3M0MTQ2Ny0w
MTctMDExMDAtNzwvZWxlY3Ryb25pYy1yZXNvdXJjZS1udW0+PC9yZWNvcmQ+PC9DaXRlPjwvRW5k
Tm90ZT4A
</w:fldData>
        </w:fldChar>
      </w:r>
      <w:r w:rsidR="002E31E9">
        <w:instrText xml:space="preserve"> ADDIN EN.CITE.DATA </w:instrText>
      </w:r>
      <w:r w:rsidR="002E31E9">
        <w:fldChar w:fldCharType="end"/>
      </w:r>
      <w:r w:rsidR="009C441D">
        <w:fldChar w:fldCharType="separate"/>
      </w:r>
      <w:r w:rsidR="002E31E9" w:rsidRPr="002E31E9">
        <w:rPr>
          <w:noProof/>
          <w:vertAlign w:val="superscript"/>
        </w:rPr>
        <w:t>1,2</w:t>
      </w:r>
      <w:r w:rsidR="009C441D">
        <w:fldChar w:fldCharType="end"/>
      </w:r>
      <w:r w:rsidR="00EA4C0B">
        <w:t xml:space="preserve"> and </w:t>
      </w:r>
      <w:r w:rsidR="00FD43DF">
        <w:t xml:space="preserve">the synthetic procedure </w:t>
      </w:r>
      <w:r w:rsidR="005F47FD">
        <w:t>was</w:t>
      </w:r>
      <w:r w:rsidR="003762BC" w:rsidRPr="003762BC">
        <w:t xml:space="preserve"> illustrated in</w:t>
      </w:r>
      <w:r w:rsidR="00782527">
        <w:t xml:space="preserve"> </w:t>
      </w:r>
      <w:r w:rsidR="00782527" w:rsidRPr="00C86B2B">
        <w:rPr>
          <w:b/>
          <w:bCs/>
        </w:rPr>
        <w:t>Supplementary Fig.</w:t>
      </w:r>
      <w:r w:rsidR="00782527">
        <w:rPr>
          <w:b/>
          <w:bCs/>
        </w:rPr>
        <w:t xml:space="preserve"> 12</w:t>
      </w:r>
      <w:r w:rsidR="003762BC" w:rsidRPr="003762BC">
        <w:t xml:space="preserve">. </w:t>
      </w:r>
      <w:r w:rsidR="00B83514">
        <w:t xml:space="preserve">Precursor mixture consisting of </w:t>
      </w:r>
      <w:r w:rsidR="007233DE">
        <w:t>Ni(Ac)</w:t>
      </w:r>
      <w:r w:rsidR="007233DE" w:rsidRPr="007233DE">
        <w:rPr>
          <w:vertAlign w:val="subscript"/>
        </w:rPr>
        <w:t>2</w:t>
      </w:r>
      <w:r w:rsidR="007233DE">
        <w:rPr>
          <w:rFonts w:cs="Times New Roman"/>
        </w:rPr>
        <w:t>·</w:t>
      </w:r>
      <w:r w:rsidR="007233DE">
        <w:t>4H</w:t>
      </w:r>
      <w:r w:rsidR="007233DE" w:rsidRPr="007233DE">
        <w:rPr>
          <w:vertAlign w:val="subscript"/>
        </w:rPr>
        <w:t>2</w:t>
      </w:r>
      <w:r w:rsidR="007233DE">
        <w:t>O</w:t>
      </w:r>
      <w:r w:rsidR="00322ECF">
        <w:t xml:space="preserve"> </w:t>
      </w:r>
      <w:r w:rsidR="00322ECF" w:rsidRPr="006350ED">
        <w:t>(</w:t>
      </w:r>
      <w:r w:rsidR="00B83514">
        <w:t>23</w:t>
      </w:r>
      <w:r w:rsidR="00322ECF" w:rsidRPr="006350ED">
        <w:t>.</w:t>
      </w:r>
      <w:r w:rsidR="00B83514">
        <w:t>2</w:t>
      </w:r>
      <w:r w:rsidR="00322ECF">
        <w:t xml:space="preserve"> </w:t>
      </w:r>
      <w:r w:rsidR="00322ECF" w:rsidRPr="006350ED">
        <w:t xml:space="preserve">mg), </w:t>
      </w:r>
      <w:r w:rsidR="00081CB3" w:rsidRPr="003762BC">
        <w:t>1,10-phenanthroline</w:t>
      </w:r>
      <w:r w:rsidR="00081CB3">
        <w:t xml:space="preserve"> </w:t>
      </w:r>
      <w:r w:rsidR="00322ECF" w:rsidRPr="006350ED">
        <w:t>(</w:t>
      </w:r>
      <w:r w:rsidR="00081CB3" w:rsidRPr="006350ED">
        <w:t>phen</w:t>
      </w:r>
      <w:r w:rsidR="00081CB3">
        <w:t>,</w:t>
      </w:r>
      <w:r w:rsidR="00081CB3" w:rsidRPr="006350ED">
        <w:t xml:space="preserve"> </w:t>
      </w:r>
      <w:r w:rsidR="00322ECF" w:rsidRPr="006350ED">
        <w:t>200 mg) and ZIF-8 (800 mg</w:t>
      </w:r>
      <w:r w:rsidR="000C254A">
        <w:t xml:space="preserve">, </w:t>
      </w:r>
      <w:r w:rsidR="000C254A" w:rsidRPr="003762BC">
        <w:t>Basolite Z1200 from BASF</w:t>
      </w:r>
      <w:r w:rsidR="00322ECF" w:rsidRPr="006350ED">
        <w:t xml:space="preserve">) </w:t>
      </w:r>
      <w:r w:rsidR="00B83514">
        <w:t>was</w:t>
      </w:r>
      <w:r w:rsidR="00322ECF" w:rsidRPr="006350ED">
        <w:t xml:space="preserve"> ball-milled at 400 rpm for </w:t>
      </w:r>
      <w:r w:rsidR="00B83514">
        <w:t>1</w:t>
      </w:r>
      <w:r w:rsidR="00322ECF" w:rsidRPr="006350ED">
        <w:t xml:space="preserve"> h (</w:t>
      </w:r>
      <w:r w:rsidR="00B83514">
        <w:t>3</w:t>
      </w:r>
      <w:r w:rsidR="00322ECF" w:rsidRPr="006350ED">
        <w:t xml:space="preserve"> × </w:t>
      </w:r>
      <w:r w:rsidR="00B83514">
        <w:t>2</w:t>
      </w:r>
      <w:r w:rsidR="00322ECF" w:rsidRPr="006350ED">
        <w:t xml:space="preserve">0 min with </w:t>
      </w:r>
      <w:r w:rsidR="00B83514">
        <w:t>1</w:t>
      </w:r>
      <w:r w:rsidR="00322ECF" w:rsidRPr="006350ED">
        <w:t>5 min rest in-between) in a ZrO</w:t>
      </w:r>
      <w:r w:rsidR="00322ECF" w:rsidRPr="00C141BA">
        <w:rPr>
          <w:vertAlign w:val="subscript"/>
        </w:rPr>
        <w:t>2</w:t>
      </w:r>
      <w:r w:rsidR="00322ECF">
        <w:t xml:space="preserve"> </w:t>
      </w:r>
      <w:r w:rsidR="00322ECF" w:rsidRPr="006350ED">
        <w:t>crucible (45 cm</w:t>
      </w:r>
      <w:r w:rsidR="00322ECF" w:rsidRPr="00C141BA">
        <w:rPr>
          <w:vertAlign w:val="superscript"/>
        </w:rPr>
        <w:t>3</w:t>
      </w:r>
      <w:r w:rsidR="00322ECF" w:rsidRPr="006350ED">
        <w:t>) filled with 100 ZrO</w:t>
      </w:r>
      <w:r w:rsidR="00322ECF" w:rsidRPr="00C141BA">
        <w:rPr>
          <w:vertAlign w:val="subscript"/>
        </w:rPr>
        <w:t>2</w:t>
      </w:r>
      <w:r w:rsidR="00322ECF" w:rsidRPr="006350ED">
        <w:t xml:space="preserve"> balls (5 mm diameter). </w:t>
      </w:r>
      <w:r w:rsidR="00BE00F3" w:rsidRPr="007A5E31">
        <w:t>T</w:t>
      </w:r>
      <w:r w:rsidR="007A5E31" w:rsidRPr="007A5E31">
        <w:t>h</w:t>
      </w:r>
      <w:r w:rsidR="00BE00F3">
        <w:t>is mixture</w:t>
      </w:r>
      <w:r w:rsidR="007A5E31" w:rsidRPr="007A5E31">
        <w:t xml:space="preserve"> w</w:t>
      </w:r>
      <w:r w:rsidR="00BE00F3">
        <w:t>as</w:t>
      </w:r>
      <w:r w:rsidR="007A5E31" w:rsidRPr="007A5E31">
        <w:t xml:space="preserve"> then pyrolyzed in </w:t>
      </w:r>
      <w:r w:rsidR="00080BB1">
        <w:t>nitrogen</w:t>
      </w:r>
      <w:r w:rsidR="007A5E31" w:rsidRPr="007A5E31">
        <w:t xml:space="preserve"> at 10</w:t>
      </w:r>
      <w:r w:rsidR="00080BB1">
        <w:t>0</w:t>
      </w:r>
      <w:r w:rsidR="007A5E31" w:rsidRPr="007A5E31">
        <w:t xml:space="preserve">0 </w:t>
      </w:r>
      <w:r w:rsidR="00080BB1">
        <w:rPr>
          <w:rFonts w:cs="Times New Roman"/>
        </w:rPr>
        <w:t>°</w:t>
      </w:r>
      <w:r w:rsidR="007A5E31" w:rsidRPr="007A5E31">
        <w:t>C for 1 h. The</w:t>
      </w:r>
      <w:r w:rsidR="007A5E31">
        <w:t xml:space="preserve"> </w:t>
      </w:r>
      <w:r w:rsidR="007A5E31" w:rsidRPr="007A5E31">
        <w:t>catalyst powder was collected and gently ground with a marble mortar and pestle without any</w:t>
      </w:r>
      <w:r w:rsidR="007A5E31">
        <w:t xml:space="preserve"> </w:t>
      </w:r>
      <w:r w:rsidR="007A5E31" w:rsidRPr="007A5E31">
        <w:t>post-treatment.</w:t>
      </w:r>
      <w:r w:rsidR="003B4CBF">
        <w:t xml:space="preserve"> </w:t>
      </w:r>
      <w:r w:rsidR="0065346F" w:rsidRPr="006350ED">
        <w:t>T</w:t>
      </w:r>
      <w:r w:rsidR="006350ED" w:rsidRPr="006350ED">
        <w:t xml:space="preserve">he </w:t>
      </w:r>
      <w:r w:rsidR="0065346F">
        <w:t>resultant Ni</w:t>
      </w:r>
      <w:r w:rsidR="006350ED" w:rsidRPr="006350ED">
        <w:t xml:space="preserve"> content is 1.</w:t>
      </w:r>
      <w:r w:rsidR="0065346F">
        <w:t>2</w:t>
      </w:r>
      <w:r w:rsidR="006350ED" w:rsidRPr="006350ED">
        <w:t xml:space="preserve"> wt%</w:t>
      </w:r>
      <w:r w:rsidR="0065346F">
        <w:t>, and Zn content is 3</w:t>
      </w:r>
      <w:r w:rsidR="0065346F" w:rsidRPr="006350ED">
        <w:t>.</w:t>
      </w:r>
      <w:r w:rsidR="0065346F">
        <w:t>6</w:t>
      </w:r>
      <w:r w:rsidR="0065346F" w:rsidRPr="006350ED">
        <w:t xml:space="preserve"> wt%</w:t>
      </w:r>
      <w:r w:rsidR="006350ED" w:rsidRPr="006350ED">
        <w:t>.</w:t>
      </w:r>
    </w:p>
    <w:p w14:paraId="6C948A28" w14:textId="77777777" w:rsidR="007C255E" w:rsidRDefault="007C255E" w:rsidP="007C255E">
      <w:pPr>
        <w:pStyle w:val="Heading3"/>
      </w:pPr>
      <w:r>
        <w:t>Catalyst characterizations</w:t>
      </w:r>
    </w:p>
    <w:p w14:paraId="19851FFD" w14:textId="77777777" w:rsidR="007C255E" w:rsidRDefault="007C255E" w:rsidP="007C255E">
      <w:r w:rsidRPr="00170824">
        <w:t>X-ray powder diffraction (XRD) patterns were collected using a D8 Advance</w:t>
      </w:r>
      <w:r>
        <w:t xml:space="preserve"> </w:t>
      </w:r>
      <w:r w:rsidRPr="00170824">
        <w:t>Diffractometer (Bruker) equipped with a Lynx Eye Detector and KFL Cu 2K X-ray tube. The</w:t>
      </w:r>
      <w:r>
        <w:t xml:space="preserve"> </w:t>
      </w:r>
      <w:r w:rsidRPr="00170824">
        <w:t>measurement was carried out at a step size of 0.04°, in a 2θ</w:t>
      </w:r>
      <w:r>
        <w:t xml:space="preserve"> r</w:t>
      </w:r>
      <w:r w:rsidRPr="00170824">
        <w:t>ange</w:t>
      </w:r>
      <w:r>
        <w:t xml:space="preserve"> </w:t>
      </w:r>
      <w:r w:rsidRPr="00170824">
        <w:t xml:space="preserve">between 20 and </w:t>
      </w:r>
      <w:r>
        <w:t>8</w:t>
      </w:r>
      <w:r w:rsidRPr="00170824">
        <w:t>0°.</w:t>
      </w:r>
    </w:p>
    <w:p w14:paraId="2328DF57" w14:textId="0F392499" w:rsidR="007C255E" w:rsidRDefault="007C255E" w:rsidP="007C255E">
      <w:r w:rsidRPr="00F94D01">
        <w:t xml:space="preserve">The </w:t>
      </w:r>
      <w:r>
        <w:t>metal contents</w:t>
      </w:r>
      <w:r w:rsidRPr="00F94D01">
        <w:t xml:space="preserve"> of the different catalysts w</w:t>
      </w:r>
      <w:r>
        <w:t>ere</w:t>
      </w:r>
      <w:r w:rsidRPr="00F94D01">
        <w:t xml:space="preserve"> determined by inductively</w:t>
      </w:r>
      <w:r>
        <w:t xml:space="preserve"> </w:t>
      </w:r>
      <w:r w:rsidRPr="00F94D01">
        <w:t>coupled plasma mass spectroscopy (ICP-MS) using a 715-ES-ICP analysis system (Varian).</w:t>
      </w:r>
      <w:r>
        <w:t xml:space="preserve"> </w:t>
      </w:r>
      <w:r w:rsidRPr="00F94D01">
        <w:t xml:space="preserve">The samples were prepared by dissolving the catalysts powders in a mixture of </w:t>
      </w:r>
      <w:r>
        <w:t xml:space="preserve">2 mL </w:t>
      </w:r>
      <w:r w:rsidRPr="00F94D01">
        <w:t>H</w:t>
      </w:r>
      <w:r w:rsidRPr="00E1683D">
        <w:rPr>
          <w:vertAlign w:val="subscript"/>
        </w:rPr>
        <w:t>2</w:t>
      </w:r>
      <w:r w:rsidRPr="00F94D01">
        <w:t>SO</w:t>
      </w:r>
      <w:r w:rsidRPr="00E1683D">
        <w:rPr>
          <w:vertAlign w:val="subscript"/>
        </w:rPr>
        <w:t>4</w:t>
      </w:r>
      <w:r w:rsidRPr="00F94D01">
        <w:t>,</w:t>
      </w:r>
      <w:r>
        <w:t xml:space="preserve"> 2 mL </w:t>
      </w:r>
      <w:r w:rsidRPr="00F94D01">
        <w:t>HNO</w:t>
      </w:r>
      <w:r w:rsidRPr="00E1683D">
        <w:rPr>
          <w:vertAlign w:val="subscript"/>
        </w:rPr>
        <w:t>3</w:t>
      </w:r>
      <w:r w:rsidRPr="00F94D01">
        <w:t xml:space="preserve"> and </w:t>
      </w:r>
      <w:r>
        <w:t xml:space="preserve">6 mL </w:t>
      </w:r>
      <w:r w:rsidRPr="00F94D01">
        <w:t xml:space="preserve">HCl. The solutions were heated from </w:t>
      </w:r>
      <w:r>
        <w:t>RT</w:t>
      </w:r>
      <w:r w:rsidRPr="00F94D01">
        <w:t xml:space="preserve"> to 180 °C in 10</w:t>
      </w:r>
      <w:r>
        <w:t xml:space="preserve"> </w:t>
      </w:r>
      <w:r w:rsidRPr="00F94D01">
        <w:t xml:space="preserve">min using a Microwave Discover SP-D (CEM corporation), </w:t>
      </w:r>
      <w:r>
        <w:t xml:space="preserve">and the </w:t>
      </w:r>
      <w:r w:rsidRPr="00F94D01">
        <w:t>temperature</w:t>
      </w:r>
      <w:r>
        <w:t xml:space="preserve"> was held</w:t>
      </w:r>
      <w:r w:rsidRPr="00F94D01">
        <w:t xml:space="preserve"> at 180 °C </w:t>
      </w:r>
      <w:r>
        <w:t>for</w:t>
      </w:r>
      <w:r w:rsidRPr="00F94D01">
        <w:t xml:space="preserve"> 20 min. </w:t>
      </w:r>
      <w:r>
        <w:t>After cooling down to RT</w:t>
      </w:r>
      <w:r w:rsidRPr="00F94D01">
        <w:t>, the solution</w:t>
      </w:r>
      <w:r>
        <w:t>s</w:t>
      </w:r>
      <w:r w:rsidRPr="00F94D01">
        <w:t xml:space="preserve"> were filtered and diluted with </w:t>
      </w:r>
      <w:r>
        <w:t>ultrapure</w:t>
      </w:r>
      <w:r w:rsidRPr="00F94D01">
        <w:t xml:space="preserve"> water to a known volume</w:t>
      </w:r>
      <w:r>
        <w:t xml:space="preserve"> (50 mL)</w:t>
      </w:r>
      <w:r w:rsidRPr="00F94D01">
        <w:t xml:space="preserve">. To estimate the concentration of the solution, </w:t>
      </w:r>
      <w:r>
        <w:t>4</w:t>
      </w:r>
      <w:r w:rsidRPr="00F94D01">
        <w:t xml:space="preserve"> standard</w:t>
      </w:r>
      <w:r>
        <w:t xml:space="preserve"> solutions</w:t>
      </w:r>
      <w:r w:rsidRPr="00F94D01">
        <w:t xml:space="preserve"> of Pt</w:t>
      </w:r>
      <w:r>
        <w:t xml:space="preserve"> and</w:t>
      </w:r>
      <w:r w:rsidRPr="00F94D01">
        <w:t xml:space="preserve"> Ni </w:t>
      </w:r>
      <w:r w:rsidR="00D7096C">
        <w:t xml:space="preserve">with a known concentration </w:t>
      </w:r>
      <w:r w:rsidRPr="00F94D01">
        <w:t>were prepared</w:t>
      </w:r>
      <w:r>
        <w:t>.</w:t>
      </w:r>
      <w:r w:rsidRPr="00F94D01">
        <w:t xml:space="preserve"> </w:t>
      </w:r>
      <w:r>
        <w:t xml:space="preserve">The </w:t>
      </w:r>
      <w:r w:rsidRPr="00F94D01">
        <w:t>concentration</w:t>
      </w:r>
      <w:r>
        <w:t>s</w:t>
      </w:r>
      <w:r w:rsidRPr="00F94D01">
        <w:t xml:space="preserve"> of </w:t>
      </w:r>
      <w:r>
        <w:t>Pt</w:t>
      </w:r>
      <w:r w:rsidRPr="00F94D01">
        <w:t xml:space="preserve"> </w:t>
      </w:r>
      <w:r>
        <w:t xml:space="preserve">were </w:t>
      </w:r>
      <w:r w:rsidRPr="00F94D01">
        <w:t xml:space="preserve">0, </w:t>
      </w:r>
      <w:r>
        <w:t>5</w:t>
      </w:r>
      <w:r w:rsidRPr="00F94D01">
        <w:t xml:space="preserve">, </w:t>
      </w:r>
      <w:r>
        <w:t>10</w:t>
      </w:r>
      <w:r w:rsidRPr="00F94D01">
        <w:t xml:space="preserve"> and </w:t>
      </w:r>
      <w:r>
        <w:t>20</w:t>
      </w:r>
      <w:r w:rsidRPr="00F94D01">
        <w:t xml:space="preserve"> mg/</w:t>
      </w:r>
      <w:r>
        <w:t xml:space="preserve">L, whereas the </w:t>
      </w:r>
      <w:r w:rsidRPr="00F94D01">
        <w:t>concentration</w:t>
      </w:r>
      <w:r>
        <w:t>s</w:t>
      </w:r>
      <w:r w:rsidRPr="00F94D01">
        <w:t xml:space="preserve"> of </w:t>
      </w:r>
      <w:r>
        <w:t>Ni</w:t>
      </w:r>
      <w:r w:rsidRPr="00F94D01">
        <w:t xml:space="preserve"> </w:t>
      </w:r>
      <w:r>
        <w:t xml:space="preserve">were </w:t>
      </w:r>
      <w:r w:rsidRPr="00F94D01">
        <w:t xml:space="preserve">0, </w:t>
      </w:r>
      <w:r>
        <w:t>10</w:t>
      </w:r>
      <w:r w:rsidRPr="00F94D01">
        <w:t xml:space="preserve">, </w:t>
      </w:r>
      <w:r>
        <w:t>20</w:t>
      </w:r>
      <w:r w:rsidRPr="00F94D01">
        <w:t xml:space="preserve"> and </w:t>
      </w:r>
      <w:r>
        <w:t>40</w:t>
      </w:r>
      <w:r w:rsidRPr="00F94D01">
        <w:t xml:space="preserve"> mg/</w:t>
      </w:r>
      <w:r>
        <w:t>L</w:t>
      </w:r>
      <w:r w:rsidRPr="00F94D01">
        <w:t>. The</w:t>
      </w:r>
      <w:r>
        <w:t xml:space="preserve"> selected </w:t>
      </w:r>
      <w:r w:rsidRPr="00F94D01">
        <w:t>wavelength</w:t>
      </w:r>
      <w:r>
        <w:t xml:space="preserve">s for Pt measurement were </w:t>
      </w:r>
      <w:r w:rsidRPr="00A011FE">
        <w:t>203.646, 204.939, 214.424, 224.552 nm</w:t>
      </w:r>
      <w:r>
        <w:t>,</w:t>
      </w:r>
      <w:r w:rsidRPr="00A011FE">
        <w:t xml:space="preserve"> </w:t>
      </w:r>
      <w:r w:rsidRPr="00F94D01">
        <w:t>265.945 nm</w:t>
      </w:r>
      <w:r>
        <w:t xml:space="preserve"> and 306.471 nm. </w:t>
      </w:r>
      <w:r w:rsidRPr="00F94D01">
        <w:t>The</w:t>
      </w:r>
      <w:r>
        <w:t xml:space="preserve"> selected </w:t>
      </w:r>
      <w:r w:rsidRPr="00F94D01">
        <w:t>wavelength</w:t>
      </w:r>
      <w:r>
        <w:t xml:space="preserve">s for Ni measurement were 227.021 nm, 230.299 nm, 222.295 nm, 222.486 nm, 221.648 nm, 230.078 nm, 216.555 nm and </w:t>
      </w:r>
      <w:r w:rsidRPr="00F94D01">
        <w:t>231.604 nm.</w:t>
      </w:r>
    </w:p>
    <w:p w14:paraId="720CC972" w14:textId="77777777" w:rsidR="007C255E" w:rsidRDefault="007C255E" w:rsidP="007C255E">
      <w:r w:rsidRPr="00EA25A0">
        <w:lastRenderedPageBreak/>
        <w:t>Transmission electron microscopy (TEM) images were recorded on a FEI Tecnai G</w:t>
      </w:r>
      <w:r w:rsidRPr="00D7096C">
        <w:rPr>
          <w:vertAlign w:val="superscript"/>
        </w:rPr>
        <w:t>2</w:t>
      </w:r>
      <w:r>
        <w:t xml:space="preserve"> </w:t>
      </w:r>
      <w:r w:rsidRPr="00EA25A0">
        <w:t>20 S-TWIN with a LaB</w:t>
      </w:r>
      <w:r w:rsidRPr="00B75010">
        <w:rPr>
          <w:vertAlign w:val="subscript"/>
        </w:rPr>
        <w:t>6</w:t>
      </w:r>
      <w:r w:rsidRPr="00EA25A0">
        <w:t xml:space="preserve"> cathode operating with 200 kV acceleration voltage and a resolution</w:t>
      </w:r>
      <w:r>
        <w:t xml:space="preserve"> </w:t>
      </w:r>
      <w:r w:rsidRPr="00EA25A0">
        <w:t xml:space="preserve">limit of 0.24 nm. Samples were dispersed in </w:t>
      </w:r>
      <w:r>
        <w:t>ethanol</w:t>
      </w:r>
      <w:r w:rsidRPr="00EA25A0">
        <w:t xml:space="preserve"> with an ultrasonic horn (~15 min), drop</w:t>
      </w:r>
      <w:r>
        <w:t xml:space="preserve"> </w:t>
      </w:r>
      <w:r w:rsidRPr="00EA25A0">
        <w:t>casted on a Cu grid (400 mesh), and dried in air at 60 °C for 10 min.</w:t>
      </w:r>
    </w:p>
    <w:p w14:paraId="6F990722" w14:textId="11204E32" w:rsidR="007C255E" w:rsidRDefault="007C255E" w:rsidP="007C255E">
      <w:r>
        <w:t>X-ray photoelectron spectroscopy: XPS measurements were</w:t>
      </w:r>
      <w:r w:rsidRPr="00F14A08">
        <w:t xml:space="preserve"> carried out in </w:t>
      </w:r>
      <w:r>
        <w:t xml:space="preserve">an </w:t>
      </w:r>
      <w:r w:rsidRPr="00F14A08">
        <w:t>ultrahigh vacuum (UHV)</w:t>
      </w:r>
      <w:r>
        <w:t xml:space="preserve"> chamber </w:t>
      </w:r>
      <w:r w:rsidRPr="00F14A08">
        <w:t xml:space="preserve">at room temperature using a </w:t>
      </w:r>
      <w:r w:rsidR="002523FC">
        <w:t>non-</w:t>
      </w:r>
      <w:r w:rsidRPr="00F14A08">
        <w:t xml:space="preserve">monochromatized </w:t>
      </w:r>
      <w:r>
        <w:t xml:space="preserve">X-ray source </w:t>
      </w:r>
      <w:r w:rsidRPr="00F14A08">
        <w:t>(Al Kα</w:t>
      </w:r>
      <w:r>
        <w:t>,</w:t>
      </w:r>
      <w:r w:rsidRPr="00F14A08">
        <w:t xml:space="preserve"> 1486.6 eV) and a</w:t>
      </w:r>
      <w:r>
        <w:t xml:space="preserve"> </w:t>
      </w:r>
      <w:r w:rsidRPr="00F14A08">
        <w:t>hemispherical analyzer (Phoibos 150, SPECS). The Casa</w:t>
      </w:r>
      <w:r>
        <w:t xml:space="preserve"> </w:t>
      </w:r>
      <w:r w:rsidRPr="00F14A08">
        <w:t>XPS software</w:t>
      </w:r>
      <w:r>
        <w:t xml:space="preserve"> </w:t>
      </w:r>
      <w:r w:rsidRPr="00F14A08">
        <w:t xml:space="preserve">was used for analyzing the </w:t>
      </w:r>
      <w:r>
        <w:t xml:space="preserve">obtained </w:t>
      </w:r>
      <w:r w:rsidRPr="00F14A08">
        <w:t xml:space="preserve">spectra. All spectra were </w:t>
      </w:r>
      <w:r>
        <w:t>aligned</w:t>
      </w:r>
      <w:r w:rsidRPr="00F14A08">
        <w:t xml:space="preserve"> according to the C1s main peak which </w:t>
      </w:r>
      <w:r>
        <w:t>was</w:t>
      </w:r>
      <w:r w:rsidRPr="00F14A08">
        <w:t xml:space="preserve"> assigned with a binding energy of</w:t>
      </w:r>
      <w:r>
        <w:t xml:space="preserve"> </w:t>
      </w:r>
      <w:r w:rsidRPr="00F14A08">
        <w:t>284.</w:t>
      </w:r>
      <w:r w:rsidR="00B52B9D">
        <w:t>3</w:t>
      </w:r>
      <w:r w:rsidRPr="00F14A08">
        <w:t xml:space="preserve"> eV. </w:t>
      </w:r>
      <w:r>
        <w:t>The Ni/Pt atomic ratios were obtained from the area under the Ni 2p and Pt 4f peaks after normalization by their corresponding relative sensitivity factors (RSF) of 21.1 and 15.86, respectively.</w:t>
      </w:r>
    </w:p>
    <w:p w14:paraId="43E70920" w14:textId="48F635F9" w:rsidR="00D7096C" w:rsidRDefault="00D7096C" w:rsidP="007C255E">
      <w:r>
        <w:t xml:space="preserve">High resolution TEM: HRTEM was performed using a </w:t>
      </w:r>
      <w:r w:rsidRPr="00D7096C">
        <w:t>FEI Titan</w:t>
      </w:r>
      <w:r>
        <w:t xml:space="preserve"> </w:t>
      </w:r>
      <w:r w:rsidRPr="00D7096C">
        <w:t>80-300 TEM with a Cs corrector for the objective lens (CEOS</w:t>
      </w:r>
      <w:r>
        <w:t xml:space="preserve"> </w:t>
      </w:r>
      <w:r w:rsidRPr="00D7096C">
        <w:t>GmbH). The microscope was operated at 300 kV.</w:t>
      </w:r>
    </w:p>
    <w:p w14:paraId="5CB392C5" w14:textId="62FBA2EE" w:rsidR="007C255E" w:rsidRPr="001710A3" w:rsidRDefault="007C255E" w:rsidP="007C255E">
      <w:r w:rsidRPr="00122C22">
        <w:t>Scanning transmission electron microscopy (STEM)</w:t>
      </w:r>
      <w:r w:rsidR="00122C22">
        <w:t xml:space="preserve"> </w:t>
      </w:r>
      <w:r w:rsidRPr="00122C22">
        <w:t xml:space="preserve">was performed using a </w:t>
      </w:r>
      <w:r w:rsidR="00BD37A0" w:rsidRPr="00122C22">
        <w:t xml:space="preserve">FEI Titan 80-200 (“ChemiSTEM”) </w:t>
      </w:r>
      <w:r w:rsidR="00BD37A0">
        <w:t xml:space="preserve">electron </w:t>
      </w:r>
      <w:r w:rsidR="00BD37A0" w:rsidRPr="00122C22">
        <w:t>microscope</w:t>
      </w:r>
      <w:r w:rsidR="00BD37A0">
        <w:t xml:space="preserve"> with a</w:t>
      </w:r>
      <w:r w:rsidR="00BD37A0" w:rsidRPr="00122C22">
        <w:t xml:space="preserve"> </w:t>
      </w:r>
      <w:r w:rsidRPr="00122C22">
        <w:t>Cs-probe correct</w:t>
      </w:r>
      <w:r w:rsidR="00BD37A0">
        <w:t>or (</w:t>
      </w:r>
      <w:r w:rsidR="00BD37A0" w:rsidRPr="00D7096C">
        <w:t>CEOS</w:t>
      </w:r>
      <w:r w:rsidR="00BD37A0">
        <w:t xml:space="preserve"> </w:t>
      </w:r>
      <w:r w:rsidR="00BD37A0" w:rsidRPr="00D7096C">
        <w:t>GmbH</w:t>
      </w:r>
      <w:r w:rsidR="00BD37A0">
        <w:t>)</w:t>
      </w:r>
      <w:r w:rsidRPr="00122C22">
        <w:t xml:space="preserve"> </w:t>
      </w:r>
      <w:r w:rsidR="00BD37A0">
        <w:t xml:space="preserve">and an HAADF detector. The </w:t>
      </w:r>
      <w:r w:rsidR="00BD37A0" w:rsidRPr="00122C22">
        <w:t>microscope</w:t>
      </w:r>
      <w:r w:rsidR="00BD37A0">
        <w:t xml:space="preserve"> </w:t>
      </w:r>
      <w:r w:rsidRPr="00122C22">
        <w:t xml:space="preserve">was operated at 200 kV. In order to achieve “Z-Contrast” conditions, a probe semi-angle of 25 mrad and an inner collection semi-angle of the detector of 88 mrad were used. Compositional maps were obtained with energy-dispersive X-ray spectroscopy (EDX) using four large-solid-angle symmetrical Si drift detectors. For EDX elemental mapping, Pt L and Ni K peaks were used. The error of the EDX composition measurement for individual particles after a typical investigation of 15 minutes is about </w:t>
      </w:r>
      <w:r w:rsidR="00B534DD">
        <w:rPr>
          <w:rFonts w:cs="Times New Roman"/>
        </w:rPr>
        <w:t>±</w:t>
      </w:r>
      <w:r w:rsidRPr="00122C22">
        <w:t>2 at.%.</w:t>
      </w:r>
    </w:p>
    <w:p w14:paraId="1E3D0B3C" w14:textId="79468A57" w:rsidR="00984F29" w:rsidRDefault="00C86CFD" w:rsidP="00984F29">
      <w:pPr>
        <w:pStyle w:val="Heading3"/>
      </w:pPr>
      <w:r>
        <w:t>Electrochemical measurements</w:t>
      </w:r>
    </w:p>
    <w:p w14:paraId="223621B2" w14:textId="6D0C42E9" w:rsidR="00815CB3" w:rsidRDefault="00A7257C" w:rsidP="00815CB3">
      <w:r>
        <w:t>5 mg catalyst was added to a solution of 3.98 mL ultrapure water, 10 µL 5 wt% Nafion ionomer solution and 1 mL</w:t>
      </w:r>
      <w:r w:rsidR="009B3F33">
        <w:t xml:space="preserve"> isopropanol. The suspension was then sonicated with an ultrasonic horn soni</w:t>
      </w:r>
      <w:r w:rsidR="00B52B9D">
        <w:t>fier</w:t>
      </w:r>
      <w:r w:rsidR="009B3F33">
        <w:t xml:space="preserve"> for 30</w:t>
      </w:r>
      <w:r w:rsidR="00DB3E4E">
        <w:rPr>
          <w:rFonts w:cs="Times New Roman"/>
        </w:rPr>
        <w:t>–</w:t>
      </w:r>
      <w:r w:rsidR="00DB3E4E">
        <w:t>40</w:t>
      </w:r>
      <w:r w:rsidR="009B3F33">
        <w:t xml:space="preserve"> min while immersed in a</w:t>
      </w:r>
      <w:r w:rsidR="00A76DC9">
        <w:t>n</w:t>
      </w:r>
      <w:r w:rsidR="009B3F33">
        <w:t xml:space="preserve"> ice water bath.</w:t>
      </w:r>
      <w:r w:rsidR="00DB3E4E">
        <w:t xml:space="preserve"> An aliquot of the ink was drop </w:t>
      </w:r>
      <w:r w:rsidR="00DB3E4E">
        <w:lastRenderedPageBreak/>
        <w:t>casted by a pipette onto a glassy carbon (GC) rotating disk electrode (</w:t>
      </w:r>
      <w:r w:rsidR="00340119">
        <w:t xml:space="preserve">RDE, </w:t>
      </w:r>
      <w:r w:rsidR="00DB3E4E">
        <w:t>diameter</w:t>
      </w:r>
      <w:r w:rsidR="002A1743">
        <w:t>:</w:t>
      </w:r>
      <w:r w:rsidR="00DB3E4E">
        <w:t xml:space="preserve"> 5 mm</w:t>
      </w:r>
      <w:r w:rsidR="00B36D20">
        <w:t>, geometrical surface area: 0.196 cm</w:t>
      </w:r>
      <w:r w:rsidR="00B36D20" w:rsidRPr="00B36D20">
        <w:rPr>
          <w:vertAlign w:val="superscript"/>
        </w:rPr>
        <w:t>2</w:t>
      </w:r>
      <w:r w:rsidR="00DB3E4E">
        <w:t xml:space="preserve">). </w:t>
      </w:r>
      <w:r w:rsidR="00DB4442">
        <w:t>The fil</w:t>
      </w:r>
      <w:r w:rsidR="003726E2">
        <w:t>m was dried at 60 °C for 8 min.</w:t>
      </w:r>
      <w:r w:rsidR="009B0D8C">
        <w:t xml:space="preserve"> </w:t>
      </w:r>
    </w:p>
    <w:p w14:paraId="5EEE43B9" w14:textId="5D2594E1" w:rsidR="003726E2" w:rsidRDefault="003726E2" w:rsidP="00815CB3">
      <w:r>
        <w:t>For electrochemical characterizations a conventional three electrode cell with a graphite rod as counter electrode, a mercury/mercury(I) sulfate electrode (MMS, Hg/Hg</w:t>
      </w:r>
      <w:r w:rsidRPr="003726E2">
        <w:rPr>
          <w:vertAlign w:val="subscript"/>
        </w:rPr>
        <w:t>2</w:t>
      </w:r>
      <w:r>
        <w:t>SO</w:t>
      </w:r>
      <w:r w:rsidRPr="003726E2">
        <w:rPr>
          <w:vertAlign w:val="subscript"/>
        </w:rPr>
        <w:t>4</w:t>
      </w:r>
      <w:r>
        <w:t>)</w:t>
      </w:r>
      <w:r w:rsidR="005776D6">
        <w:t xml:space="preserve"> in a Luggin capillary as reference electrode and a </w:t>
      </w:r>
      <w:r w:rsidR="00CC4495">
        <w:t xml:space="preserve">catalyst-coated </w:t>
      </w:r>
      <w:r w:rsidR="005776D6">
        <w:t>GC</w:t>
      </w:r>
      <w:r w:rsidR="005249E3">
        <w:t>-</w:t>
      </w:r>
      <w:r w:rsidR="005776D6">
        <w:t xml:space="preserve">RDE as working electrode was used. </w:t>
      </w:r>
      <w:r w:rsidR="00554D99">
        <w:t xml:space="preserve">MMS was calibrated </w:t>
      </w:r>
      <w:r w:rsidR="00E97F45">
        <w:t>regularly by a homemade reversible hydrogen electrode (RHE) using a polycrystalline Pt disk and continuous hydrogen bubbling</w:t>
      </w:r>
      <w:r w:rsidR="00CC4495">
        <w:t xml:space="preserve">. All potentials are referred to RHE. </w:t>
      </w:r>
      <w:r w:rsidR="00DA626A">
        <w:t>Freshly prepared 0.1 M HClO</w:t>
      </w:r>
      <w:r w:rsidR="00DA626A" w:rsidRPr="00DA626A">
        <w:rPr>
          <w:vertAlign w:val="subscript"/>
        </w:rPr>
        <w:t>4</w:t>
      </w:r>
      <w:r w:rsidR="00641893">
        <w:t xml:space="preserve"> </w:t>
      </w:r>
      <w:r w:rsidR="00DA626A">
        <w:t>diluted from concentrated HClO</w:t>
      </w:r>
      <w:r w:rsidR="00DA626A" w:rsidRPr="00DA626A">
        <w:rPr>
          <w:vertAlign w:val="subscript"/>
        </w:rPr>
        <w:t>4</w:t>
      </w:r>
      <w:r w:rsidR="00DA626A">
        <w:t xml:space="preserve"> </w:t>
      </w:r>
      <w:r w:rsidR="00641893">
        <w:t>(</w:t>
      </w:r>
      <w:r w:rsidR="00DA626A">
        <w:t>99.999% trace metal bases, Sigma Aldrich</w:t>
      </w:r>
      <w:r w:rsidR="00641893">
        <w:t>)</w:t>
      </w:r>
      <w:r w:rsidR="00DA626A">
        <w:t xml:space="preserve"> with ultrapure water</w:t>
      </w:r>
      <w:r w:rsidR="00D63DBE">
        <w:t xml:space="preserve"> was used as electrolyte.</w:t>
      </w:r>
      <w:r w:rsidR="00055459">
        <w:t xml:space="preserve"> The catalyst-coated RDE was controlled by a rotator from Pine Research </w:t>
      </w:r>
      <w:r w:rsidR="00810A53">
        <w:t>i</w:t>
      </w:r>
      <w:r w:rsidR="00055459">
        <w:t xml:space="preserve">nstrument. </w:t>
      </w:r>
      <w:r w:rsidR="00031483">
        <w:t xml:space="preserve">All measurements were performed with </w:t>
      </w:r>
      <w:r w:rsidR="00381FC0">
        <w:t xml:space="preserve">a BioLogic SP-200 potentiostat. </w:t>
      </w:r>
      <w:r w:rsidR="00B42D6E">
        <w:t xml:space="preserve">Gases for purging of electrolyte were </w:t>
      </w:r>
      <w:r w:rsidR="00856694">
        <w:t>H</w:t>
      </w:r>
      <w:r w:rsidR="00856694" w:rsidRPr="00856694">
        <w:rPr>
          <w:vertAlign w:val="subscript"/>
        </w:rPr>
        <w:t>2</w:t>
      </w:r>
      <w:r w:rsidR="0037346D">
        <w:t xml:space="preserve"> (99.999%)</w:t>
      </w:r>
      <w:r w:rsidR="00856694">
        <w:t xml:space="preserve">, </w:t>
      </w:r>
      <w:r w:rsidR="00B42D6E">
        <w:t>N</w:t>
      </w:r>
      <w:r w:rsidR="00B42D6E" w:rsidRPr="00A42D37">
        <w:rPr>
          <w:vertAlign w:val="subscript"/>
        </w:rPr>
        <w:t>2</w:t>
      </w:r>
      <w:r w:rsidR="00B42D6E">
        <w:t xml:space="preserve"> </w:t>
      </w:r>
      <w:r w:rsidR="0037346D">
        <w:t xml:space="preserve">(99.999%) </w:t>
      </w:r>
      <w:r w:rsidR="00B42D6E">
        <w:t>and O</w:t>
      </w:r>
      <w:r w:rsidR="00B42D6E" w:rsidRPr="00A42D37">
        <w:rPr>
          <w:vertAlign w:val="subscript"/>
        </w:rPr>
        <w:t>2</w:t>
      </w:r>
      <w:r w:rsidR="0037346D">
        <w:t xml:space="preserve"> (99.998%)</w:t>
      </w:r>
      <w:r w:rsidR="00B42D6E">
        <w:t>.</w:t>
      </w:r>
    </w:p>
    <w:p w14:paraId="083E2D67" w14:textId="01A7F8C9" w:rsidR="00777075" w:rsidRDefault="00795A21" w:rsidP="00815CB3">
      <w:r w:rsidRPr="00795A21">
        <w:t xml:space="preserve">To avoid bubbles to be trapped on the dry catalyst film, it was thoroughly wetted until an uniform thin water film </w:t>
      </w:r>
      <w:r w:rsidR="0068401E">
        <w:t xml:space="preserve">could </w:t>
      </w:r>
      <w:r w:rsidRPr="00795A21">
        <w:t xml:space="preserve">emerged. </w:t>
      </w:r>
      <w:r w:rsidR="00777075">
        <w:t>The</w:t>
      </w:r>
      <w:r w:rsidR="00CC158C">
        <w:t>n the</w:t>
      </w:r>
      <w:r w:rsidR="00777075">
        <w:t xml:space="preserve"> catalyst-coated RDE was immersed into the N</w:t>
      </w:r>
      <w:r w:rsidR="00777075" w:rsidRPr="00101A88">
        <w:rPr>
          <w:vertAlign w:val="subscript"/>
        </w:rPr>
        <w:t>2</w:t>
      </w:r>
      <w:r w:rsidR="00777075">
        <w:t xml:space="preserve">-saturated electrolyte under potential control at 0.05 </w:t>
      </w:r>
      <w:r w:rsidR="006947B6">
        <w:t>V</w:t>
      </w:r>
      <w:r w:rsidR="006947B6" w:rsidRPr="00874E2C">
        <w:rPr>
          <w:vertAlign w:val="subscript"/>
        </w:rPr>
        <w:t>RHE</w:t>
      </w:r>
      <w:r w:rsidR="00777075">
        <w:t>.</w:t>
      </w:r>
      <w:r w:rsidR="00A84C83">
        <w:t xml:space="preserve"> </w:t>
      </w:r>
      <w:r w:rsidR="00BF3BCE">
        <w:t>For conditioning of the catalyst</w:t>
      </w:r>
      <w:r w:rsidR="000B08CA">
        <w:t xml:space="preserve"> film</w:t>
      </w:r>
      <w:r w:rsidR="00BF3BCE">
        <w:t xml:space="preserve">, 50 potential cycles from 0.05 to 0.925 </w:t>
      </w:r>
      <w:r w:rsidR="006947B6">
        <w:t>V</w:t>
      </w:r>
      <w:r w:rsidR="006947B6" w:rsidRPr="00874E2C">
        <w:rPr>
          <w:vertAlign w:val="subscript"/>
        </w:rPr>
        <w:t>RHE</w:t>
      </w:r>
      <w:r w:rsidR="00BF3BCE">
        <w:t xml:space="preserve"> </w:t>
      </w:r>
      <w:r w:rsidR="00794AEE">
        <w:t xml:space="preserve">at 100 mV/s were carried out. </w:t>
      </w:r>
      <w:r w:rsidR="002F4334">
        <w:t xml:space="preserve">3 potential cycles from 0.05 to 0.925 </w:t>
      </w:r>
      <w:r w:rsidR="006947B6">
        <w:t>V</w:t>
      </w:r>
      <w:r w:rsidR="006947B6" w:rsidRPr="00874E2C">
        <w:rPr>
          <w:vertAlign w:val="subscript"/>
        </w:rPr>
        <w:t>RHE</w:t>
      </w:r>
      <w:r w:rsidR="002F4334">
        <w:t xml:space="preserve"> at 20 mV/s</w:t>
      </w:r>
      <w:r w:rsidR="006E013C">
        <w:t xml:space="preserve"> were </w:t>
      </w:r>
      <w:r w:rsidR="00FD0FA0">
        <w:t>performed subsequently.</w:t>
      </w:r>
    </w:p>
    <w:p w14:paraId="72C6ACD6" w14:textId="6006D9B5" w:rsidR="000A0034" w:rsidRDefault="000A0034" w:rsidP="00815CB3">
      <w:r>
        <w:t>Electrochemical impedance spectroscopy</w:t>
      </w:r>
      <w:r w:rsidR="00580F60">
        <w:t xml:space="preserve"> (EIS)</w:t>
      </w:r>
      <w:r>
        <w:t xml:space="preserve">: the as-measured </w:t>
      </w:r>
      <w:r w:rsidR="00AA0EB1">
        <w:t>results were iR-corrected</w:t>
      </w:r>
      <w:r w:rsidR="004A5542">
        <w:t xml:space="preserve"> manually after measurements</w:t>
      </w:r>
      <w:r w:rsidR="00AA0EB1">
        <w:t xml:space="preserve">, </w:t>
      </w:r>
      <w:r w:rsidR="00580F60">
        <w:t>where the value of R was determined by EIS technique.</w:t>
      </w:r>
      <w:r w:rsidR="00031565">
        <w:t xml:space="preserve"> A potential of </w:t>
      </w:r>
      <w:r w:rsidR="00031565" w:rsidRPr="00031565">
        <w:t xml:space="preserve">0.5 </w:t>
      </w:r>
      <w:r w:rsidR="001F65A9">
        <w:t>V</w:t>
      </w:r>
      <w:r w:rsidR="001F65A9" w:rsidRPr="00874E2C">
        <w:rPr>
          <w:vertAlign w:val="subscript"/>
        </w:rPr>
        <w:t>RHE</w:t>
      </w:r>
      <w:r w:rsidR="00031565" w:rsidRPr="00031565">
        <w:t xml:space="preserve"> was applied for 1 min</w:t>
      </w:r>
      <w:r w:rsidR="004C1502">
        <w:t>,</w:t>
      </w:r>
      <w:r w:rsidR="00031565" w:rsidRPr="00031565">
        <w:t xml:space="preserve"> </w:t>
      </w:r>
      <w:r w:rsidR="004C1502">
        <w:t>followed by</w:t>
      </w:r>
      <w:r w:rsidR="00031565" w:rsidRPr="00031565">
        <w:t xml:space="preserve"> an impedance measurement </w:t>
      </w:r>
      <w:r w:rsidR="004C1502" w:rsidRPr="00031565">
        <w:t>from 100</w:t>
      </w:r>
      <w:r w:rsidR="004C1502">
        <w:t>,</w:t>
      </w:r>
      <w:r w:rsidR="004C1502" w:rsidRPr="00031565">
        <w:t xml:space="preserve">000 Hz to 10 Hz </w:t>
      </w:r>
      <w:r w:rsidR="004C1502">
        <w:t xml:space="preserve">with </w:t>
      </w:r>
      <w:r w:rsidR="00031565" w:rsidRPr="00031565">
        <w:t>an AC amplitude of 10 mV. The resistance R was then determined from the Im (Z) vs. Re (Z) plot.</w:t>
      </w:r>
    </w:p>
    <w:p w14:paraId="0755EF7B" w14:textId="238CC9C9" w:rsidR="002075CE" w:rsidRDefault="002075CE" w:rsidP="00815CB3">
      <w:r>
        <w:t xml:space="preserve">ORR testing: </w:t>
      </w:r>
      <w:r w:rsidRPr="002075CE">
        <w:t>For background correction, measurements at 1600 rpm were first</w:t>
      </w:r>
      <w:r>
        <w:t xml:space="preserve"> </w:t>
      </w:r>
      <w:r w:rsidRPr="002075CE">
        <w:t xml:space="preserve">carried out in </w:t>
      </w:r>
      <w:r w:rsidR="00776792">
        <w:t>N</w:t>
      </w:r>
      <w:r w:rsidR="00776792" w:rsidRPr="00101A88">
        <w:rPr>
          <w:vertAlign w:val="subscript"/>
        </w:rPr>
        <w:t>2</w:t>
      </w:r>
      <w:r w:rsidR="00776792">
        <w:t>-saturated</w:t>
      </w:r>
      <w:r w:rsidR="00C946B7">
        <w:t xml:space="preserve"> electrolyte</w:t>
      </w:r>
      <w:r w:rsidRPr="002075CE">
        <w:t xml:space="preserve">. A potential of 0.05 </w:t>
      </w:r>
      <w:r w:rsidR="00F6708A">
        <w:t>V</w:t>
      </w:r>
      <w:r w:rsidR="00F6708A" w:rsidRPr="00874E2C">
        <w:rPr>
          <w:vertAlign w:val="subscript"/>
        </w:rPr>
        <w:t>RHE</w:t>
      </w:r>
      <w:r w:rsidRPr="002075CE">
        <w:t xml:space="preserve"> was applied</w:t>
      </w:r>
      <w:r>
        <w:t xml:space="preserve"> </w:t>
      </w:r>
      <w:r w:rsidR="006B4EA5">
        <w:t>for at least 30 s. Then</w:t>
      </w:r>
      <w:r w:rsidRPr="002075CE">
        <w:t xml:space="preserve"> LSV was measured between 0.05 and</w:t>
      </w:r>
      <w:r>
        <w:t xml:space="preserve"> </w:t>
      </w:r>
      <w:r w:rsidR="006B4EA5">
        <w:t xml:space="preserve">1.0 </w:t>
      </w:r>
      <w:r w:rsidR="00F6708A">
        <w:t>V</w:t>
      </w:r>
      <w:r w:rsidR="00F6708A" w:rsidRPr="00874E2C">
        <w:rPr>
          <w:vertAlign w:val="subscript"/>
        </w:rPr>
        <w:t>RHE</w:t>
      </w:r>
      <w:r w:rsidR="006B4EA5">
        <w:t xml:space="preserve"> at 20 mV/s</w:t>
      </w:r>
      <w:r w:rsidRPr="002075CE">
        <w:t xml:space="preserve"> and repeated </w:t>
      </w:r>
      <w:r w:rsidR="00C01796">
        <w:t>once</w:t>
      </w:r>
      <w:r w:rsidRPr="002075CE">
        <w:t>. The electrode was</w:t>
      </w:r>
      <w:r w:rsidR="00012EF2">
        <w:t xml:space="preserve"> </w:t>
      </w:r>
      <w:r w:rsidRPr="002075CE">
        <w:t>then raised above the electrolyte. After purging of pure oxygen through the electrolyte</w:t>
      </w:r>
      <w:r>
        <w:t xml:space="preserve"> </w:t>
      </w:r>
      <w:r w:rsidRPr="002075CE">
        <w:t xml:space="preserve">for </w:t>
      </w:r>
      <w:r w:rsidR="00012EF2">
        <w:t>10</w:t>
      </w:r>
      <w:r w:rsidRPr="002075CE">
        <w:t xml:space="preserve"> </w:t>
      </w:r>
      <w:r w:rsidRPr="002075CE">
        <w:lastRenderedPageBreak/>
        <w:t xml:space="preserve">min, the electrode was reinserted under an applied potential of 0.05 </w:t>
      </w:r>
      <w:r w:rsidR="00F6708A">
        <w:t>V</w:t>
      </w:r>
      <w:r w:rsidR="00F6708A" w:rsidRPr="00874E2C">
        <w:rPr>
          <w:vertAlign w:val="subscript"/>
        </w:rPr>
        <w:t>RHE</w:t>
      </w:r>
      <w:r w:rsidRPr="002075CE">
        <w:t>, and another three LSV measurements</w:t>
      </w:r>
      <w:r w:rsidR="00012EF2">
        <w:t xml:space="preserve"> at 20 mV/s and one </w:t>
      </w:r>
      <w:r w:rsidR="00012EF2" w:rsidRPr="002075CE">
        <w:t>LSV measurement</w:t>
      </w:r>
      <w:r w:rsidR="00012EF2">
        <w:t xml:space="preserve"> at 5 mV/s</w:t>
      </w:r>
      <w:r w:rsidRPr="002075CE">
        <w:t xml:space="preserve"> were conducted.</w:t>
      </w:r>
      <w:r>
        <w:t xml:space="preserve"> </w:t>
      </w:r>
      <w:r w:rsidRPr="002075CE">
        <w:t>In the case of a noticeable decrease in diffusion limited currents, oxygen</w:t>
      </w:r>
      <w:r>
        <w:t xml:space="preserve"> </w:t>
      </w:r>
      <w:r w:rsidRPr="002075CE">
        <w:t>was bubbled in between the scans.</w:t>
      </w:r>
    </w:p>
    <w:p w14:paraId="1C74D770" w14:textId="29EAC538" w:rsidR="003D1774" w:rsidRDefault="003D1774" w:rsidP="00815CB3">
      <w:r w:rsidRPr="002339C7">
        <w:rPr>
          <w:iCs/>
        </w:rPr>
        <w:t>Analysis of ORR activity:</w:t>
      </w:r>
      <w:r w:rsidRPr="003D1774">
        <w:rPr>
          <w:i/>
          <w:iCs/>
        </w:rPr>
        <w:t xml:space="preserve"> </w:t>
      </w:r>
      <w:r w:rsidR="0085554D">
        <w:t>First the potentials were iR-</w:t>
      </w:r>
      <w:r w:rsidRPr="003D1774">
        <w:t xml:space="preserve">corrected. </w:t>
      </w:r>
      <w:r w:rsidR="00B561B2">
        <w:t>Then capacitance correction was applied. LSV curve performed in N</w:t>
      </w:r>
      <w:r w:rsidR="00B561B2" w:rsidRPr="00101A88">
        <w:rPr>
          <w:vertAlign w:val="subscript"/>
        </w:rPr>
        <w:t>2</w:t>
      </w:r>
      <w:r w:rsidR="00B561B2">
        <w:t>-saturated electrolyte was used as background and subtracted from the LSV curve performed in O</w:t>
      </w:r>
      <w:r w:rsidR="00B561B2" w:rsidRPr="00101A88">
        <w:rPr>
          <w:vertAlign w:val="subscript"/>
        </w:rPr>
        <w:t>2</w:t>
      </w:r>
      <w:r w:rsidR="00B561B2">
        <w:t xml:space="preserve">-saturated electrolyte at the same scan rate. </w:t>
      </w:r>
      <w:r w:rsidR="00F92B78">
        <w:t>ORR current (</w:t>
      </w:r>
      <w:r w:rsidR="00F92B78" w:rsidRPr="003D1774">
        <w:t>i</w:t>
      </w:r>
      <w:r w:rsidR="00F92B78" w:rsidRPr="00F92B78">
        <w:rPr>
          <w:vertAlign w:val="subscript"/>
        </w:rPr>
        <w:t>ORR</w:t>
      </w:r>
      <w:r w:rsidR="00F92B78">
        <w:t xml:space="preserve">, </w:t>
      </w:r>
      <w:r w:rsidR="00F92B78" w:rsidRPr="003D1774">
        <w:t xml:space="preserve">at 0.9 </w:t>
      </w:r>
      <w:r w:rsidR="00F6708A">
        <w:t>V</w:t>
      </w:r>
      <w:r w:rsidR="00F6708A" w:rsidRPr="00874E2C">
        <w:rPr>
          <w:vertAlign w:val="subscript"/>
        </w:rPr>
        <w:t>RHE</w:t>
      </w:r>
      <w:r w:rsidR="00F92B78">
        <w:t>)</w:t>
      </w:r>
      <w:r w:rsidR="00486468">
        <w:t xml:space="preserve"> and</w:t>
      </w:r>
      <w:r w:rsidR="00F92B78">
        <w:t xml:space="preserve"> </w:t>
      </w:r>
      <w:r w:rsidR="00250087">
        <w:t xml:space="preserve">diffusion </w:t>
      </w:r>
      <w:r w:rsidR="00486468" w:rsidRPr="003D1774">
        <w:t xml:space="preserve">limiting current </w:t>
      </w:r>
      <w:r w:rsidR="00486468">
        <w:t>(</w:t>
      </w:r>
      <w:r w:rsidR="00486468" w:rsidRPr="003D1774">
        <w:t>i</w:t>
      </w:r>
      <w:r w:rsidR="00486468" w:rsidRPr="00486468">
        <w:rPr>
          <w:vertAlign w:val="subscript"/>
        </w:rPr>
        <w:t>L</w:t>
      </w:r>
      <w:r w:rsidR="00486468">
        <w:t xml:space="preserve">, at </w:t>
      </w:r>
      <w:r w:rsidR="00486468" w:rsidRPr="003D1774">
        <w:t xml:space="preserve">0.4 </w:t>
      </w:r>
      <w:r w:rsidR="00F6708A">
        <w:t>V</w:t>
      </w:r>
      <w:r w:rsidR="00F6708A" w:rsidRPr="00874E2C">
        <w:rPr>
          <w:vertAlign w:val="subscript"/>
        </w:rPr>
        <w:t>RHE</w:t>
      </w:r>
      <w:r w:rsidR="00486468">
        <w:t>)</w:t>
      </w:r>
      <w:r w:rsidR="00486468" w:rsidRPr="003D1774">
        <w:t xml:space="preserve"> </w:t>
      </w:r>
      <w:r w:rsidR="00373C95">
        <w:t xml:space="preserve">were obtained from the </w:t>
      </w:r>
      <w:r w:rsidR="00D27F28">
        <w:t>iR</w:t>
      </w:r>
      <w:r w:rsidR="0081086D">
        <w:t>-</w:t>
      </w:r>
      <w:r w:rsidR="00D27F28">
        <w:t xml:space="preserve"> and capacitance</w:t>
      </w:r>
      <w:r w:rsidR="0081086D">
        <w:t>-</w:t>
      </w:r>
      <w:r w:rsidR="00D27F28">
        <w:t>correct</w:t>
      </w:r>
      <w:r w:rsidR="0081086D">
        <w:t>ed</w:t>
      </w:r>
      <w:r w:rsidR="00373C95">
        <w:t xml:space="preserve"> LSV curve</w:t>
      </w:r>
      <w:r w:rsidR="005619E0">
        <w:t xml:space="preserve">. </w:t>
      </w:r>
      <w:r w:rsidRPr="003D1774">
        <w:t>Finally the kinetic</w:t>
      </w:r>
      <w:r w:rsidR="001A3C72">
        <w:t xml:space="preserve"> </w:t>
      </w:r>
      <w:r w:rsidRPr="003D1774">
        <w:t>current i</w:t>
      </w:r>
      <w:r w:rsidRPr="0078052E">
        <w:rPr>
          <w:vertAlign w:val="subscript"/>
        </w:rPr>
        <w:t>k</w:t>
      </w:r>
      <w:r w:rsidRPr="003D1774">
        <w:t xml:space="preserve"> was calculated by Koutecky-Levich equation. The mass activity</w:t>
      </w:r>
      <w:r w:rsidR="00075B93">
        <w:t xml:space="preserve"> (MA)</w:t>
      </w:r>
      <w:r w:rsidRPr="003D1774">
        <w:t xml:space="preserve"> was calculated</w:t>
      </w:r>
      <w:r w:rsidR="001A3C72">
        <w:t xml:space="preserve"> </w:t>
      </w:r>
      <w:r w:rsidRPr="003D1774">
        <w:t>by dividing i</w:t>
      </w:r>
      <w:r w:rsidRPr="00940135">
        <w:rPr>
          <w:vertAlign w:val="subscript"/>
        </w:rPr>
        <w:t>k</w:t>
      </w:r>
      <w:r w:rsidRPr="003D1774">
        <w:t xml:space="preserve"> by the Pt mass loading on the electrode.</w:t>
      </w:r>
      <w:r w:rsidR="00B878EB">
        <w:t xml:space="preserve"> And the specific activity </w:t>
      </w:r>
      <w:r w:rsidR="00075B93">
        <w:t>(SA)</w:t>
      </w:r>
      <w:r w:rsidR="00075B93" w:rsidRPr="003D1774">
        <w:t xml:space="preserve"> </w:t>
      </w:r>
      <w:r w:rsidR="00B878EB">
        <w:t xml:space="preserve">was </w:t>
      </w:r>
      <w:r w:rsidR="00B878EB" w:rsidRPr="003D1774">
        <w:t>was calculated</w:t>
      </w:r>
      <w:r w:rsidR="00B878EB">
        <w:t xml:space="preserve"> </w:t>
      </w:r>
      <w:r w:rsidR="00B878EB" w:rsidRPr="003D1774">
        <w:t>by dividing i</w:t>
      </w:r>
      <w:r w:rsidR="00B878EB" w:rsidRPr="00940135">
        <w:rPr>
          <w:vertAlign w:val="subscript"/>
        </w:rPr>
        <w:t>k</w:t>
      </w:r>
      <w:r w:rsidR="00B878EB" w:rsidRPr="003D1774">
        <w:t xml:space="preserve"> by the Pt</w:t>
      </w:r>
      <w:r w:rsidR="00B878EB">
        <w:t xml:space="preserve"> area estimated from CO stripping method.</w:t>
      </w:r>
    </w:p>
    <w:p w14:paraId="6E24B45A" w14:textId="4DABB371" w:rsidR="00017C0D" w:rsidRDefault="00017C0D" w:rsidP="00815CB3">
      <w:r>
        <w:t xml:space="preserve">Stability test </w:t>
      </w:r>
      <w:r w:rsidR="00DE14C3">
        <w:t xml:space="preserve">(RDE </w:t>
      </w:r>
      <w:r>
        <w:t>protocol</w:t>
      </w:r>
      <w:r w:rsidR="00DE14C3">
        <w:t>)</w:t>
      </w:r>
      <w:r>
        <w:t xml:space="preserve">: </w:t>
      </w:r>
      <w:r w:rsidR="00927B9D" w:rsidRPr="00927B9D">
        <w:t>The stability test was performed after carrying out the</w:t>
      </w:r>
      <w:r w:rsidR="00F67D57">
        <w:t xml:space="preserve"> </w:t>
      </w:r>
      <w:r w:rsidR="00927B9D" w:rsidRPr="00927B9D">
        <w:t>activation, impedance measurement and activity measurements. The rotation was turned off,</w:t>
      </w:r>
      <w:r w:rsidR="00F67D57">
        <w:t xml:space="preserve"> </w:t>
      </w:r>
      <w:r w:rsidR="00927B9D" w:rsidRPr="00927B9D">
        <w:t xml:space="preserve">the electrode </w:t>
      </w:r>
      <w:r w:rsidR="00AC6724">
        <w:t xml:space="preserve">was </w:t>
      </w:r>
      <w:r w:rsidR="00927B9D" w:rsidRPr="00927B9D">
        <w:t>raised from the electrolyte under potential control and N</w:t>
      </w:r>
      <w:r w:rsidR="00927B9D" w:rsidRPr="00AC6724">
        <w:rPr>
          <w:vertAlign w:val="subscript"/>
        </w:rPr>
        <w:t>2</w:t>
      </w:r>
      <w:r w:rsidR="00927B9D" w:rsidRPr="00927B9D">
        <w:t xml:space="preserve"> was bubbled for </w:t>
      </w:r>
      <w:r w:rsidR="002F1013">
        <w:t>10</w:t>
      </w:r>
      <w:r w:rsidR="00F67D57">
        <w:t xml:space="preserve"> </w:t>
      </w:r>
      <w:r w:rsidR="00927B9D" w:rsidRPr="00927B9D">
        <w:t xml:space="preserve">min. Then the electrode was </w:t>
      </w:r>
      <w:r w:rsidR="002F1013">
        <w:t>immersed</w:t>
      </w:r>
      <w:r w:rsidR="00927B9D" w:rsidRPr="00927B9D">
        <w:t xml:space="preserve"> and the potential </w:t>
      </w:r>
      <w:r w:rsidR="001E1A18">
        <w:t xml:space="preserve">was </w:t>
      </w:r>
      <w:r w:rsidR="00927B9D" w:rsidRPr="00927B9D">
        <w:t xml:space="preserve">cycled between 0.6 and 0.925 </w:t>
      </w:r>
      <w:r w:rsidR="00F6708A">
        <w:t>V</w:t>
      </w:r>
      <w:r w:rsidR="00F6708A" w:rsidRPr="00874E2C">
        <w:rPr>
          <w:vertAlign w:val="subscript"/>
        </w:rPr>
        <w:t>RHE</w:t>
      </w:r>
      <w:r w:rsidR="00927B9D" w:rsidRPr="00927B9D">
        <w:t xml:space="preserve"> at 100 mV</w:t>
      </w:r>
      <w:r w:rsidR="00FA0598">
        <w:t>/</w:t>
      </w:r>
      <w:r w:rsidR="00927B9D" w:rsidRPr="00927B9D">
        <w:t>s for 10</w:t>
      </w:r>
      <w:r w:rsidR="005D6145">
        <w:t>,</w:t>
      </w:r>
      <w:r w:rsidR="00927B9D" w:rsidRPr="00927B9D">
        <w:t>000 cycles, while venting above the electrolyte with N</w:t>
      </w:r>
      <w:r w:rsidR="00927B9D" w:rsidRPr="005D6145">
        <w:rPr>
          <w:vertAlign w:val="subscript"/>
        </w:rPr>
        <w:t>2</w:t>
      </w:r>
      <w:r w:rsidR="00927B9D" w:rsidRPr="00927B9D">
        <w:t>. After that</w:t>
      </w:r>
      <w:r w:rsidR="00F67D57">
        <w:t xml:space="preserve"> </w:t>
      </w:r>
      <w:r w:rsidR="00927B9D" w:rsidRPr="00927B9D">
        <w:t xml:space="preserve">the potential was cycled as described in “activation”, but only 3 </w:t>
      </w:r>
      <w:r w:rsidR="00773DB8" w:rsidRPr="00927B9D">
        <w:t xml:space="preserve">cycles </w:t>
      </w:r>
      <w:r w:rsidR="00927B9D" w:rsidRPr="00927B9D">
        <w:t xml:space="preserve">at 100 </w:t>
      </w:r>
      <w:r w:rsidR="00201713" w:rsidRPr="00927B9D">
        <w:t>mV</w:t>
      </w:r>
      <w:r w:rsidR="00201713">
        <w:t>/</w:t>
      </w:r>
      <w:r w:rsidR="00201713" w:rsidRPr="00927B9D">
        <w:t xml:space="preserve">s </w:t>
      </w:r>
      <w:r w:rsidR="00927B9D" w:rsidRPr="00927B9D">
        <w:t>and 3</w:t>
      </w:r>
      <w:r w:rsidR="00F67D57">
        <w:t xml:space="preserve"> </w:t>
      </w:r>
      <w:r w:rsidR="00773DB8" w:rsidRPr="00927B9D">
        <w:t xml:space="preserve">cycles </w:t>
      </w:r>
      <w:r w:rsidR="00927B9D" w:rsidRPr="00927B9D">
        <w:t xml:space="preserve">at 20 </w:t>
      </w:r>
      <w:r w:rsidR="00201713" w:rsidRPr="00927B9D">
        <w:t>mV</w:t>
      </w:r>
      <w:r w:rsidR="00201713">
        <w:t>/</w:t>
      </w:r>
      <w:r w:rsidR="00201713" w:rsidRPr="00927B9D">
        <w:t>s</w:t>
      </w:r>
      <w:r w:rsidR="00927B9D" w:rsidRPr="00927B9D">
        <w:t xml:space="preserve">. Then </w:t>
      </w:r>
      <w:r w:rsidR="00927B9D" w:rsidRPr="00856300">
        <w:rPr>
          <w:iCs/>
        </w:rPr>
        <w:t>impedance spectroscopy</w:t>
      </w:r>
      <w:r w:rsidR="00927B9D" w:rsidRPr="00927B9D">
        <w:rPr>
          <w:i/>
          <w:iCs/>
        </w:rPr>
        <w:t xml:space="preserve"> </w:t>
      </w:r>
      <w:r w:rsidR="00927B9D" w:rsidRPr="00927B9D">
        <w:t xml:space="preserve">and </w:t>
      </w:r>
      <w:r w:rsidR="00927B9D" w:rsidRPr="00856300">
        <w:rPr>
          <w:iCs/>
        </w:rPr>
        <w:t xml:space="preserve">ORR </w:t>
      </w:r>
      <w:r w:rsidR="00AB4B74">
        <w:rPr>
          <w:iCs/>
        </w:rPr>
        <w:t xml:space="preserve">activity </w:t>
      </w:r>
      <w:r w:rsidR="00634CE2">
        <w:rPr>
          <w:iCs/>
        </w:rPr>
        <w:t>test</w:t>
      </w:r>
      <w:r w:rsidR="00856300">
        <w:rPr>
          <w:iCs/>
        </w:rPr>
        <w:t xml:space="preserve"> after stability test</w:t>
      </w:r>
      <w:r w:rsidR="00927B9D" w:rsidRPr="00927B9D">
        <w:t xml:space="preserve"> were</w:t>
      </w:r>
      <w:r w:rsidR="00F67D57">
        <w:t xml:space="preserve"> </w:t>
      </w:r>
      <w:r w:rsidR="00C069A4">
        <w:t xml:space="preserve">also </w:t>
      </w:r>
      <w:r w:rsidR="00AB4B74">
        <w:t>carried out</w:t>
      </w:r>
      <w:r w:rsidR="00927B9D" w:rsidRPr="00927B9D">
        <w:t>.</w:t>
      </w:r>
    </w:p>
    <w:p w14:paraId="7CA4C8D6" w14:textId="05AD2B3B" w:rsidR="002307BB" w:rsidRDefault="00BF16C0" w:rsidP="00815CB3">
      <w:r>
        <w:t>CO stripping</w:t>
      </w:r>
      <w:r w:rsidR="002A61B5">
        <w:t xml:space="preserve">: </w:t>
      </w:r>
      <w:r w:rsidR="007E3FCA">
        <w:t xml:space="preserve">initial </w:t>
      </w:r>
      <w:r w:rsidR="000A2ABA" w:rsidRPr="000A2ABA">
        <w:t>CO stripping</w:t>
      </w:r>
      <w:r w:rsidR="007E3FCA">
        <w:t xml:space="preserve"> measurement </w:t>
      </w:r>
      <w:r w:rsidR="000A2ABA" w:rsidRPr="000A2ABA">
        <w:t>w</w:t>
      </w:r>
      <w:r w:rsidR="007E3FCA">
        <w:t>as</w:t>
      </w:r>
      <w:r w:rsidR="000A2ABA" w:rsidRPr="000A2ABA">
        <w:t xml:space="preserve"> performed </w:t>
      </w:r>
      <w:r w:rsidR="007E3FCA">
        <w:t>after initial ORR test</w:t>
      </w:r>
      <w:r w:rsidR="000A2ABA" w:rsidRPr="000A2ABA">
        <w:t>. After</w:t>
      </w:r>
      <w:r w:rsidR="000B66E7">
        <w:t xml:space="preserve"> </w:t>
      </w:r>
      <w:r w:rsidR="00E63448">
        <w:t>ORR test</w:t>
      </w:r>
      <w:r w:rsidR="000A2ABA" w:rsidRPr="000A2ABA">
        <w:t xml:space="preserve">, </w:t>
      </w:r>
      <w:r w:rsidR="0038273B" w:rsidRPr="00927B9D">
        <w:t>N</w:t>
      </w:r>
      <w:r w:rsidR="0038273B" w:rsidRPr="00AC6724">
        <w:rPr>
          <w:vertAlign w:val="subscript"/>
        </w:rPr>
        <w:t>2</w:t>
      </w:r>
      <w:r w:rsidR="0038273B" w:rsidRPr="00927B9D">
        <w:t xml:space="preserve"> was bubbled for </w:t>
      </w:r>
      <w:r w:rsidR="0038273B">
        <w:t xml:space="preserve">10 </w:t>
      </w:r>
      <w:r w:rsidR="0038273B" w:rsidRPr="00927B9D">
        <w:t>min</w:t>
      </w:r>
      <w:r w:rsidR="0038273B">
        <w:t>.</w:t>
      </w:r>
      <w:r w:rsidR="0038273B" w:rsidRPr="000A2ABA">
        <w:t xml:space="preserve"> </w:t>
      </w:r>
      <w:r w:rsidR="00107396">
        <w:t>The</w:t>
      </w:r>
      <w:r w:rsidR="00107396" w:rsidRPr="002075CE">
        <w:t xml:space="preserve"> electrode was reinserted under an applied potential of 0.05 </w:t>
      </w:r>
      <w:r w:rsidR="007810DA">
        <w:t>V</w:t>
      </w:r>
      <w:r w:rsidR="007810DA" w:rsidRPr="00874E2C">
        <w:rPr>
          <w:vertAlign w:val="subscript"/>
        </w:rPr>
        <w:t>RHE</w:t>
      </w:r>
      <w:r w:rsidR="00107396">
        <w:t xml:space="preserve"> </w:t>
      </w:r>
      <w:r w:rsidR="000A2ABA" w:rsidRPr="000A2ABA">
        <w:t>and the rotation was set to 400 rpm. Then CO was bubbled for another 1 min at the same rotation speed. The gas</w:t>
      </w:r>
      <w:r w:rsidR="001F3A6B">
        <w:t xml:space="preserve"> </w:t>
      </w:r>
      <w:r w:rsidR="000A2ABA" w:rsidRPr="000A2ABA">
        <w:t>was switched back to N</w:t>
      </w:r>
      <w:r w:rsidR="000A2ABA" w:rsidRPr="00E211B4">
        <w:rPr>
          <w:vertAlign w:val="subscript"/>
        </w:rPr>
        <w:t>2</w:t>
      </w:r>
      <w:r w:rsidR="000A2ABA" w:rsidRPr="000A2ABA">
        <w:t xml:space="preserve"> and the electrolyte was bubbled for another 10 min to remove </w:t>
      </w:r>
      <w:r w:rsidR="00B31352">
        <w:t xml:space="preserve">excess non-adsorbed </w:t>
      </w:r>
      <w:r w:rsidR="000A2ABA" w:rsidRPr="000A2ABA">
        <w:t>CO</w:t>
      </w:r>
      <w:r w:rsidR="00A526B3">
        <w:t xml:space="preserve"> in the electrolyte</w:t>
      </w:r>
      <w:r w:rsidR="000A2ABA" w:rsidRPr="000A2ABA">
        <w:t>.</w:t>
      </w:r>
      <w:r w:rsidR="00183704">
        <w:t xml:space="preserve"> </w:t>
      </w:r>
      <w:r w:rsidR="000A2ABA" w:rsidRPr="000A2ABA">
        <w:t>Then the r</w:t>
      </w:r>
      <w:r w:rsidR="007327D9">
        <w:t>otation was turned off and three CV</w:t>
      </w:r>
      <w:r w:rsidR="000A2ABA" w:rsidRPr="000A2ABA">
        <w:t xml:space="preserve"> cycles were recorded at </w:t>
      </w:r>
      <w:r w:rsidR="007327D9">
        <w:t>5</w:t>
      </w:r>
      <w:r w:rsidR="000A2ABA" w:rsidRPr="000A2ABA">
        <w:t>0 mV</w:t>
      </w:r>
      <w:r w:rsidR="007327D9">
        <w:t>/</w:t>
      </w:r>
      <w:r w:rsidR="000A2ABA" w:rsidRPr="000A2ABA">
        <w:t xml:space="preserve">s </w:t>
      </w:r>
      <w:r w:rsidR="007327D9">
        <w:t xml:space="preserve">between 0.05 </w:t>
      </w:r>
      <w:r w:rsidR="007810DA">
        <w:t>V</w:t>
      </w:r>
      <w:r w:rsidR="007810DA" w:rsidRPr="00874E2C">
        <w:rPr>
          <w:vertAlign w:val="subscript"/>
        </w:rPr>
        <w:t>RHE</w:t>
      </w:r>
      <w:r w:rsidR="007327D9">
        <w:t xml:space="preserve"> </w:t>
      </w:r>
      <w:r w:rsidR="000A2ABA" w:rsidRPr="000A2ABA">
        <w:t xml:space="preserve">and 1 </w:t>
      </w:r>
      <w:r w:rsidR="007810DA">
        <w:t>V</w:t>
      </w:r>
      <w:r w:rsidR="007810DA" w:rsidRPr="00874E2C">
        <w:rPr>
          <w:vertAlign w:val="subscript"/>
        </w:rPr>
        <w:t>RHE</w:t>
      </w:r>
      <w:r w:rsidR="000A2ABA" w:rsidRPr="000A2ABA">
        <w:t>, while venting N</w:t>
      </w:r>
      <w:r w:rsidR="000A2ABA" w:rsidRPr="00430531">
        <w:rPr>
          <w:vertAlign w:val="subscript"/>
        </w:rPr>
        <w:t>2</w:t>
      </w:r>
      <w:r w:rsidR="000A2ABA" w:rsidRPr="000A2ABA">
        <w:t xml:space="preserve"> above the electrolyte.</w:t>
      </w:r>
    </w:p>
    <w:p w14:paraId="2B4FF351" w14:textId="42563E7C" w:rsidR="000E5662" w:rsidRDefault="0090619F" w:rsidP="008B5E2E">
      <w:r w:rsidRPr="00D05744">
        <w:rPr>
          <w:iCs/>
        </w:rPr>
        <w:lastRenderedPageBreak/>
        <w:t>Analysis of CO stripping:</w:t>
      </w:r>
      <w:r w:rsidRPr="0090619F">
        <w:rPr>
          <w:i/>
          <w:iCs/>
        </w:rPr>
        <w:t xml:space="preserve"> </w:t>
      </w:r>
      <w:r w:rsidRPr="0090619F">
        <w:t>The CO stripping data were analyzed to calculate the CO-ECSA</w:t>
      </w:r>
      <w:r w:rsidR="006E6DDA">
        <w:t xml:space="preserve"> and</w:t>
      </w:r>
      <w:r w:rsidR="00CD2EA4">
        <w:t xml:space="preserve"> </w:t>
      </w:r>
      <w:r w:rsidRPr="0090619F">
        <w:t>the ratio of CO-ECSA/H</w:t>
      </w:r>
      <w:r w:rsidRPr="00CD2EA4">
        <w:rPr>
          <w:vertAlign w:val="subscript"/>
        </w:rPr>
        <w:t>upd</w:t>
      </w:r>
      <w:r w:rsidRPr="0090619F">
        <w:t>-ECSA.</w:t>
      </w:r>
      <w:r w:rsidR="00CD2EA4">
        <w:t xml:space="preserve"> </w:t>
      </w:r>
      <w:r w:rsidRPr="0090619F">
        <w:t xml:space="preserve">For the CO-ECSA, the positive scan of </w:t>
      </w:r>
      <w:r w:rsidR="00E87306">
        <w:t>the second cycle</w:t>
      </w:r>
      <w:r w:rsidRPr="0090619F">
        <w:t xml:space="preserve"> was used as</w:t>
      </w:r>
      <w:r w:rsidR="00CD2EA4">
        <w:t xml:space="preserve"> background and </w:t>
      </w:r>
      <w:r w:rsidRPr="0090619F">
        <w:t xml:space="preserve">subtracted from the positive scan of the </w:t>
      </w:r>
      <w:r w:rsidR="00F407AD">
        <w:t>first cycle</w:t>
      </w:r>
      <w:r w:rsidRPr="0090619F">
        <w:t>. Then the integral</w:t>
      </w:r>
      <w:r w:rsidR="00CD2EA4">
        <w:t xml:space="preserve"> </w:t>
      </w:r>
      <w:r w:rsidRPr="0090619F">
        <w:t xml:space="preserve">of the peak was </w:t>
      </w:r>
      <w:r w:rsidR="00E04073">
        <w:t>calculated in the iR-</w:t>
      </w:r>
      <w:r w:rsidRPr="0090619F">
        <w:t>corrected potential range from the crossing of the curves</w:t>
      </w:r>
      <w:r w:rsidR="00CD2EA4">
        <w:t xml:space="preserve"> </w:t>
      </w:r>
      <w:r w:rsidRPr="0090619F">
        <w:t xml:space="preserve">to the highest potential (~1 </w:t>
      </w:r>
      <w:r w:rsidR="007810DA">
        <w:t>V</w:t>
      </w:r>
      <w:r w:rsidR="007810DA" w:rsidRPr="00874E2C">
        <w:rPr>
          <w:vertAlign w:val="subscript"/>
        </w:rPr>
        <w:t>RHE</w:t>
      </w:r>
      <w:r w:rsidRPr="0090619F">
        <w:t xml:space="preserve">). </w:t>
      </w:r>
      <w:r w:rsidR="0064320A">
        <w:t>The integral area was normalized by the scan rate and the Pt mass loading on the electrode.</w:t>
      </w:r>
      <w:r w:rsidR="006A0B6A">
        <w:t xml:space="preserve"> </w:t>
      </w:r>
      <w:r w:rsidR="00AB4ACD">
        <w:t xml:space="preserve">A </w:t>
      </w:r>
      <w:r w:rsidRPr="0090619F">
        <w:t>value of 420</w:t>
      </w:r>
      <w:r w:rsidR="00E04073">
        <w:t xml:space="preserve"> µC/cm</w:t>
      </w:r>
      <w:r w:rsidR="00E04073" w:rsidRPr="009B76B8">
        <w:rPr>
          <w:vertAlign w:val="superscript"/>
        </w:rPr>
        <w:t>2</w:t>
      </w:r>
      <w:r w:rsidRPr="0090619F">
        <w:t xml:space="preserve"> </w:t>
      </w:r>
      <w:r w:rsidR="006A0B6A">
        <w:t xml:space="preserve">was used </w:t>
      </w:r>
      <w:r w:rsidRPr="0090619F">
        <w:t>for the electrooxidation of a monolayer of adsorbed CO. The H</w:t>
      </w:r>
      <w:r w:rsidRPr="00AA4E33">
        <w:rPr>
          <w:vertAlign w:val="subscript"/>
        </w:rPr>
        <w:t>upd</w:t>
      </w:r>
      <w:r w:rsidRPr="0090619F">
        <w:t>-ECSA after CO stripping was calculated using the cycle after CO stripping</w:t>
      </w:r>
      <w:r w:rsidR="0040472E">
        <w:t xml:space="preserve">. </w:t>
      </w:r>
      <w:r w:rsidR="008B5E2E" w:rsidRPr="006E332F">
        <w:t>H</w:t>
      </w:r>
      <w:r w:rsidR="008B5E2E" w:rsidRPr="006E332F">
        <w:rPr>
          <w:vertAlign w:val="subscript"/>
        </w:rPr>
        <w:t>upd</w:t>
      </w:r>
      <w:r w:rsidR="008B5E2E" w:rsidRPr="006E332F">
        <w:t xml:space="preserve">-ECSA was determined by integrating the current in the negative going sweep. </w:t>
      </w:r>
      <w:r w:rsidR="0098426E">
        <w:t xml:space="preserve">Due to the low content of Pt, it is </w:t>
      </w:r>
      <w:r w:rsidR="00DD3233">
        <w:t>quite hard</w:t>
      </w:r>
      <w:r w:rsidR="0098426E">
        <w:t xml:space="preserve"> to determine the </w:t>
      </w:r>
      <w:r w:rsidR="00DD3233">
        <w:t xml:space="preserve">accurate </w:t>
      </w:r>
      <w:r w:rsidR="0098426E">
        <w:t xml:space="preserve">potential range of </w:t>
      </w:r>
      <w:r w:rsidR="0098426E" w:rsidRPr="006E332F">
        <w:t>H</w:t>
      </w:r>
      <w:r w:rsidR="0098426E" w:rsidRPr="006E332F">
        <w:rPr>
          <w:vertAlign w:val="subscript"/>
        </w:rPr>
        <w:t>upd</w:t>
      </w:r>
      <w:r w:rsidR="0098426E">
        <w:t xml:space="preserve"> region. </w:t>
      </w:r>
      <w:r w:rsidR="00E606CA">
        <w:t>For consistency</w:t>
      </w:r>
      <w:r w:rsidR="009918B1">
        <w:t xml:space="preserve"> and better comparison</w:t>
      </w:r>
      <w:r w:rsidR="00E606CA">
        <w:t>, we select</w:t>
      </w:r>
      <w:r w:rsidR="00B918EB">
        <w:t>ed</w:t>
      </w:r>
      <w:r w:rsidR="00E606CA">
        <w:t xml:space="preserve"> </w:t>
      </w:r>
      <w:r w:rsidR="00E606CA" w:rsidRPr="006E332F">
        <w:t xml:space="preserve">0.4 </w:t>
      </w:r>
      <w:r w:rsidR="00F73683">
        <w:t>V</w:t>
      </w:r>
      <w:r w:rsidR="00F73683" w:rsidRPr="00874E2C">
        <w:rPr>
          <w:vertAlign w:val="subscript"/>
        </w:rPr>
        <w:t>RHE</w:t>
      </w:r>
      <w:r w:rsidR="00E606CA" w:rsidRPr="006E332F">
        <w:t xml:space="preserve"> </w:t>
      </w:r>
      <w:r w:rsidR="00E606CA">
        <w:t xml:space="preserve">as the </w:t>
      </w:r>
      <w:r w:rsidR="00E606CA" w:rsidRPr="006E332F">
        <w:t>upper potential limit</w:t>
      </w:r>
      <w:r w:rsidR="00E606CA">
        <w:t>, whereas the lowest potential</w:t>
      </w:r>
      <w:r w:rsidR="00E606CA" w:rsidRPr="006E332F">
        <w:t xml:space="preserve"> </w:t>
      </w:r>
      <w:r w:rsidR="00B918EB">
        <w:t>was</w:t>
      </w:r>
      <w:r w:rsidR="00DC4542">
        <w:t xml:space="preserve"> chosen</w:t>
      </w:r>
      <w:r w:rsidR="008B5E2E" w:rsidRPr="006E332F">
        <w:t xml:space="preserve"> as lower potential limit (~0.05 </w:t>
      </w:r>
      <w:r w:rsidR="00F73683">
        <w:t>V</w:t>
      </w:r>
      <w:r w:rsidR="00F73683" w:rsidRPr="00874E2C">
        <w:rPr>
          <w:vertAlign w:val="subscript"/>
        </w:rPr>
        <w:t>RHE</w:t>
      </w:r>
      <w:r w:rsidR="008B5E2E" w:rsidRPr="006E332F">
        <w:t>). Subtraction of the capacitive background current was applied. The integral area was normalized by the scan rate and the Pt mass loading on the electrode. A value of 210 µC/cm</w:t>
      </w:r>
      <w:r w:rsidR="008B5E2E" w:rsidRPr="006E332F">
        <w:rPr>
          <w:vertAlign w:val="superscript"/>
        </w:rPr>
        <w:t>2</w:t>
      </w:r>
      <w:r w:rsidR="008B5E2E" w:rsidRPr="006E332F">
        <w:t xml:space="preserve"> was used for the adsorption of a hydrogen monolayer.</w:t>
      </w:r>
    </w:p>
    <w:p w14:paraId="22C1B02D" w14:textId="38C6A47F" w:rsidR="00A92CE3" w:rsidRDefault="00A92CE3" w:rsidP="000E1AE0">
      <w:pPr>
        <w:ind w:firstLine="0"/>
      </w:pPr>
    </w:p>
    <w:p w14:paraId="2FF19FE6" w14:textId="77777777" w:rsidR="00B80935" w:rsidRDefault="00B80935" w:rsidP="00984F29">
      <w:pPr>
        <w:pStyle w:val="Heading2"/>
        <w:sectPr w:rsidR="00B80935" w:rsidSect="00480CBE">
          <w:pgSz w:w="11906" w:h="16838"/>
          <w:pgMar w:top="1440" w:right="1440" w:bottom="1440" w:left="1440" w:header="708" w:footer="708" w:gutter="0"/>
          <w:cols w:space="708"/>
          <w:docGrid w:linePitch="360"/>
        </w:sectPr>
      </w:pPr>
    </w:p>
    <w:p w14:paraId="6A7053D4" w14:textId="4797FAC9" w:rsidR="00984F29" w:rsidRDefault="00B80935" w:rsidP="00984F29">
      <w:pPr>
        <w:pStyle w:val="Heading2"/>
      </w:pPr>
      <w:r>
        <w:lastRenderedPageBreak/>
        <w:t xml:space="preserve">Supplementary </w:t>
      </w:r>
      <w:r w:rsidR="00984F29">
        <w:t>Figures</w:t>
      </w:r>
      <w:r w:rsidR="00ED6725">
        <w:t>, Supplementary Tables</w:t>
      </w:r>
      <w:r w:rsidR="00DE5808">
        <w:t xml:space="preserve"> and Supplementary Discussions</w:t>
      </w:r>
    </w:p>
    <w:p w14:paraId="23422683" w14:textId="77777777" w:rsidR="00DE4470" w:rsidRPr="00DE4470" w:rsidRDefault="00DE4470" w:rsidP="00DE4470">
      <w:pPr>
        <w:ind w:firstLine="0"/>
      </w:pPr>
    </w:p>
    <w:p w14:paraId="6A47CF7F" w14:textId="0E1EB663" w:rsidR="002523FC" w:rsidRDefault="0094686C" w:rsidP="002523FC">
      <w:pPr>
        <w:keepNext/>
        <w:ind w:firstLine="0"/>
      </w:pPr>
      <w:r>
        <w:rPr>
          <w:noProof/>
        </w:rPr>
        <w:drawing>
          <wp:inline distT="0" distB="0" distL="0" distR="0" wp14:anchorId="43D1A8B2" wp14:editId="31756F4F">
            <wp:extent cx="5731510" cy="244538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445385"/>
                    </a:xfrm>
                    <a:prstGeom prst="rect">
                      <a:avLst/>
                    </a:prstGeom>
                    <a:noFill/>
                    <a:ln>
                      <a:noFill/>
                    </a:ln>
                  </pic:spPr>
                </pic:pic>
              </a:graphicData>
            </a:graphic>
          </wp:inline>
        </w:drawing>
      </w:r>
    </w:p>
    <w:p w14:paraId="61BAD0B8" w14:textId="5DC09E86" w:rsidR="002C3428" w:rsidRDefault="002523FC" w:rsidP="00B548F0">
      <w:pPr>
        <w:pStyle w:val="Caption"/>
        <w:rPr>
          <w:lang w:val="en-US"/>
        </w:rPr>
      </w:pPr>
      <w:r w:rsidRPr="00C86B2B">
        <w:rPr>
          <w:b/>
          <w:bCs/>
        </w:rPr>
        <w:t xml:space="preserve">Supplementary Fig. </w:t>
      </w:r>
      <w:r w:rsidRPr="00C86B2B">
        <w:rPr>
          <w:b/>
          <w:bCs/>
        </w:rPr>
        <w:fldChar w:fldCharType="begin"/>
      </w:r>
      <w:r w:rsidRPr="00C86B2B">
        <w:rPr>
          <w:b/>
          <w:bCs/>
        </w:rPr>
        <w:instrText xml:space="preserve"> SEQ Supplementary_Fig. \* ARABIC </w:instrText>
      </w:r>
      <w:r w:rsidRPr="00C86B2B">
        <w:rPr>
          <w:b/>
          <w:bCs/>
        </w:rPr>
        <w:fldChar w:fldCharType="separate"/>
      </w:r>
      <w:r w:rsidR="00C76C3C">
        <w:rPr>
          <w:b/>
          <w:bCs/>
          <w:noProof/>
        </w:rPr>
        <w:t>1</w:t>
      </w:r>
      <w:r w:rsidRPr="00C86B2B">
        <w:rPr>
          <w:b/>
          <w:bCs/>
        </w:rPr>
        <w:fldChar w:fldCharType="end"/>
      </w:r>
      <w:r w:rsidRPr="00C86B2B">
        <w:rPr>
          <w:b/>
          <w:bCs/>
        </w:rPr>
        <w:t xml:space="preserve"> </w:t>
      </w:r>
      <w:r w:rsidR="00D7046F" w:rsidRPr="00C86B2B">
        <w:rPr>
          <w:b/>
          <w:bCs/>
        </w:rPr>
        <w:t xml:space="preserve">| </w:t>
      </w:r>
      <w:r w:rsidR="00893D4D" w:rsidRPr="00893D4D">
        <w:t>Complet</w:t>
      </w:r>
      <w:r w:rsidR="00893D4D">
        <w:t xml:space="preserve">e synthetic route toward </w:t>
      </w:r>
      <w:r w:rsidR="00CC55B1" w:rsidRPr="00CC55B1">
        <w:rPr>
          <w:lang w:val="en-US"/>
        </w:rPr>
        <w:t>PtNi/NiNC</w:t>
      </w:r>
      <w:r w:rsidR="00CC55B1">
        <w:rPr>
          <w:lang w:val="en-US"/>
        </w:rPr>
        <w:t xml:space="preserve"> catalyst material.</w:t>
      </w:r>
    </w:p>
    <w:p w14:paraId="70325A5A" w14:textId="77777777" w:rsidR="00C3666E" w:rsidRDefault="00C3666E" w:rsidP="00C3666E">
      <w:pPr>
        <w:keepNext/>
        <w:ind w:firstLine="0"/>
      </w:pPr>
      <w:r>
        <w:rPr>
          <w:noProof/>
        </w:rPr>
        <w:lastRenderedPageBreak/>
        <w:drawing>
          <wp:inline distT="0" distB="0" distL="0" distR="0" wp14:anchorId="12109B88" wp14:editId="442CD51E">
            <wp:extent cx="5731510" cy="41929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192905"/>
                    </a:xfrm>
                    <a:prstGeom prst="rect">
                      <a:avLst/>
                    </a:prstGeom>
                    <a:noFill/>
                    <a:ln>
                      <a:noFill/>
                    </a:ln>
                  </pic:spPr>
                </pic:pic>
              </a:graphicData>
            </a:graphic>
          </wp:inline>
        </w:drawing>
      </w:r>
    </w:p>
    <w:p w14:paraId="00737FC1" w14:textId="7D21D14B" w:rsidR="00E27E7E" w:rsidRDefault="00C3666E" w:rsidP="003C1B93">
      <w:pPr>
        <w:pStyle w:val="Caption"/>
      </w:pPr>
      <w:r w:rsidRPr="00B248FF">
        <w:rPr>
          <w:b/>
          <w:bCs/>
        </w:rPr>
        <w:t xml:space="preserve">Supplementary Fig. </w:t>
      </w:r>
      <w:r w:rsidRPr="00B248FF">
        <w:rPr>
          <w:b/>
          <w:bCs/>
        </w:rPr>
        <w:fldChar w:fldCharType="begin"/>
      </w:r>
      <w:r w:rsidRPr="00B248FF">
        <w:rPr>
          <w:b/>
          <w:bCs/>
        </w:rPr>
        <w:instrText xml:space="preserve"> SEQ Supplementary_Fig. \* ARABIC </w:instrText>
      </w:r>
      <w:r w:rsidRPr="00B248FF">
        <w:rPr>
          <w:b/>
          <w:bCs/>
        </w:rPr>
        <w:fldChar w:fldCharType="separate"/>
      </w:r>
      <w:r w:rsidR="00C76C3C">
        <w:rPr>
          <w:b/>
          <w:bCs/>
          <w:noProof/>
        </w:rPr>
        <w:t>2</w:t>
      </w:r>
      <w:r w:rsidRPr="00B248FF">
        <w:rPr>
          <w:b/>
          <w:bCs/>
        </w:rPr>
        <w:fldChar w:fldCharType="end"/>
      </w:r>
      <w:r w:rsidRPr="00B248FF">
        <w:rPr>
          <w:b/>
          <w:bCs/>
        </w:rPr>
        <w:t xml:space="preserve"> |</w:t>
      </w:r>
      <w:r>
        <w:t xml:space="preserve"> </w:t>
      </w:r>
      <w:r w:rsidRPr="00C3666E">
        <w:t>Schematic illustration of the pyrolysis–</w:t>
      </w:r>
      <w:r w:rsidR="00D11BCC">
        <w:t>leaching</w:t>
      </w:r>
      <w:r w:rsidR="00D11BCC" w:rsidRPr="00C3666E">
        <w:t>–</w:t>
      </w:r>
      <w:r w:rsidRPr="00C3666E">
        <w:t>deposition–annealing (P</w:t>
      </w:r>
      <w:r w:rsidR="0044378E">
        <w:t>L</w:t>
      </w:r>
      <w:r w:rsidRPr="00C3666E">
        <w:t xml:space="preserve">DA) strategy reported in this study and </w:t>
      </w:r>
      <w:r w:rsidRPr="003C1B93">
        <w:t>demonstration</w:t>
      </w:r>
      <w:r w:rsidRPr="00C3666E">
        <w:t xml:space="preserve"> of its ability to generate Pt/NiNC catalyst at gram-scale in one single batch synthesis. (</w:t>
      </w:r>
      <w:r w:rsidRPr="00112284">
        <w:rPr>
          <w:b/>
          <w:bCs/>
        </w:rPr>
        <w:t>a</w:t>
      </w:r>
      <w:r w:rsidRPr="00C3666E">
        <w:t>) Synthetic route and (</w:t>
      </w:r>
      <w:r w:rsidRPr="00112284">
        <w:rPr>
          <w:b/>
          <w:bCs/>
        </w:rPr>
        <w:t>b</w:t>
      </w:r>
      <w:r w:rsidRPr="00C3666E">
        <w:t>) TEM image of NiNC support material. (</w:t>
      </w:r>
      <w:r w:rsidRPr="00112284">
        <w:rPr>
          <w:b/>
          <w:bCs/>
        </w:rPr>
        <w:t>c</w:t>
      </w:r>
      <w:r w:rsidRPr="00C3666E">
        <w:t>) In situ growth of 3 wt% Pt NPs on</w:t>
      </w:r>
      <w:r w:rsidR="00BF6470">
        <w:t>to</w:t>
      </w:r>
      <w:r w:rsidRPr="00C3666E">
        <w:t xml:space="preserve"> NiNC support, showing coexistence of smaller Pt NPs and larger Ni NPs encapsulated by thick carbon shells. (</w:t>
      </w:r>
      <w:r w:rsidRPr="005B584E">
        <w:rPr>
          <w:b/>
          <w:bCs/>
        </w:rPr>
        <w:t>d</w:t>
      </w:r>
      <w:r w:rsidRPr="00C3666E">
        <w:t>) Formation of PtNi/NiNC after annealing. (</w:t>
      </w:r>
      <w:r w:rsidRPr="005B584E">
        <w:rPr>
          <w:b/>
          <w:bCs/>
        </w:rPr>
        <w:t>e</w:t>
      </w:r>
      <w:r w:rsidRPr="00C3666E">
        <w:t>) Images of the products and their weights at each intermediate step: the starting homogeneous mixture of α-Ni(Im)</w:t>
      </w:r>
      <w:r w:rsidRPr="00E25C34">
        <w:rPr>
          <w:vertAlign w:val="subscript"/>
        </w:rPr>
        <w:t>2</w:t>
      </w:r>
      <w:r w:rsidRPr="00C3666E">
        <w:t xml:space="preserve"> precursor and Vulcan-C, after pyrolysis, acid </w:t>
      </w:r>
      <w:r w:rsidR="00DE275F">
        <w:t>was</w:t>
      </w:r>
      <w:r w:rsidR="00BF6470">
        <w:t>hing</w:t>
      </w:r>
      <w:r w:rsidRPr="00C3666E">
        <w:t xml:space="preserve"> and in situ Pt deposition via polyol process.</w:t>
      </w:r>
    </w:p>
    <w:p w14:paraId="15673877" w14:textId="77777777" w:rsidR="008F0D04" w:rsidRPr="008F0D04" w:rsidRDefault="008F0D04" w:rsidP="008F0D04">
      <w:pPr>
        <w:ind w:firstLine="0"/>
      </w:pPr>
    </w:p>
    <w:p w14:paraId="0FB27BEC" w14:textId="33ABFEB5" w:rsidR="002E31E9" w:rsidRDefault="002E31E9" w:rsidP="002E31E9">
      <w:pPr>
        <w:pStyle w:val="Caption"/>
      </w:pPr>
      <w:r w:rsidRPr="002F1837">
        <w:rPr>
          <w:b/>
          <w:bCs/>
          <w:u w:val="single"/>
        </w:rPr>
        <w:t xml:space="preserve">Supplementary Discussion </w:t>
      </w:r>
      <w:r w:rsidRPr="002F1837">
        <w:rPr>
          <w:b/>
          <w:bCs/>
          <w:u w:val="single"/>
        </w:rPr>
        <w:fldChar w:fldCharType="begin"/>
      </w:r>
      <w:r w:rsidRPr="002F1837">
        <w:rPr>
          <w:b/>
          <w:bCs/>
          <w:u w:val="single"/>
        </w:rPr>
        <w:instrText xml:space="preserve"> SEQ Supplementary_Discussion \* ARABIC </w:instrText>
      </w:r>
      <w:r w:rsidRPr="002F1837">
        <w:rPr>
          <w:b/>
          <w:bCs/>
          <w:u w:val="single"/>
        </w:rPr>
        <w:fldChar w:fldCharType="separate"/>
      </w:r>
      <w:r w:rsidR="00C76C3C">
        <w:rPr>
          <w:b/>
          <w:bCs/>
          <w:noProof/>
          <w:u w:val="single"/>
        </w:rPr>
        <w:t>1</w:t>
      </w:r>
      <w:r w:rsidRPr="002F1837">
        <w:rPr>
          <w:b/>
          <w:bCs/>
          <w:u w:val="single"/>
        </w:rPr>
        <w:fldChar w:fldCharType="end"/>
      </w:r>
      <w:r w:rsidRPr="00152E6E">
        <w:rPr>
          <w:b/>
          <w:bCs/>
        </w:rPr>
        <w:t xml:space="preserve"> |</w:t>
      </w:r>
      <w:r>
        <w:t xml:space="preserve"> Importance of the green and scalable synthetic route towards active cathode catalysts for the development of PEMFC technologies.</w:t>
      </w:r>
    </w:p>
    <w:p w14:paraId="21C39C2B" w14:textId="62F724E1" w:rsidR="00E97C34" w:rsidRPr="00E21E7E" w:rsidRDefault="002E31E9" w:rsidP="002E31E9">
      <w:pPr>
        <w:ind w:firstLine="0"/>
      </w:pPr>
      <w:r>
        <w:t xml:space="preserve">Although so many remarkable achievements have been achieved in the development of cathode ORR electrocatalysts, approaching to a commercially viable PEMFC technology that </w:t>
      </w:r>
      <w:r>
        <w:lastRenderedPageBreak/>
        <w:t>is feasible for mass production still requires some further improvements.</w:t>
      </w:r>
      <w:r>
        <w:fldChar w:fldCharType="begin">
          <w:fldData xml:space="preserve">PEVuZE5vdGU+PENpdGU+PEF1dGhvcj5Lb2RhbWE8L0F1dGhvcj48WWVhcj4yMDIxPC9ZZWFyPjxS
ZWNOdW0+NDAyNzwvUmVjTnVtPjxEaXNwbGF5VGV4dD48c3R5bGUgZmFjZT0ic3VwZXJzY3JpcHQi
PjMtNzwvc3R5bGU+PC9EaXNwbGF5VGV4dD48cmVjb3JkPjxyZWMtbnVtYmVyPjQwMjc8L3JlYy1u
dW1iZXI+PGZvcmVpZ24ta2V5cz48a2V5IGFwcD0iRU4iIGRiLWlkPSJyZDlhMnNhZjl2eHZzeGVh
dHJweGFyczg5MHJzYXBzZXA5cjkiIHRpbWVzdGFtcD0iMTYxMTY3MDI3NiI+NDAyNzwva2V5Pjwv
Zm9yZWlnbi1rZXlzPjxyZWYtdHlwZSBuYW1lPSJKb3VybmFsIEFydGljbGUiPjE3PC9yZWYtdHlw
ZT48Y29udHJpYnV0b3JzPjxhdXRob3JzPjxhdXRob3I+S29kYW1hLCBLZW5zYWt1PC9hdXRob3I+
PGF1dGhvcj5OYWdhaSwgVG9tb3l1a2k8L2F1dGhvcj48YXV0aG9yPkt1d2FraSwgQWtpcmE8L2F1
dGhvcj48YXV0aG9yPkppbm5vdWNoaSwgUnlvc3VrZTwvYXV0aG9yPjxhdXRob3I+TW9yaW1vdG8s
IFl1PC9hdXRob3I+PC9hdXRob3JzPjwvY29udHJpYnV0b3JzPjx0aXRsZXM+PHRpdGxlPkNoYWxs
ZW5nZXMgaW4gYXBwbHlpbmcgaGlnaGx5IGFjdGl2ZSBQdC1iYXNlZCBuYW5vc3RydWN0dXJlZCBj
YXRhbHlzdHMgZm9yIG94eWdlbiByZWR1Y3Rpb24gcmVhY3Rpb25zIHRvIGZ1ZWwgY2VsbCB2ZWhp
Y2xlczwvdGl0bGU+PHNlY29uZGFyeS10aXRsZT5OYXR1cmUgTmFub3RlY2hub2xvZ3k8L3NlY29u
ZGFyeS10aXRsZT48L3RpdGxlcz48cGVyaW9kaWNhbD48ZnVsbC10aXRsZT5OYXR1cmUgTmFub3Rl
Y2hub2xvZ3k8L2Z1bGwtdGl0bGU+PGFiYnItMT5OYXQuIE5hbm90ZWNobm9sLjwvYWJici0xPjwv
cGVyaW9kaWNhbD48cGFnZXM+MTQw4oCTMTQ3PC9wYWdlcz48dm9sdW1lPjE2PC92b2x1bWU+PGRh
dGVzPjx5ZWFyPjIwMjE8L3llYXI+PHB1Yi1kYXRlcz48ZGF0ZT4yMDIxLzAxLzIxPC9kYXRlPjwv
cHViLWRhdGVzPjwvZGF0ZXM+PGlzYm4+MTc0OC0zMzk1PC9pc2JuPjx1cmxzPjxyZWxhdGVkLXVy
bHM+PHVybD5odHRwczovL2RvaS5vcmcvMTAuMTAzOC9zNDE1NjUtMDIwLTAwODI0LXc8L3VybD48
L3JlbGF0ZWQtdXJscz48L3VybHM+PGVsZWN0cm9uaWMtcmVzb3VyY2UtbnVtPjEwLjEwMzgvczQx
NTY1LTAyMC0wMDgyNC13PC9lbGVjdHJvbmljLXJlc291cmNlLW51bT48L3JlY29yZD48L0NpdGU+
PENpdGU+PEF1dGhvcj5EZWJlPC9BdXRob3I+PFllYXI+MjAxMjwvWWVhcj48UmVjTnVtPjQwMDU8
L1JlY051bT48cmVjb3JkPjxyZWMtbnVtYmVyPjQwMDU8L3JlYy1udW1iZXI+PGZvcmVpZ24ta2V5
cz48a2V5IGFwcD0iRU4iIGRiLWlkPSJyZDlhMnNhZjl2eHZzeGVhdHJweGFyczg5MHJzYXBzZXA5
cjkiIHRpbWVzdGFtcD0iMTYwMzAxODI0NCI+NDAwNTwva2V5PjwvZm9yZWlnbi1rZXlzPjxyZWYt
dHlwZSBuYW1lPSJKb3VybmFsIEFydGljbGUiPjE3PC9yZWYtdHlwZT48Y29udHJpYnV0b3JzPjxh
dXRob3JzPjxhdXRob3I+RGViZSwgTWFyayBLLjwvYXV0aG9yPjwvYXV0aG9ycz48L2NvbnRyaWJ1
dG9ycz48dGl0bGVzPjx0aXRsZT5FbGVjdHJvY2F0YWx5c3QgYXBwcm9hY2hlcyBhbmQgY2hhbGxl
bmdlcyBmb3IgYXV0b21vdGl2ZSBmdWVsIGNlbGxzPC90aXRsZT48c2Vjb25kYXJ5LXRpdGxlPk5h
dHVyZTwvc2Vjb25kYXJ5LXRpdGxlPjwvdGl0bGVzPjxwZXJpb2RpY2FsPjxmdWxsLXRpdGxlPk5h
dHVyZTwvZnVsbC10aXRsZT48YWJici0xPk5hdHVyZTwvYWJici0xPjwvcGVyaW9kaWNhbD48cGFn
ZXM+NDPigJM1MTwvcGFnZXM+PHZvbHVtZT40ODY8L3ZvbHVtZT48bnVtYmVyPjc0MDE8L251bWJl
cj48ZGF0ZXM+PHllYXI+MjAxMjwveWVhcj48cHViLWRhdGVzPjxkYXRlPjIwMTIvMDYvMDE8L2Rh
dGU+PC9wdWItZGF0ZXM+PC9kYXRlcz48aXNibj4xNDc2LTQ2ODc8L2lzYm4+PHVybHM+PHJlbGF0
ZWQtdXJscz48dXJsPmh0dHBzOi8vZG9pLm9yZy8xMC4xMDM4L25hdHVyZTExMTE1PC91cmw+PC9y
ZWxhdGVkLXVybHM+PC91cmxzPjxlbGVjdHJvbmljLXJlc291cmNlLW51bT4xMC4xMDM4L25hdHVy
ZTExMTE1PC9lbGVjdHJvbmljLXJlc291cmNlLW51bT48L3JlY29yZD48L0NpdGU+PENpdGU+PEF1
dGhvcj5aaGFuZzwvQXV0aG9yPjxZZWFyPjIwMTQ8L1llYXI+PFJlY051bT40MDU1PC9SZWNOdW0+
PHJlY29yZD48cmVjLW51bWJlcj40MDU1PC9yZWMtbnVtYmVyPjxmb3JlaWduLWtleXM+PGtleSBh
cHA9IkVOIiBkYi1pZD0icmQ5YTJzYWY5dnh2c3hlYXRycHhhcnM4OTByc2Fwc2VwOXI5IiB0aW1l
c3RhbXA9IjE2MjQwMzEyNDciPjQwNTU8L2tleT48L2ZvcmVpZ24ta2V5cz48cmVmLXR5cGUgbmFt
ZT0iSm91cm5hbCBBcnRpY2xlIj4xNzwvcmVmLXR5cGU+PGNvbnRyaWJ1dG9ycz48YXV0aG9ycz48
YXV0aG9yPlpoYW5nLCBMZWk8L2F1dGhvcj48YXV0aG9yPlhpYSwgWW91bmFuPC9hdXRob3I+PC9h
dXRob3JzPjwvY29udHJpYnV0b3JzPjx0aXRsZXM+PHRpdGxlPlNjYWxpbmcgdXAgdGhlIFByb2R1
Y3Rpb24gb2YgQ29sbG9pZGFsIE5hbm9jcnlzdGFsczogU2hvdWxkIFdlIEluY3JlYXNlIG9yIERl
Y3JlYXNlIHRoZSBSZWFjdGlvbiBWb2x1bWU/PC90aXRsZT48c2Vjb25kYXJ5LXRpdGxlPkFkdmFu
Y2VkIE1hdGVyaWFsczwvc2Vjb25kYXJ5LXRpdGxlPjwvdGl0bGVzPjxwZXJpb2RpY2FsPjxmdWxs
LXRpdGxlPkFkdmFuY2VkIE1hdGVyaWFsczwvZnVsbC10aXRsZT48YWJici0xPkFkdi4gTWF0ZXIu
PC9hYmJyLTE+PC9wZXJpb2RpY2FsPjxwYWdlcz4yNjAw4oCTMjYwNjwvcGFnZXM+PHZvbHVtZT4y
Njwvdm9sdW1lPjxudW1iZXI+MTY8L251bWJlcj48ZGF0ZXM+PHllYXI+MjAxNDwveWVhcj48L2Rh
dGVzPjxpc2JuPjA5MzUtOTY0ODwvaXNibj48dXJscz48cmVsYXRlZC11cmxzPjx1cmw+aHR0cHM6
Ly9vbmxpbmVsaWJyYXJ5LndpbGV5LmNvbS9kb2kvYWJzLzEwLjEwMDIvYWRtYS4yMDEzMDQ4OTc8
L3VybD48L3JlbGF0ZWQtdXJscz48L3VybHM+PGVsZWN0cm9uaWMtcmVzb3VyY2UtbnVtPmh0dHBz
Oi8vZG9pLm9yZy8xMC4xMDAyL2FkbWEuMjAxMzA0ODk3PC9lbGVjdHJvbmljLXJlc291cmNlLW51
bT48L3JlY29yZD48L0NpdGU+PENpdGU+PEF1dGhvcj5OaXU8L0F1dGhvcj48WWVhcj4yMDE1PC9Z
ZWFyPjxSZWNOdW0+NDA0OTwvUmVjTnVtPjxyZWNvcmQ+PHJlYy1udW1iZXI+NDA0OTwvcmVjLW51
bWJlcj48Zm9yZWlnbi1rZXlzPjxrZXkgYXBwPSJFTiIgZGItaWQ9InJkOWEyc2FmOXZ4dnN4ZWF0
cnB4YXJzODkwcnNhcHNlcDlyOSIgdGltZXN0YW1wPSIxNjIyODA5MTMxIj40MDQ5PC9rZXk+PC9m
b3JlaWduLWtleXM+PHJlZi10eXBlIG5hbWU9IkpvdXJuYWwgQXJ0aWNsZSI+MTc8L3JlZi10eXBl
Pjxjb250cmlidXRvcnM+PGF1dGhvcnM+PGF1dGhvcj5OaXUsIEd1YW5nZGE8L2F1dGhvcj48YXV0
aG9yPlJ1ZGl0c2tpeSwgQWxla3NleTwvYXV0aG9yPjxhdXRob3I+VmFyYSwgTWFkZWxpbmU8L2F1
dGhvcj48YXV0aG9yPlhpYSwgWW91bmFuPC9hdXRob3I+PC9hdXRob3JzPjwvY29udHJpYnV0b3Jz
Pjx0aXRsZXM+PHRpdGxlPlRvd2FyZCBjb250aW51b3VzIGFuZCBzY2FsYWJsZSBwcm9kdWN0aW9u
IG9mIGNvbGxvaWRhbCBuYW5vY3J5c3RhbHMgYnkgc3dpdGNoaW5nIGZyb20gYmF0Y2ggdG8gZHJv
cGxldCByZWFjdG9yczwvdGl0bGU+PHNlY29uZGFyeS10aXRsZT5DaGVtaWNhbCBTb2NpZXR5IFJl
dmlld3M8L3NlY29uZGFyeS10aXRsZT48L3RpdGxlcz48cGVyaW9kaWNhbD48ZnVsbC10aXRsZT5D
aGVtaWNhbCBTb2NpZXR5IFJldmlld3M8L2Z1bGwtdGl0bGU+PGFiYnItMT5DaGVtLiBTb2MuIFJl
di48L2FiYnItMT48L3BlcmlvZGljYWw+PHBhZ2VzPjU4MDbigJM1ODIwPC9wYWdlcz48dm9sdW1l
PjQ0PC92b2x1bWU+PG51bWJlcj4xNjwvbnVtYmVyPjxkYXRlcz48eWVhcj4yMDE1PC95ZWFyPjwv
ZGF0ZXM+PHB1Ymxpc2hlcj5UaGUgUm95YWwgU29jaWV0eSBvZiBDaGVtaXN0cnk8L3B1Ymxpc2hl
cj48aXNibj4wMzA2LTAwMTI8L2lzYm4+PHdvcmstdHlwZT4xMC4xMDM5L0M1Q1MwMDA0OUE8L3dv
cmstdHlwZT48dXJscz48cmVsYXRlZC11cmxzPjx1cmw+aHR0cDovL2R4LmRvaS5vcmcvMTAuMTAz
OS9DNUNTMDAwNDlBPC91cmw+PC9yZWxhdGVkLXVybHM+PC91cmxzPjxlbGVjdHJvbmljLXJlc291
cmNlLW51bT4xMC4xMDM5L0M1Q1MwMDA0OUE8L2VsZWN0cm9uaWMtcmVzb3VyY2UtbnVtPjwvcmVj
b3JkPjwvQ2l0ZT48Q2l0ZT48QXV0aG9yPlJveTwvQXV0aG9yPjxZZWFyPjIwMTg8L1llYXI+PFJl
Y051bT4zNzUxPC9SZWNOdW0+PHJlY29yZD48cmVjLW51bWJlcj4zNzUxPC9yZWMtbnVtYmVyPjxm
b3JlaWduLWtleXM+PGtleSBhcHA9IkVOIiBkYi1pZD0icmQ5YTJzYWY5dnh2c3hlYXRycHhhcnM4
OTByc2Fwc2VwOXI5IiB0aW1lc3RhbXA9IjE1NzAxMTE5MTgiPjM3NTE8L2tleT48L2ZvcmVpZ24t
a2V5cz48cmVmLXR5cGUgbmFtZT0iSm91cm5hbCBBcnRpY2xlIj4xNzwvcmVmLXR5cGU+PGNvbnRy
aWJ1dG9ycz48YXV0aG9ycz48YXV0aG9yPlJveSwgQ2xhdWRpZTwvYXV0aG9yPjxhdXRob3I+S251
ZHNlbiwgQnJpYW4gUC48L2F1dGhvcj48YXV0aG9yPlBlZGVyc2VuLCBDaHJpc3RvZmZlciBNLjwv
YXV0aG9yPjxhdXRob3I+VmVsw6F6cXVlei1QYWxlbnp1ZWxhLCBBbWFkbzwvYXV0aG9yPjxhdXRo
b3I+Q2hyaXN0ZW5zZW4sIExlaWYgSC48L2F1dGhvcj48YXV0aG9yPkRhbXNnYWFyZCwgQ2hyaXN0
aWFuIERhbnZhZDwvYXV0aG9yPjxhdXRob3I+U3RlcGhlbnMsIElmYW4gRS4gTC48L2F1dGhvcj48
YXV0aG9yPkNob3JrZW5kb3JmZiwgSWI8L2F1dGhvcj48L2F1dGhvcnM+PC9jb250cmlidXRvcnM+
PHRpdGxlcz48dGl0bGU+U2NhbGFibGUgU3ludGhlc2lzIG9mIENhcmJvbi1TdXBwb3J0ZWQgUGxh
dGludW3igJNMYW50aGFuaWRlIGFuZCDiiJJSYXJlLUVhcnRoIEFsbG95cyBmb3IgT3h5Z2VuIFJl
ZHVjdGlvbjwvdGl0bGU+PHNlY29uZGFyeS10aXRsZT5BQ1MgQ2F0YWx5c2lzPC9zZWNvbmRhcnkt
dGl0bGU+PC90aXRsZXM+PHBlcmlvZGljYWw+PGZ1bGwtdGl0bGU+QUNTIENhdGFseXNpczwvZnVs
bC10aXRsZT48YWJici0xPkFDUyBDYXRhbC48L2FiYnItMT48L3BlcmlvZGljYWw+PHBhZ2VzPjIw
NzHigJMyMDgwPC9wYWdlcz48dm9sdW1lPjg8L3ZvbHVtZT48bnVtYmVyPjM8L251bWJlcj48ZGF0
ZXM+PHllYXI+MjAxODwveWVhcj48cHViLWRhdGVzPjxkYXRlPjIwMTgvMDMvMDI8L2RhdGU+PC9w
dWItZGF0ZXM+PC9kYXRlcz48cHVibGlzaGVyPkFtZXJpY2FuIENoZW1pY2FsIFNvY2lldHk8L3B1
Ymxpc2hlcj48dXJscz48cmVsYXRlZC11cmxzPjx1cmw+aHR0cHM6Ly9kb2kub3JnLzEwLjEwMjEv
YWNzY2F0YWwuN2IwMzk3MjwvdXJsPjwvcmVsYXRlZC11cmxzPjwvdXJscz48ZWxlY3Ryb25pYy1y
ZXNvdXJjZS1udW0+MTAuMTAyMS9hY3NjYXRhbC43YjAzOTcyPC9lbGVjdHJvbmljLXJlc291cmNl
LW51bT48L3JlY29yZD48L0NpdGU+PC9FbmROb3RlPgB=
</w:fldData>
        </w:fldChar>
      </w:r>
      <w:r>
        <w:instrText xml:space="preserve"> ADDIN EN.CITE </w:instrText>
      </w:r>
      <w:r>
        <w:fldChar w:fldCharType="begin">
          <w:fldData xml:space="preserve">PEVuZE5vdGU+PENpdGU+PEF1dGhvcj5Lb2RhbWE8L0F1dGhvcj48WWVhcj4yMDIxPC9ZZWFyPjxS
ZWNOdW0+NDAyNzwvUmVjTnVtPjxEaXNwbGF5VGV4dD48c3R5bGUgZmFjZT0ic3VwZXJzY3JpcHQi
PjMtNzwvc3R5bGU+PC9EaXNwbGF5VGV4dD48cmVjb3JkPjxyZWMtbnVtYmVyPjQwMjc8L3JlYy1u
dW1iZXI+PGZvcmVpZ24ta2V5cz48a2V5IGFwcD0iRU4iIGRiLWlkPSJyZDlhMnNhZjl2eHZzeGVh
dHJweGFyczg5MHJzYXBzZXA5cjkiIHRpbWVzdGFtcD0iMTYxMTY3MDI3NiI+NDAyNzwva2V5Pjwv
Zm9yZWlnbi1rZXlzPjxyZWYtdHlwZSBuYW1lPSJKb3VybmFsIEFydGljbGUiPjE3PC9yZWYtdHlw
ZT48Y29udHJpYnV0b3JzPjxhdXRob3JzPjxhdXRob3I+S29kYW1hLCBLZW5zYWt1PC9hdXRob3I+
PGF1dGhvcj5OYWdhaSwgVG9tb3l1a2k8L2F1dGhvcj48YXV0aG9yPkt1d2FraSwgQWtpcmE8L2F1
dGhvcj48YXV0aG9yPkppbm5vdWNoaSwgUnlvc3VrZTwvYXV0aG9yPjxhdXRob3I+TW9yaW1vdG8s
IFl1PC9hdXRob3I+PC9hdXRob3JzPjwvY29udHJpYnV0b3JzPjx0aXRsZXM+PHRpdGxlPkNoYWxs
ZW5nZXMgaW4gYXBwbHlpbmcgaGlnaGx5IGFjdGl2ZSBQdC1iYXNlZCBuYW5vc3RydWN0dXJlZCBj
YXRhbHlzdHMgZm9yIG94eWdlbiByZWR1Y3Rpb24gcmVhY3Rpb25zIHRvIGZ1ZWwgY2VsbCB2ZWhp
Y2xlczwvdGl0bGU+PHNlY29uZGFyeS10aXRsZT5OYXR1cmUgTmFub3RlY2hub2xvZ3k8L3NlY29u
ZGFyeS10aXRsZT48L3RpdGxlcz48cGVyaW9kaWNhbD48ZnVsbC10aXRsZT5OYXR1cmUgTmFub3Rl
Y2hub2xvZ3k8L2Z1bGwtdGl0bGU+PGFiYnItMT5OYXQuIE5hbm90ZWNobm9sLjwvYWJici0xPjwv
cGVyaW9kaWNhbD48cGFnZXM+MTQw4oCTMTQ3PC9wYWdlcz48dm9sdW1lPjE2PC92b2x1bWU+PGRh
dGVzPjx5ZWFyPjIwMjE8L3llYXI+PHB1Yi1kYXRlcz48ZGF0ZT4yMDIxLzAxLzIxPC9kYXRlPjwv
cHViLWRhdGVzPjwvZGF0ZXM+PGlzYm4+MTc0OC0zMzk1PC9pc2JuPjx1cmxzPjxyZWxhdGVkLXVy
bHM+PHVybD5odHRwczovL2RvaS5vcmcvMTAuMTAzOC9zNDE1NjUtMDIwLTAwODI0LXc8L3VybD48
L3JlbGF0ZWQtdXJscz48L3VybHM+PGVsZWN0cm9uaWMtcmVzb3VyY2UtbnVtPjEwLjEwMzgvczQx
NTY1LTAyMC0wMDgyNC13PC9lbGVjdHJvbmljLXJlc291cmNlLW51bT48L3JlY29yZD48L0NpdGU+
PENpdGU+PEF1dGhvcj5EZWJlPC9BdXRob3I+PFllYXI+MjAxMjwvWWVhcj48UmVjTnVtPjQwMDU8
L1JlY051bT48cmVjb3JkPjxyZWMtbnVtYmVyPjQwMDU8L3JlYy1udW1iZXI+PGZvcmVpZ24ta2V5
cz48a2V5IGFwcD0iRU4iIGRiLWlkPSJyZDlhMnNhZjl2eHZzeGVhdHJweGFyczg5MHJzYXBzZXA5
cjkiIHRpbWVzdGFtcD0iMTYwMzAxODI0NCI+NDAwNTwva2V5PjwvZm9yZWlnbi1rZXlzPjxyZWYt
dHlwZSBuYW1lPSJKb3VybmFsIEFydGljbGUiPjE3PC9yZWYtdHlwZT48Y29udHJpYnV0b3JzPjxh
dXRob3JzPjxhdXRob3I+RGViZSwgTWFyayBLLjwvYXV0aG9yPjwvYXV0aG9ycz48L2NvbnRyaWJ1
dG9ycz48dGl0bGVzPjx0aXRsZT5FbGVjdHJvY2F0YWx5c3QgYXBwcm9hY2hlcyBhbmQgY2hhbGxl
bmdlcyBmb3IgYXV0b21vdGl2ZSBmdWVsIGNlbGxzPC90aXRsZT48c2Vjb25kYXJ5LXRpdGxlPk5h
dHVyZTwvc2Vjb25kYXJ5LXRpdGxlPjwvdGl0bGVzPjxwZXJpb2RpY2FsPjxmdWxsLXRpdGxlPk5h
dHVyZTwvZnVsbC10aXRsZT48YWJici0xPk5hdHVyZTwvYWJici0xPjwvcGVyaW9kaWNhbD48cGFn
ZXM+NDPigJM1MTwvcGFnZXM+PHZvbHVtZT40ODY8L3ZvbHVtZT48bnVtYmVyPjc0MDE8L251bWJl
cj48ZGF0ZXM+PHllYXI+MjAxMjwveWVhcj48cHViLWRhdGVzPjxkYXRlPjIwMTIvMDYvMDE8L2Rh
dGU+PC9wdWItZGF0ZXM+PC9kYXRlcz48aXNibj4xNDc2LTQ2ODc8L2lzYm4+PHVybHM+PHJlbGF0
ZWQtdXJscz48dXJsPmh0dHBzOi8vZG9pLm9yZy8xMC4xMDM4L25hdHVyZTExMTE1PC91cmw+PC9y
ZWxhdGVkLXVybHM+PC91cmxzPjxlbGVjdHJvbmljLXJlc291cmNlLW51bT4xMC4xMDM4L25hdHVy
ZTExMTE1PC9lbGVjdHJvbmljLXJlc291cmNlLW51bT48L3JlY29yZD48L0NpdGU+PENpdGU+PEF1
dGhvcj5aaGFuZzwvQXV0aG9yPjxZZWFyPjIwMTQ8L1llYXI+PFJlY051bT40MDU1PC9SZWNOdW0+
PHJlY29yZD48cmVjLW51bWJlcj40MDU1PC9yZWMtbnVtYmVyPjxmb3JlaWduLWtleXM+PGtleSBh
cHA9IkVOIiBkYi1pZD0icmQ5YTJzYWY5dnh2c3hlYXRycHhhcnM4OTByc2Fwc2VwOXI5IiB0aW1l
c3RhbXA9IjE2MjQwMzEyNDciPjQwNTU8L2tleT48L2ZvcmVpZ24ta2V5cz48cmVmLXR5cGUgbmFt
ZT0iSm91cm5hbCBBcnRpY2xlIj4xNzwvcmVmLXR5cGU+PGNvbnRyaWJ1dG9ycz48YXV0aG9ycz48
YXV0aG9yPlpoYW5nLCBMZWk8L2F1dGhvcj48YXV0aG9yPlhpYSwgWW91bmFuPC9hdXRob3I+PC9h
dXRob3JzPjwvY29udHJpYnV0b3JzPjx0aXRsZXM+PHRpdGxlPlNjYWxpbmcgdXAgdGhlIFByb2R1
Y3Rpb24gb2YgQ29sbG9pZGFsIE5hbm9jcnlzdGFsczogU2hvdWxkIFdlIEluY3JlYXNlIG9yIERl
Y3JlYXNlIHRoZSBSZWFjdGlvbiBWb2x1bWU/PC90aXRsZT48c2Vjb25kYXJ5LXRpdGxlPkFkdmFu
Y2VkIE1hdGVyaWFsczwvc2Vjb25kYXJ5LXRpdGxlPjwvdGl0bGVzPjxwZXJpb2RpY2FsPjxmdWxs
LXRpdGxlPkFkdmFuY2VkIE1hdGVyaWFsczwvZnVsbC10aXRsZT48YWJici0xPkFkdi4gTWF0ZXIu
PC9hYmJyLTE+PC9wZXJpb2RpY2FsPjxwYWdlcz4yNjAw4oCTMjYwNjwvcGFnZXM+PHZvbHVtZT4y
Njwvdm9sdW1lPjxudW1iZXI+MTY8L251bWJlcj48ZGF0ZXM+PHllYXI+MjAxNDwveWVhcj48L2Rh
dGVzPjxpc2JuPjA5MzUtOTY0ODwvaXNibj48dXJscz48cmVsYXRlZC11cmxzPjx1cmw+aHR0cHM6
Ly9vbmxpbmVsaWJyYXJ5LndpbGV5LmNvbS9kb2kvYWJzLzEwLjEwMDIvYWRtYS4yMDEzMDQ4OTc8
L3VybD48L3JlbGF0ZWQtdXJscz48L3VybHM+PGVsZWN0cm9uaWMtcmVzb3VyY2UtbnVtPmh0dHBz
Oi8vZG9pLm9yZy8xMC4xMDAyL2FkbWEuMjAxMzA0ODk3PC9lbGVjdHJvbmljLXJlc291cmNlLW51
bT48L3JlY29yZD48L0NpdGU+PENpdGU+PEF1dGhvcj5OaXU8L0F1dGhvcj48WWVhcj4yMDE1PC9Z
ZWFyPjxSZWNOdW0+NDA0OTwvUmVjTnVtPjxyZWNvcmQ+PHJlYy1udW1iZXI+NDA0OTwvcmVjLW51
bWJlcj48Zm9yZWlnbi1rZXlzPjxrZXkgYXBwPSJFTiIgZGItaWQ9InJkOWEyc2FmOXZ4dnN4ZWF0
cnB4YXJzODkwcnNhcHNlcDlyOSIgdGltZXN0YW1wPSIxNjIyODA5MTMxIj40MDQ5PC9rZXk+PC9m
b3JlaWduLWtleXM+PHJlZi10eXBlIG5hbWU9IkpvdXJuYWwgQXJ0aWNsZSI+MTc8L3JlZi10eXBl
Pjxjb250cmlidXRvcnM+PGF1dGhvcnM+PGF1dGhvcj5OaXUsIEd1YW5nZGE8L2F1dGhvcj48YXV0
aG9yPlJ1ZGl0c2tpeSwgQWxla3NleTwvYXV0aG9yPjxhdXRob3I+VmFyYSwgTWFkZWxpbmU8L2F1
dGhvcj48YXV0aG9yPlhpYSwgWW91bmFuPC9hdXRob3I+PC9hdXRob3JzPjwvY29udHJpYnV0b3Jz
Pjx0aXRsZXM+PHRpdGxlPlRvd2FyZCBjb250aW51b3VzIGFuZCBzY2FsYWJsZSBwcm9kdWN0aW9u
IG9mIGNvbGxvaWRhbCBuYW5vY3J5c3RhbHMgYnkgc3dpdGNoaW5nIGZyb20gYmF0Y2ggdG8gZHJv
cGxldCByZWFjdG9yczwvdGl0bGU+PHNlY29uZGFyeS10aXRsZT5DaGVtaWNhbCBTb2NpZXR5IFJl
dmlld3M8L3NlY29uZGFyeS10aXRsZT48L3RpdGxlcz48cGVyaW9kaWNhbD48ZnVsbC10aXRsZT5D
aGVtaWNhbCBTb2NpZXR5IFJldmlld3M8L2Z1bGwtdGl0bGU+PGFiYnItMT5DaGVtLiBTb2MuIFJl
di48L2FiYnItMT48L3BlcmlvZGljYWw+PHBhZ2VzPjU4MDbigJM1ODIwPC9wYWdlcz48dm9sdW1l
PjQ0PC92b2x1bWU+PG51bWJlcj4xNjwvbnVtYmVyPjxkYXRlcz48eWVhcj4yMDE1PC95ZWFyPjwv
ZGF0ZXM+PHB1Ymxpc2hlcj5UaGUgUm95YWwgU29jaWV0eSBvZiBDaGVtaXN0cnk8L3B1Ymxpc2hl
cj48aXNibj4wMzA2LTAwMTI8L2lzYm4+PHdvcmstdHlwZT4xMC4xMDM5L0M1Q1MwMDA0OUE8L3dv
cmstdHlwZT48dXJscz48cmVsYXRlZC11cmxzPjx1cmw+aHR0cDovL2R4LmRvaS5vcmcvMTAuMTAz
OS9DNUNTMDAwNDlBPC91cmw+PC9yZWxhdGVkLXVybHM+PC91cmxzPjxlbGVjdHJvbmljLXJlc291
cmNlLW51bT4xMC4xMDM5L0M1Q1MwMDA0OUE8L2VsZWN0cm9uaWMtcmVzb3VyY2UtbnVtPjwvcmVj
b3JkPjwvQ2l0ZT48Q2l0ZT48QXV0aG9yPlJveTwvQXV0aG9yPjxZZWFyPjIwMTg8L1llYXI+PFJl
Y051bT4zNzUxPC9SZWNOdW0+PHJlY29yZD48cmVjLW51bWJlcj4zNzUxPC9yZWMtbnVtYmVyPjxm
b3JlaWduLWtleXM+PGtleSBhcHA9IkVOIiBkYi1pZD0icmQ5YTJzYWY5dnh2c3hlYXRycHhhcnM4
OTByc2Fwc2VwOXI5IiB0aW1lc3RhbXA9IjE1NzAxMTE5MTgiPjM3NTE8L2tleT48L2ZvcmVpZ24t
a2V5cz48cmVmLXR5cGUgbmFtZT0iSm91cm5hbCBBcnRpY2xlIj4xNzwvcmVmLXR5cGU+PGNvbnRy
aWJ1dG9ycz48YXV0aG9ycz48YXV0aG9yPlJveSwgQ2xhdWRpZTwvYXV0aG9yPjxhdXRob3I+S251
ZHNlbiwgQnJpYW4gUC48L2F1dGhvcj48YXV0aG9yPlBlZGVyc2VuLCBDaHJpc3RvZmZlciBNLjwv
YXV0aG9yPjxhdXRob3I+VmVsw6F6cXVlei1QYWxlbnp1ZWxhLCBBbWFkbzwvYXV0aG9yPjxhdXRo
b3I+Q2hyaXN0ZW5zZW4sIExlaWYgSC48L2F1dGhvcj48YXV0aG9yPkRhbXNnYWFyZCwgQ2hyaXN0
aWFuIERhbnZhZDwvYXV0aG9yPjxhdXRob3I+U3RlcGhlbnMsIElmYW4gRS4gTC48L2F1dGhvcj48
YXV0aG9yPkNob3JrZW5kb3JmZiwgSWI8L2F1dGhvcj48L2F1dGhvcnM+PC9jb250cmlidXRvcnM+
PHRpdGxlcz48dGl0bGU+U2NhbGFibGUgU3ludGhlc2lzIG9mIENhcmJvbi1TdXBwb3J0ZWQgUGxh
dGludW3igJNMYW50aGFuaWRlIGFuZCDiiJJSYXJlLUVhcnRoIEFsbG95cyBmb3IgT3h5Z2VuIFJl
ZHVjdGlvbjwvdGl0bGU+PHNlY29uZGFyeS10aXRsZT5BQ1MgQ2F0YWx5c2lzPC9zZWNvbmRhcnkt
dGl0bGU+PC90aXRsZXM+PHBlcmlvZGljYWw+PGZ1bGwtdGl0bGU+QUNTIENhdGFseXNpczwvZnVs
bC10aXRsZT48YWJici0xPkFDUyBDYXRhbC48L2FiYnItMT48L3BlcmlvZGljYWw+PHBhZ2VzPjIw
NzHigJMyMDgwPC9wYWdlcz48dm9sdW1lPjg8L3ZvbHVtZT48bnVtYmVyPjM8L251bWJlcj48ZGF0
ZXM+PHllYXI+MjAxODwveWVhcj48cHViLWRhdGVzPjxkYXRlPjIwMTgvMDMvMDI8L2RhdGU+PC9w
dWItZGF0ZXM+PC9kYXRlcz48cHVibGlzaGVyPkFtZXJpY2FuIENoZW1pY2FsIFNvY2lldHk8L3B1
Ymxpc2hlcj48dXJscz48cmVsYXRlZC11cmxzPjx1cmw+aHR0cHM6Ly9kb2kub3JnLzEwLjEwMjEv
YWNzY2F0YWwuN2IwMzk3MjwvdXJsPjwvcmVsYXRlZC11cmxzPjwvdXJscz48ZWxlY3Ryb25pYy1y
ZXNvdXJjZS1udW0+MTAuMTAyMS9hY3NjYXRhbC43YjAzOTcyPC9lbGVjdHJvbmljLXJlc291cmNl
LW51bT48L3JlY29yZD48L0NpdGU+PC9FbmROb3RlPgB=
</w:fldData>
        </w:fldChar>
      </w:r>
      <w:r>
        <w:instrText xml:space="preserve"> ADDIN EN.CITE.DATA </w:instrText>
      </w:r>
      <w:r>
        <w:fldChar w:fldCharType="end"/>
      </w:r>
      <w:r>
        <w:fldChar w:fldCharType="separate"/>
      </w:r>
      <w:r w:rsidRPr="002E31E9">
        <w:rPr>
          <w:noProof/>
          <w:vertAlign w:val="superscript"/>
        </w:rPr>
        <w:t>3-7</w:t>
      </w:r>
      <w:r>
        <w:fldChar w:fldCharType="end"/>
      </w:r>
      <w:r>
        <w:t xml:space="preserve"> From a holistic perspective, energy-consuming, toxic and environmentally unfavorable synthetic procedures for the production of catalysts w</w:t>
      </w:r>
      <w:r>
        <w:rPr>
          <w:rFonts w:hint="eastAsia"/>
        </w:rPr>
        <w:t>ill</w:t>
      </w:r>
      <w:r>
        <w:t xml:space="preserve"> largely undermine</w:t>
      </w:r>
      <w:r w:rsidRPr="000F041E">
        <w:t xml:space="preserve"> </w:t>
      </w:r>
      <w:r>
        <w:t xml:space="preserve">the advantages </w:t>
      </w:r>
      <w:r w:rsidRPr="00101FDE">
        <w:t>and attractiveness</w:t>
      </w:r>
      <w:r>
        <w:t xml:space="preserve"> of this </w:t>
      </w:r>
      <w:r>
        <w:rPr>
          <w:rFonts w:hint="eastAsia"/>
        </w:rPr>
        <w:t>pro</w:t>
      </w:r>
      <w:r>
        <w:t>mising and green technology.</w:t>
      </w:r>
      <w:r>
        <w:fldChar w:fldCharType="begin"/>
      </w:r>
      <w:r>
        <w:instrText xml:space="preserve"> ADDIN EN.CITE &lt;EndNote&gt;&lt;Cite&gt;&lt;Author&gt;Duan&lt;/Author&gt;&lt;Year&gt;2015&lt;/Year&gt;&lt;RecNum&gt;4024&lt;/RecNum&gt;&lt;DisplayText&gt;&lt;style face="superscript"&gt;8&lt;/style&gt;&lt;/DisplayText&gt;&lt;record&gt;&lt;rec-number&gt;4024&lt;/rec-number&gt;&lt;foreign-keys&gt;&lt;key app="EN" db-id="rd9a2saf9vxvsxeatrpxars890rsapsep9r9" timestamp="1610469350"&gt;4024&lt;/key&gt;&lt;/foreign-keys&gt;&lt;ref-type name="Journal Article"&gt;17&lt;/ref-type&gt;&lt;contributors&gt;&lt;authors&gt;&lt;author&gt;Duan, Haohong&lt;/author&gt;&lt;author&gt;Wang, Dingsheng&lt;/author&gt;&lt;author&gt;Li, Yadong&lt;/author&gt;&lt;/authors&gt;&lt;/contributors&gt;&lt;titles&gt;&lt;title&gt;Green chemistry for nanoparticle synthesis&lt;/title&gt;&lt;secondary-title&gt;Chemical Society Reviews&lt;/secondary-title&gt;&lt;/titles&gt;&lt;periodical&gt;&lt;full-title&gt;Chemical Society Reviews&lt;/full-title&gt;&lt;abbr-1&gt;Chem. Soc. Rev.&lt;/abbr-1&gt;&lt;/periodical&gt;&lt;pages&gt;5778–5792&lt;/pages&gt;&lt;volume&gt;44&lt;/volume&gt;&lt;number&gt;16&lt;/number&gt;&lt;dates&gt;&lt;year&gt;2015&lt;/year&gt;&lt;/dates&gt;&lt;publisher&gt;The Royal Society of Chemistry&lt;/publisher&gt;&lt;isbn&gt;0306-0012&lt;/isbn&gt;&lt;work-type&gt;10.1039/C4CS00363B&lt;/work-type&gt;&lt;urls&gt;&lt;related-urls&gt;&lt;url&gt;http://dx.doi.org/10.1039/C4CS00363B&lt;/url&gt;&lt;/related-urls&gt;&lt;/urls&gt;&lt;electronic-resource-num&gt;10.1039/C4CS00363B&lt;/electronic-resource-num&gt;&lt;/record&gt;&lt;/Cite&gt;&lt;/EndNote&gt;</w:instrText>
      </w:r>
      <w:r>
        <w:fldChar w:fldCharType="separate"/>
      </w:r>
      <w:r w:rsidRPr="002E31E9">
        <w:rPr>
          <w:noProof/>
          <w:vertAlign w:val="superscript"/>
        </w:rPr>
        <w:t>8</w:t>
      </w:r>
      <w:r>
        <w:fldChar w:fldCharType="end"/>
      </w:r>
      <w:r>
        <w:t xml:space="preserve"> Focusing solely on the performance of Pt-based ORR catalysts, but disregarding both green chemistry and scalability of their synthetic routes will not suffice to realize the large-scale production of cathode catalyst</w:t>
      </w:r>
      <w:r>
        <w:rPr>
          <w:rFonts w:hint="eastAsia"/>
        </w:rPr>
        <w:t>s</w:t>
      </w:r>
      <w:r>
        <w:t>, an indispensably key constituent at the core of automotive fuel cell. At a research level, s</w:t>
      </w:r>
      <w:r w:rsidRPr="00C5702A">
        <w:t xml:space="preserve">everal </w:t>
      </w:r>
      <w:r>
        <w:t>inconspicuous and usually overlooked shortcomings involved in the small</w:t>
      </w:r>
      <w:r w:rsidRPr="00872565">
        <w:t xml:space="preserve">-scale </w:t>
      </w:r>
      <w:r>
        <w:t xml:space="preserve">“test-tube” synthesis in lab will not be negligible in the large-scale industrial production, and are not minor issues anymore. These shortcomings often include </w:t>
      </w:r>
      <w:r w:rsidRPr="00D3461D">
        <w:t xml:space="preserve">the use of </w:t>
      </w:r>
      <w:r>
        <w:t>toxic, expensive and hazardous chemical reagents as metal precursors, capping agents, reducing agents and solvents when preparing Pt-based ORR catalysts. Besides, elaborate synthetic</w:t>
      </w:r>
      <w:r w:rsidRPr="004939DB">
        <w:t xml:space="preserve"> </w:t>
      </w:r>
      <w:r>
        <w:t>strategies, which are sensitive</w:t>
      </w:r>
      <w:r w:rsidRPr="00614E27">
        <w:t xml:space="preserve"> </w:t>
      </w:r>
      <w:r>
        <w:t xml:space="preserve">to various experimentally synthetic parameters, </w:t>
      </w:r>
      <w:r>
        <w:rPr>
          <w:rFonts w:hint="eastAsia"/>
        </w:rPr>
        <w:t>m</w:t>
      </w:r>
      <w:r>
        <w:t xml:space="preserve">ake the large-scale preparation even more </w:t>
      </w:r>
      <w:r>
        <w:rPr>
          <w:rFonts w:hint="eastAsia"/>
        </w:rPr>
        <w:t>d</w:t>
      </w:r>
      <w:r>
        <w:t>ifficult, if not impossible.</w:t>
      </w:r>
      <w:r>
        <w:fldChar w:fldCharType="begin">
          <w:fldData xml:space="preserve">PEVuZE5vdGU+PENpdGU+PEF1dGhvcj5aaGFuZzwvQXV0aG9yPjxZZWFyPjIwMTQ8L1llYXI+PFJl
Y051bT40MDU1PC9SZWNOdW0+PERpc3BsYXlUZXh0PjxzdHlsZSBmYWNlPSJzdXBlcnNjcmlwdCI+
NSw2LDksMTA8L3N0eWxlPjwvRGlzcGxheVRleHQ+PHJlY29yZD48cmVjLW51bWJlcj40MDU1PC9y
ZWMtbnVtYmVyPjxmb3JlaWduLWtleXM+PGtleSBhcHA9IkVOIiBkYi1pZD0icmQ5YTJzYWY5dnh2
c3hlYXRycHhhcnM4OTByc2Fwc2VwOXI5IiB0aW1lc3RhbXA9IjE2MjQwMzEyNDciPjQwNTU8L2tl
eT48L2ZvcmVpZ24ta2V5cz48cmVmLXR5cGUgbmFtZT0iSm91cm5hbCBBcnRpY2xlIj4xNzwvcmVm
LXR5cGU+PGNvbnRyaWJ1dG9ycz48YXV0aG9ycz48YXV0aG9yPlpoYW5nLCBMZWk8L2F1dGhvcj48
YXV0aG9yPlhpYSwgWW91bmFuPC9hdXRob3I+PC9hdXRob3JzPjwvY29udHJpYnV0b3JzPjx0aXRs
ZXM+PHRpdGxlPlNjYWxpbmcgdXAgdGhlIFByb2R1Y3Rpb24gb2YgQ29sbG9pZGFsIE5hbm9jcnlz
dGFsczogU2hvdWxkIFdlIEluY3JlYXNlIG9yIERlY3JlYXNlIHRoZSBSZWFjdGlvbiBWb2x1bWU/
PC90aXRsZT48c2Vjb25kYXJ5LXRpdGxlPkFkdmFuY2VkIE1hdGVyaWFsczwvc2Vjb25kYXJ5LXRp
dGxlPjwvdGl0bGVzPjxwZXJpb2RpY2FsPjxmdWxsLXRpdGxlPkFkdmFuY2VkIE1hdGVyaWFsczwv
ZnVsbC10aXRsZT48YWJici0xPkFkdi4gTWF0ZXIuPC9hYmJyLTE+PC9wZXJpb2RpY2FsPjxwYWdl
cz4yNjAw4oCTMjYwNjwvcGFnZXM+PHZvbHVtZT4yNjwvdm9sdW1lPjxudW1iZXI+MTY8L251bWJl
cj48ZGF0ZXM+PHllYXI+MjAxNDwveWVhcj48L2RhdGVzPjxpc2JuPjA5MzUtOTY0ODwvaXNibj48
dXJscz48cmVsYXRlZC11cmxzPjx1cmw+aHR0cHM6Ly9vbmxpbmVsaWJyYXJ5LndpbGV5LmNvbS9k
b2kvYWJzLzEwLjEwMDIvYWRtYS4yMDEzMDQ4OTc8L3VybD48L3JlbGF0ZWQtdXJscz48L3VybHM+
PGVsZWN0cm9uaWMtcmVzb3VyY2UtbnVtPmh0dHBzOi8vZG9pLm9yZy8xMC4xMDAyL2FkbWEuMjAx
MzA0ODk3PC9lbGVjdHJvbmljLXJlc291cmNlLW51bT48L3JlY29yZD48L0NpdGU+PENpdGU+PEF1
dGhvcj5OaXU8L0F1dGhvcj48WWVhcj4yMDE1PC9ZZWFyPjxSZWNOdW0+NDA0OTwvUmVjTnVtPjxy
ZWNvcmQ+PHJlYy1udW1iZXI+NDA0OTwvcmVjLW51bWJlcj48Zm9yZWlnbi1rZXlzPjxrZXkgYXBw
PSJFTiIgZGItaWQ9InJkOWEyc2FmOXZ4dnN4ZWF0cnB4YXJzODkwcnNhcHNlcDlyOSIgdGltZXN0
YW1wPSIxNjIyODA5MTMxIj40MDQ5PC9rZXk+PC9mb3JlaWduLWtleXM+PHJlZi10eXBlIG5hbWU9
IkpvdXJuYWwgQXJ0aWNsZSI+MTc8L3JlZi10eXBlPjxjb250cmlidXRvcnM+PGF1dGhvcnM+PGF1
dGhvcj5OaXUsIEd1YW5nZGE8L2F1dGhvcj48YXV0aG9yPlJ1ZGl0c2tpeSwgQWxla3NleTwvYXV0
aG9yPjxhdXRob3I+VmFyYSwgTWFkZWxpbmU8L2F1dGhvcj48YXV0aG9yPlhpYSwgWW91bmFuPC9h
dXRob3I+PC9hdXRob3JzPjwvY29udHJpYnV0b3JzPjx0aXRsZXM+PHRpdGxlPlRvd2FyZCBjb250
aW51b3VzIGFuZCBzY2FsYWJsZSBwcm9kdWN0aW9uIG9mIGNvbGxvaWRhbCBuYW5vY3J5c3RhbHMg
Ynkgc3dpdGNoaW5nIGZyb20gYmF0Y2ggdG8gZHJvcGxldCByZWFjdG9yczwvdGl0bGU+PHNlY29u
ZGFyeS10aXRsZT5DaGVtaWNhbCBTb2NpZXR5IFJldmlld3M8L3NlY29uZGFyeS10aXRsZT48L3Rp
dGxlcz48cGVyaW9kaWNhbD48ZnVsbC10aXRsZT5DaGVtaWNhbCBTb2NpZXR5IFJldmlld3M8L2Z1
bGwtdGl0bGU+PGFiYnItMT5DaGVtLiBTb2MuIFJldi48L2FiYnItMT48L3BlcmlvZGljYWw+PHBh
Z2VzPjU4MDbigJM1ODIwPC9wYWdlcz48dm9sdW1lPjQ0PC92b2x1bWU+PG51bWJlcj4xNjwvbnVt
YmVyPjxkYXRlcz48eWVhcj4yMDE1PC95ZWFyPjwvZGF0ZXM+PHB1Ymxpc2hlcj5UaGUgUm95YWwg
U29jaWV0eSBvZiBDaGVtaXN0cnk8L3B1Ymxpc2hlcj48aXNibj4wMzA2LTAwMTI8L2lzYm4+PHdv
cmstdHlwZT4xMC4xMDM5L0M1Q1MwMDA0OUE8L3dvcmstdHlwZT48dXJscz48cmVsYXRlZC11cmxz
Pjx1cmw+aHR0cDovL2R4LmRvaS5vcmcvMTAuMTAzOS9DNUNTMDAwNDlBPC91cmw+PC9yZWxhdGVk
LXVybHM+PC91cmxzPjxlbGVjdHJvbmljLXJlc291cmNlLW51bT4xMC4xMDM5L0M1Q1MwMDA0OUE8
L2VsZWN0cm9uaWMtcmVzb3VyY2UtbnVtPjwvcmVjb3JkPjwvQ2l0ZT48Q2l0ZT48QXV0aG9yPlpo
YW5nPC9BdXRob3I+PFllYXI+MjAxNDwvWWVhcj48UmVjTnVtPjQwNTE8L1JlY051bT48cmVjb3Jk
PjxyZWMtbnVtYmVyPjQwNTE8L3JlYy1udW1iZXI+PGZvcmVpZ24ta2V5cz48a2V5IGFwcD0iRU4i
IGRiLWlkPSJyZDlhMnNhZjl2eHZzeGVhdHJweGFyczg5MHJzYXBzZXA5cjkiIHRpbWVzdGFtcD0i
MTYyMjgxMDAyNSI+NDA1MTwva2V5PjwvZm9yZWlnbi1rZXlzPjxyZWYtdHlwZSBuYW1lPSJKb3Vy
bmFsIEFydGljbGUiPjE3PC9yZWYtdHlwZT48Y29udHJpYnV0b3JzPjxhdXRob3JzPjxhdXRob3I+
WmhhbmcsIExlaTwvYXV0aG9yPjxhdXRob3I+Tml1LCBHdWFuZ2RhPC9hdXRob3I+PGF1dGhvcj5M
dSwgTmluZzwvYXV0aG9yPjxhdXRob3I+V2FuZywgSmluZ3VvPC9hdXRob3I+PGF1dGhvcj5Ub25n
LCBMaW1pbjwvYXV0aG9yPjxhdXRob3I+V2FuZywgTGlkdW88L2F1dGhvcj48YXV0aG9yPktpbSwg
TW9vbiBKLjwvYXV0aG9yPjxhdXRob3I+WGlhLCBZb3VuYW48L2F1dGhvcj48L2F1dGhvcnM+PC9j
b250cmlidXRvcnM+PHRpdGxlcz48dGl0bGU+Q29udGludW91cyBhbmQgU2NhbGFibGUgUHJvZHVj
dGlvbiBvZiBXZWxsLUNvbnRyb2xsZWQgTm9ibGUtTWV0YWwgTmFub2NyeXN0YWxzIGluIE1pbGxp
bGl0ZXItU2l6ZWQgRHJvcGxldCBSZWFjdG9yczwvdGl0bGU+PHNlY29uZGFyeS10aXRsZT5OYW5v
IExldHRlcnM8L3NlY29uZGFyeS10aXRsZT48L3RpdGxlcz48cGVyaW9kaWNhbD48ZnVsbC10aXRs
ZT5OYW5vIExldHRlcnM8L2Z1bGwtdGl0bGU+PGFiYnItMT5OYW5vIExldHQuPC9hYmJyLTE+PC9w
ZXJpb2RpY2FsPjxwYWdlcz42NjI24oCTNjYzMTwvcGFnZXM+PHZvbHVtZT4xNDwvdm9sdW1lPjxu
dW1iZXI+MTE8L251bWJlcj48ZGF0ZXM+PHllYXI+MjAxNDwveWVhcj48cHViLWRhdGVzPjxkYXRl
PjIwMTQvMTEvMTI8L2RhdGU+PC9wdWItZGF0ZXM+PC9kYXRlcz48cHVibGlzaGVyPkFtZXJpY2Fu
IENoZW1pY2FsIFNvY2lldHk8L3B1Ymxpc2hlcj48aXNibj4xNTMwLTY5ODQ8L2lzYm4+PHVybHM+
PHJlbGF0ZWQtdXJscz48dXJsPmh0dHBzOi8vZG9pLm9yZy8xMC4xMDIxL25sNTAzMjg0eDwvdXJs
PjwvcmVsYXRlZC11cmxzPjwvdXJscz48ZWxlY3Ryb25pYy1yZXNvdXJjZS1udW0+MTAuMTAyMS9u
bDUwMzI4NHg8L2VsZWN0cm9uaWMtcmVzb3VyY2UtbnVtPjwvcmVjb3JkPjwvQ2l0ZT48Q2l0ZT48
QXV0aG9yPk5pdTwvQXV0aG9yPjxZZWFyPjIwMTY8L1llYXI+PFJlY051bT40MDQ1PC9SZWNOdW0+
PHJlY29yZD48cmVjLW51bWJlcj40MDQ1PC9yZWMtbnVtYmVyPjxmb3JlaWduLWtleXM+PGtleSBh
cHA9IkVOIiBkYi1pZD0icmQ5YTJzYWY5dnh2c3hlYXRycHhhcnM4OTByc2Fwc2VwOXI5IiB0aW1l
c3RhbXA9IjE2MTc2Mzc4MjgiPjQwNDU8L2tleT48L2ZvcmVpZ24ta2V5cz48cmVmLXR5cGUgbmFt
ZT0iSm91cm5hbCBBcnRpY2xlIj4xNzwvcmVmLXR5cGU+PGNvbnRyaWJ1dG9ycz48YXV0aG9ycz48
YXV0aG9yPk5pdSwgR3VhbmdkYTwvYXV0aG9yPjxhdXRob3I+WmhvdSwgTWluZzwvYXV0aG9yPjxh
dXRob3I+WWFuZywgWHVhbjwvYXV0aG9yPjxhdXRob3I+UGFyaywgSmluaG88L2F1dGhvcj48YXV0
aG9yPkx1LCBOaW5nPC9hdXRob3I+PGF1dGhvcj5XYW5nLCBKaW5ndW88L2F1dGhvcj48YXV0aG9y
PktpbSwgTW9vbiBKLjwvYXV0aG9yPjxhdXRob3I+V2FuZywgTGlkdW88L2F1dGhvcj48YXV0aG9y
PlhpYSwgWW91bmFuPC9hdXRob3I+PC9hdXRob3JzPjwvY29udHJpYnV0b3JzPjx0aXRsZXM+PHRp
dGxlPlN5bnRoZXNpcyBvZiBQdOKAk05pIE9jdGFoZWRyYSBpbiBDb250aW51b3VzLUZsb3cgRHJv
cGxldCBSZWFjdG9ycyBmb3IgdGhlIFNjYWxhYmxlIFByb2R1Y3Rpb24gb2YgSGlnaGx5IEFjdGl2
ZSBDYXRhbHlzdHMgdG93YXJkIE94eWdlbiBSZWR1Y3Rpb248L3RpdGxlPjxzZWNvbmRhcnktdGl0
bGU+TmFubyBMZXR0ZXJzPC9zZWNvbmRhcnktdGl0bGU+PC90aXRsZXM+PHBlcmlvZGljYWw+PGZ1
bGwtdGl0bGU+TmFubyBMZXR0ZXJzPC9mdWxsLXRpdGxlPjxhYmJyLTE+TmFubyBMZXR0LjwvYWJi
ci0xPjwvcGVyaW9kaWNhbD48cGFnZXM+Mzg1MOKAkzM4NTc8L3BhZ2VzPjx2b2x1bWU+MTY8L3Zv
bHVtZT48bnVtYmVyPjY8L251bWJlcj48ZGF0ZXM+PHllYXI+MjAxNjwveWVhcj48cHViLWRhdGVz
PjxkYXRlPjIwMTYvMDYvMDg8L2RhdGU+PC9wdWItZGF0ZXM+PC9kYXRlcz48cHVibGlzaGVyPkFt
ZXJpY2FuIENoZW1pY2FsIFNvY2lldHk8L3B1Ymxpc2hlcj48aXNibj4xNTMwLTY5ODQ8L2lzYm4+
PHVybHM+PHJlbGF0ZWQtdXJscz48dXJsPmh0dHBzOi8vZG9pLm9yZy8xMC4xMDIxL2Fjcy5uYW5v
bGV0dC42YjAxMzQwPC91cmw+PC9yZWxhdGVkLXVybHM+PC91cmxzPjxlbGVjdHJvbmljLXJlc291
cmNlLW51bT4xMC4xMDIxL2Fjcy5uYW5vbGV0dC42YjAxMzQwPC9lbGVjdHJvbmljLXJlc291cmNl
LW51bT48L3JlY29yZD48L0NpdGU+PC9FbmROb3RlPgB=
</w:fldData>
        </w:fldChar>
      </w:r>
      <w:r>
        <w:instrText xml:space="preserve"> ADDIN EN.CITE </w:instrText>
      </w:r>
      <w:r>
        <w:fldChar w:fldCharType="begin">
          <w:fldData xml:space="preserve">PEVuZE5vdGU+PENpdGU+PEF1dGhvcj5aaGFuZzwvQXV0aG9yPjxZZWFyPjIwMTQ8L1llYXI+PFJl
Y051bT40MDU1PC9SZWNOdW0+PERpc3BsYXlUZXh0PjxzdHlsZSBmYWNlPSJzdXBlcnNjcmlwdCI+
NSw2LDksMTA8L3N0eWxlPjwvRGlzcGxheVRleHQ+PHJlY29yZD48cmVjLW51bWJlcj40MDU1PC9y
ZWMtbnVtYmVyPjxmb3JlaWduLWtleXM+PGtleSBhcHA9IkVOIiBkYi1pZD0icmQ5YTJzYWY5dnh2
c3hlYXRycHhhcnM4OTByc2Fwc2VwOXI5IiB0aW1lc3RhbXA9IjE2MjQwMzEyNDciPjQwNTU8L2tl
eT48L2ZvcmVpZ24ta2V5cz48cmVmLXR5cGUgbmFtZT0iSm91cm5hbCBBcnRpY2xlIj4xNzwvcmVm
LXR5cGU+PGNvbnRyaWJ1dG9ycz48YXV0aG9ycz48YXV0aG9yPlpoYW5nLCBMZWk8L2F1dGhvcj48
YXV0aG9yPlhpYSwgWW91bmFuPC9hdXRob3I+PC9hdXRob3JzPjwvY29udHJpYnV0b3JzPjx0aXRs
ZXM+PHRpdGxlPlNjYWxpbmcgdXAgdGhlIFByb2R1Y3Rpb24gb2YgQ29sbG9pZGFsIE5hbm9jcnlz
dGFsczogU2hvdWxkIFdlIEluY3JlYXNlIG9yIERlY3JlYXNlIHRoZSBSZWFjdGlvbiBWb2x1bWU/
PC90aXRsZT48c2Vjb25kYXJ5LXRpdGxlPkFkdmFuY2VkIE1hdGVyaWFsczwvc2Vjb25kYXJ5LXRp
dGxlPjwvdGl0bGVzPjxwZXJpb2RpY2FsPjxmdWxsLXRpdGxlPkFkdmFuY2VkIE1hdGVyaWFsczwv
ZnVsbC10aXRsZT48YWJici0xPkFkdi4gTWF0ZXIuPC9hYmJyLTE+PC9wZXJpb2RpY2FsPjxwYWdl
cz4yNjAw4oCTMjYwNjwvcGFnZXM+PHZvbHVtZT4yNjwvdm9sdW1lPjxudW1iZXI+MTY8L251bWJl
cj48ZGF0ZXM+PHllYXI+MjAxNDwveWVhcj48L2RhdGVzPjxpc2JuPjA5MzUtOTY0ODwvaXNibj48
dXJscz48cmVsYXRlZC11cmxzPjx1cmw+aHR0cHM6Ly9vbmxpbmVsaWJyYXJ5LndpbGV5LmNvbS9k
b2kvYWJzLzEwLjEwMDIvYWRtYS4yMDEzMDQ4OTc8L3VybD48L3JlbGF0ZWQtdXJscz48L3VybHM+
PGVsZWN0cm9uaWMtcmVzb3VyY2UtbnVtPmh0dHBzOi8vZG9pLm9yZy8xMC4xMDAyL2FkbWEuMjAx
MzA0ODk3PC9lbGVjdHJvbmljLXJlc291cmNlLW51bT48L3JlY29yZD48L0NpdGU+PENpdGU+PEF1
dGhvcj5OaXU8L0F1dGhvcj48WWVhcj4yMDE1PC9ZZWFyPjxSZWNOdW0+NDA0OTwvUmVjTnVtPjxy
ZWNvcmQ+PHJlYy1udW1iZXI+NDA0OTwvcmVjLW51bWJlcj48Zm9yZWlnbi1rZXlzPjxrZXkgYXBw
PSJFTiIgZGItaWQ9InJkOWEyc2FmOXZ4dnN4ZWF0cnB4YXJzODkwcnNhcHNlcDlyOSIgdGltZXN0
YW1wPSIxNjIyODA5MTMxIj40MDQ5PC9rZXk+PC9mb3JlaWduLWtleXM+PHJlZi10eXBlIG5hbWU9
IkpvdXJuYWwgQXJ0aWNsZSI+MTc8L3JlZi10eXBlPjxjb250cmlidXRvcnM+PGF1dGhvcnM+PGF1
dGhvcj5OaXUsIEd1YW5nZGE8L2F1dGhvcj48YXV0aG9yPlJ1ZGl0c2tpeSwgQWxla3NleTwvYXV0
aG9yPjxhdXRob3I+VmFyYSwgTWFkZWxpbmU8L2F1dGhvcj48YXV0aG9yPlhpYSwgWW91bmFuPC9h
dXRob3I+PC9hdXRob3JzPjwvY29udHJpYnV0b3JzPjx0aXRsZXM+PHRpdGxlPlRvd2FyZCBjb250
aW51b3VzIGFuZCBzY2FsYWJsZSBwcm9kdWN0aW9uIG9mIGNvbGxvaWRhbCBuYW5vY3J5c3RhbHMg
Ynkgc3dpdGNoaW5nIGZyb20gYmF0Y2ggdG8gZHJvcGxldCByZWFjdG9yczwvdGl0bGU+PHNlY29u
ZGFyeS10aXRsZT5DaGVtaWNhbCBTb2NpZXR5IFJldmlld3M8L3NlY29uZGFyeS10aXRsZT48L3Rp
dGxlcz48cGVyaW9kaWNhbD48ZnVsbC10aXRsZT5DaGVtaWNhbCBTb2NpZXR5IFJldmlld3M8L2Z1
bGwtdGl0bGU+PGFiYnItMT5DaGVtLiBTb2MuIFJldi48L2FiYnItMT48L3BlcmlvZGljYWw+PHBh
Z2VzPjU4MDbigJM1ODIwPC9wYWdlcz48dm9sdW1lPjQ0PC92b2x1bWU+PG51bWJlcj4xNjwvbnVt
YmVyPjxkYXRlcz48eWVhcj4yMDE1PC95ZWFyPjwvZGF0ZXM+PHB1Ymxpc2hlcj5UaGUgUm95YWwg
U29jaWV0eSBvZiBDaGVtaXN0cnk8L3B1Ymxpc2hlcj48aXNibj4wMzA2LTAwMTI8L2lzYm4+PHdv
cmstdHlwZT4xMC4xMDM5L0M1Q1MwMDA0OUE8L3dvcmstdHlwZT48dXJscz48cmVsYXRlZC11cmxz
Pjx1cmw+aHR0cDovL2R4LmRvaS5vcmcvMTAuMTAzOS9DNUNTMDAwNDlBPC91cmw+PC9yZWxhdGVk
LXVybHM+PC91cmxzPjxlbGVjdHJvbmljLXJlc291cmNlLW51bT4xMC4xMDM5L0M1Q1MwMDA0OUE8
L2VsZWN0cm9uaWMtcmVzb3VyY2UtbnVtPjwvcmVjb3JkPjwvQ2l0ZT48Q2l0ZT48QXV0aG9yPlpo
YW5nPC9BdXRob3I+PFllYXI+MjAxNDwvWWVhcj48UmVjTnVtPjQwNTE8L1JlY051bT48cmVjb3Jk
PjxyZWMtbnVtYmVyPjQwNTE8L3JlYy1udW1iZXI+PGZvcmVpZ24ta2V5cz48a2V5IGFwcD0iRU4i
IGRiLWlkPSJyZDlhMnNhZjl2eHZzeGVhdHJweGFyczg5MHJzYXBzZXA5cjkiIHRpbWVzdGFtcD0i
MTYyMjgxMDAyNSI+NDA1MTwva2V5PjwvZm9yZWlnbi1rZXlzPjxyZWYtdHlwZSBuYW1lPSJKb3Vy
bmFsIEFydGljbGUiPjE3PC9yZWYtdHlwZT48Y29udHJpYnV0b3JzPjxhdXRob3JzPjxhdXRob3I+
WmhhbmcsIExlaTwvYXV0aG9yPjxhdXRob3I+Tml1LCBHdWFuZ2RhPC9hdXRob3I+PGF1dGhvcj5M
dSwgTmluZzwvYXV0aG9yPjxhdXRob3I+V2FuZywgSmluZ3VvPC9hdXRob3I+PGF1dGhvcj5Ub25n
LCBMaW1pbjwvYXV0aG9yPjxhdXRob3I+V2FuZywgTGlkdW88L2F1dGhvcj48YXV0aG9yPktpbSwg
TW9vbiBKLjwvYXV0aG9yPjxhdXRob3I+WGlhLCBZb3VuYW48L2F1dGhvcj48L2F1dGhvcnM+PC9j
b250cmlidXRvcnM+PHRpdGxlcz48dGl0bGU+Q29udGludW91cyBhbmQgU2NhbGFibGUgUHJvZHVj
dGlvbiBvZiBXZWxsLUNvbnRyb2xsZWQgTm9ibGUtTWV0YWwgTmFub2NyeXN0YWxzIGluIE1pbGxp
bGl0ZXItU2l6ZWQgRHJvcGxldCBSZWFjdG9yczwvdGl0bGU+PHNlY29uZGFyeS10aXRsZT5OYW5v
IExldHRlcnM8L3NlY29uZGFyeS10aXRsZT48L3RpdGxlcz48cGVyaW9kaWNhbD48ZnVsbC10aXRs
ZT5OYW5vIExldHRlcnM8L2Z1bGwtdGl0bGU+PGFiYnItMT5OYW5vIExldHQuPC9hYmJyLTE+PC9w
ZXJpb2RpY2FsPjxwYWdlcz42NjI24oCTNjYzMTwvcGFnZXM+PHZvbHVtZT4xNDwvdm9sdW1lPjxu
dW1iZXI+MTE8L251bWJlcj48ZGF0ZXM+PHllYXI+MjAxNDwveWVhcj48cHViLWRhdGVzPjxkYXRl
PjIwMTQvMTEvMTI8L2RhdGU+PC9wdWItZGF0ZXM+PC9kYXRlcz48cHVibGlzaGVyPkFtZXJpY2Fu
IENoZW1pY2FsIFNvY2lldHk8L3B1Ymxpc2hlcj48aXNibj4xNTMwLTY5ODQ8L2lzYm4+PHVybHM+
PHJlbGF0ZWQtdXJscz48dXJsPmh0dHBzOi8vZG9pLm9yZy8xMC4xMDIxL25sNTAzMjg0eDwvdXJs
PjwvcmVsYXRlZC11cmxzPjwvdXJscz48ZWxlY3Ryb25pYy1yZXNvdXJjZS1udW0+MTAuMTAyMS9u
bDUwMzI4NHg8L2VsZWN0cm9uaWMtcmVzb3VyY2UtbnVtPjwvcmVjb3JkPjwvQ2l0ZT48Q2l0ZT48
QXV0aG9yPk5pdTwvQXV0aG9yPjxZZWFyPjIwMTY8L1llYXI+PFJlY051bT40MDQ1PC9SZWNOdW0+
PHJlY29yZD48cmVjLW51bWJlcj40MDQ1PC9yZWMtbnVtYmVyPjxmb3JlaWduLWtleXM+PGtleSBh
cHA9IkVOIiBkYi1pZD0icmQ5YTJzYWY5dnh2c3hlYXRycHhhcnM4OTByc2Fwc2VwOXI5IiB0aW1l
c3RhbXA9IjE2MTc2Mzc4MjgiPjQwNDU8L2tleT48L2ZvcmVpZ24ta2V5cz48cmVmLXR5cGUgbmFt
ZT0iSm91cm5hbCBBcnRpY2xlIj4xNzwvcmVmLXR5cGU+PGNvbnRyaWJ1dG9ycz48YXV0aG9ycz48
YXV0aG9yPk5pdSwgR3VhbmdkYTwvYXV0aG9yPjxhdXRob3I+WmhvdSwgTWluZzwvYXV0aG9yPjxh
dXRob3I+WWFuZywgWHVhbjwvYXV0aG9yPjxhdXRob3I+UGFyaywgSmluaG88L2F1dGhvcj48YXV0
aG9yPkx1LCBOaW5nPC9hdXRob3I+PGF1dGhvcj5XYW5nLCBKaW5ndW88L2F1dGhvcj48YXV0aG9y
PktpbSwgTW9vbiBKLjwvYXV0aG9yPjxhdXRob3I+V2FuZywgTGlkdW88L2F1dGhvcj48YXV0aG9y
PlhpYSwgWW91bmFuPC9hdXRob3I+PC9hdXRob3JzPjwvY29udHJpYnV0b3JzPjx0aXRsZXM+PHRp
dGxlPlN5bnRoZXNpcyBvZiBQdOKAk05pIE9jdGFoZWRyYSBpbiBDb250aW51b3VzLUZsb3cgRHJv
cGxldCBSZWFjdG9ycyBmb3IgdGhlIFNjYWxhYmxlIFByb2R1Y3Rpb24gb2YgSGlnaGx5IEFjdGl2
ZSBDYXRhbHlzdHMgdG93YXJkIE94eWdlbiBSZWR1Y3Rpb248L3RpdGxlPjxzZWNvbmRhcnktdGl0
bGU+TmFubyBMZXR0ZXJzPC9zZWNvbmRhcnktdGl0bGU+PC90aXRsZXM+PHBlcmlvZGljYWw+PGZ1
bGwtdGl0bGU+TmFubyBMZXR0ZXJzPC9mdWxsLXRpdGxlPjxhYmJyLTE+TmFubyBMZXR0LjwvYWJi
ci0xPjwvcGVyaW9kaWNhbD48cGFnZXM+Mzg1MOKAkzM4NTc8L3BhZ2VzPjx2b2x1bWU+MTY8L3Zv
bHVtZT48bnVtYmVyPjY8L251bWJlcj48ZGF0ZXM+PHllYXI+MjAxNjwveWVhcj48cHViLWRhdGVz
PjxkYXRlPjIwMTYvMDYvMDg8L2RhdGU+PC9wdWItZGF0ZXM+PC9kYXRlcz48cHVibGlzaGVyPkFt
ZXJpY2FuIENoZW1pY2FsIFNvY2lldHk8L3B1Ymxpc2hlcj48aXNibj4xNTMwLTY5ODQ8L2lzYm4+
PHVybHM+PHJlbGF0ZWQtdXJscz48dXJsPmh0dHBzOi8vZG9pLm9yZy8xMC4xMDIxL2Fjcy5uYW5v
bGV0dC42YjAxMzQwPC91cmw+PC9yZWxhdGVkLXVybHM+PC91cmxzPjxlbGVjdHJvbmljLXJlc291
cmNlLW51bT4xMC4xMDIxL2Fjcy5uYW5vbGV0dC42YjAxMzQwPC9lbGVjdHJvbmljLXJlc291cmNl
LW51bT48L3JlY29yZD48L0NpdGU+PC9FbmROb3RlPgB=
</w:fldData>
        </w:fldChar>
      </w:r>
      <w:r>
        <w:instrText xml:space="preserve"> ADDIN EN.CITE.DATA </w:instrText>
      </w:r>
      <w:r>
        <w:fldChar w:fldCharType="end"/>
      </w:r>
      <w:r>
        <w:fldChar w:fldCharType="separate"/>
      </w:r>
      <w:r w:rsidRPr="002E31E9">
        <w:rPr>
          <w:noProof/>
          <w:vertAlign w:val="superscript"/>
        </w:rPr>
        <w:t>5,6,9,10</w:t>
      </w:r>
      <w:r>
        <w:fldChar w:fldCharType="end"/>
      </w:r>
      <w:r>
        <w:t xml:space="preserve"> Consequently, designing</w:t>
      </w:r>
      <w:r w:rsidRPr="000329C7">
        <w:t xml:space="preserve"> a </w:t>
      </w:r>
      <w:r>
        <w:t xml:space="preserve">simple, </w:t>
      </w:r>
      <w:r w:rsidRPr="000329C7">
        <w:t xml:space="preserve">green, robust and up-scalable synthetic route for the large-scale production of highly efficient Pt-based ORR catalyst is an important prerequisite for the </w:t>
      </w:r>
      <w:r w:rsidRPr="00A7343D">
        <w:t xml:space="preserve">genuinely </w:t>
      </w:r>
      <w:r>
        <w:t>commercial application</w:t>
      </w:r>
      <w:r w:rsidRPr="000329C7">
        <w:t xml:space="preserve"> of</w:t>
      </w:r>
      <w:r>
        <w:t xml:space="preserve"> automotive fuel cells.</w:t>
      </w:r>
      <w:r w:rsidR="00285BA4">
        <w:t xml:space="preserve"> </w:t>
      </w:r>
      <w:r w:rsidR="00E97C34">
        <w:t xml:space="preserve">As shown in </w:t>
      </w:r>
      <w:r w:rsidR="00E97C34" w:rsidRPr="00B248FF">
        <w:rPr>
          <w:b/>
          <w:bCs/>
        </w:rPr>
        <w:t>Supplementary Fig</w:t>
      </w:r>
      <w:r w:rsidR="00E97C34">
        <w:rPr>
          <w:b/>
          <w:bCs/>
        </w:rPr>
        <w:t>s</w:t>
      </w:r>
      <w:r w:rsidR="00E97C34" w:rsidRPr="00B248FF">
        <w:rPr>
          <w:b/>
          <w:bCs/>
        </w:rPr>
        <w:t xml:space="preserve">. </w:t>
      </w:r>
      <w:r w:rsidR="00E97C34" w:rsidRPr="00B248FF">
        <w:rPr>
          <w:b/>
          <w:bCs/>
        </w:rPr>
        <w:fldChar w:fldCharType="begin"/>
      </w:r>
      <w:r w:rsidR="00E97C34" w:rsidRPr="00B248FF">
        <w:rPr>
          <w:b/>
          <w:bCs/>
        </w:rPr>
        <w:instrText xml:space="preserve"> SEQ Supplementary_Fig. \* ARABIC </w:instrText>
      </w:r>
      <w:r w:rsidR="00E97C34" w:rsidRPr="00B248FF">
        <w:rPr>
          <w:b/>
          <w:bCs/>
        </w:rPr>
        <w:fldChar w:fldCharType="separate"/>
      </w:r>
      <w:r w:rsidR="00E97C34">
        <w:rPr>
          <w:b/>
          <w:bCs/>
          <w:noProof/>
        </w:rPr>
        <w:t>2</w:t>
      </w:r>
      <w:r w:rsidR="00E97C34" w:rsidRPr="00B248FF">
        <w:rPr>
          <w:b/>
          <w:bCs/>
        </w:rPr>
        <w:fldChar w:fldCharType="end"/>
      </w:r>
      <w:r w:rsidR="00E97C34">
        <w:rPr>
          <w:b/>
          <w:bCs/>
        </w:rPr>
        <w:t xml:space="preserve">e and </w:t>
      </w:r>
      <w:r w:rsidR="00E21E7E">
        <w:rPr>
          <w:b/>
          <w:bCs/>
        </w:rPr>
        <w:t>20</w:t>
      </w:r>
      <w:r w:rsidR="00E21E7E">
        <w:t xml:space="preserve">, </w:t>
      </w:r>
      <w:r w:rsidR="00533F65">
        <w:t>although restricted by the limited volume of reaction flasks used in our lab synthesis, our PLDA method are</w:t>
      </w:r>
      <w:r w:rsidR="00AB1197">
        <w:t xml:space="preserve"> still</w:t>
      </w:r>
      <w:r w:rsidR="00533F65">
        <w:t xml:space="preserve"> able to achieve the gram-scale synthesis in one single batch.</w:t>
      </w:r>
      <w:r w:rsidR="001F12D9">
        <w:t xml:space="preserve"> Therefore, i</w:t>
      </w:r>
      <w:r w:rsidR="001F12D9" w:rsidRPr="00335BE8">
        <w:t>n terms of cost and green chemistry</w:t>
      </w:r>
      <w:r w:rsidR="001F12D9">
        <w:t>,</w:t>
      </w:r>
      <w:r w:rsidR="001F12D9" w:rsidRPr="00335BE8">
        <w:t xml:space="preserve"> </w:t>
      </w:r>
      <w:r w:rsidR="001F12D9">
        <w:t>o</w:t>
      </w:r>
      <w:r w:rsidR="001F12D9" w:rsidRPr="00335BE8">
        <w:t xml:space="preserve">ur </w:t>
      </w:r>
      <w:r w:rsidR="001F12D9">
        <w:t>method</w:t>
      </w:r>
      <w:r w:rsidR="001F12D9" w:rsidRPr="00335BE8">
        <w:t xml:space="preserve"> shows great </w:t>
      </w:r>
      <w:r w:rsidR="001F12D9">
        <w:t>suitability</w:t>
      </w:r>
      <w:r w:rsidR="001F12D9" w:rsidRPr="00335BE8">
        <w:t xml:space="preserve"> for mass production.</w:t>
      </w:r>
    </w:p>
    <w:p w14:paraId="4B53E7B3" w14:textId="5592509D" w:rsidR="00D110AE" w:rsidRDefault="009C095D" w:rsidP="00D110AE">
      <w:pPr>
        <w:keepNext/>
        <w:ind w:firstLine="0"/>
      </w:pPr>
      <w:r>
        <w:rPr>
          <w:noProof/>
        </w:rPr>
        <w:lastRenderedPageBreak/>
        <w:drawing>
          <wp:inline distT="0" distB="0" distL="0" distR="0" wp14:anchorId="77B51943" wp14:editId="6E7D8B83">
            <wp:extent cx="3600000" cy="3600000"/>
            <wp:effectExtent l="0" t="0" r="63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0450070E" w14:textId="2E3ABB44" w:rsidR="00D110AE" w:rsidRDefault="00D110AE" w:rsidP="00D110AE">
      <w:pPr>
        <w:pStyle w:val="Caption"/>
      </w:pPr>
      <w:r w:rsidRPr="002D1FA0">
        <w:rPr>
          <w:b/>
          <w:bCs/>
        </w:rPr>
        <w:t xml:space="preserve">Supplementary Fig. </w:t>
      </w:r>
      <w:r w:rsidRPr="002D1FA0">
        <w:rPr>
          <w:b/>
          <w:bCs/>
        </w:rPr>
        <w:fldChar w:fldCharType="begin"/>
      </w:r>
      <w:r w:rsidRPr="002D1FA0">
        <w:rPr>
          <w:b/>
          <w:bCs/>
        </w:rPr>
        <w:instrText xml:space="preserve"> SEQ Supplementary_Fig. \* ARABIC </w:instrText>
      </w:r>
      <w:r w:rsidRPr="002D1FA0">
        <w:rPr>
          <w:b/>
          <w:bCs/>
        </w:rPr>
        <w:fldChar w:fldCharType="separate"/>
      </w:r>
      <w:r w:rsidR="00C76C3C">
        <w:rPr>
          <w:b/>
          <w:bCs/>
          <w:noProof/>
        </w:rPr>
        <w:t>3</w:t>
      </w:r>
      <w:r w:rsidRPr="002D1FA0">
        <w:rPr>
          <w:b/>
          <w:bCs/>
        </w:rPr>
        <w:fldChar w:fldCharType="end"/>
      </w:r>
      <w:r w:rsidRPr="002D1FA0">
        <w:rPr>
          <w:b/>
          <w:bCs/>
        </w:rPr>
        <w:t xml:space="preserve"> |</w:t>
      </w:r>
      <w:r>
        <w:t xml:space="preserve"> </w:t>
      </w:r>
      <w:r w:rsidR="002D1FA0">
        <w:t>Linear relationship of lattice parameter with alloy composition according to Vegard’s rule for solid solutions.</w:t>
      </w:r>
      <w:r w:rsidR="006A5E6E">
        <w:fldChar w:fldCharType="begin"/>
      </w:r>
      <w:r w:rsidR="002E31E9">
        <w:instrText xml:space="preserve"> ADDIN EN.CITE &lt;EndNote&gt;&lt;Cite&gt;&lt;Author&gt;DeGraef&lt;/Author&gt;&lt;Year&gt;2007&lt;/Year&gt;&lt;RecNum&gt;4064&lt;/RecNum&gt;&lt;DisplayText&gt;&lt;style face="superscript"&gt;11,12&lt;/style&gt;&lt;/DisplayText&gt;&lt;record&gt;&lt;rec-number&gt;4064&lt;/rec-number&gt;&lt;foreign-keys&gt;&lt;key app="EN" db-id="rd9a2saf9vxvsxeatrpxars890rsapsep9r9" timestamp="1625229240"&gt;4064&lt;/key&gt;&lt;/foreign-keys&gt;&lt;ref-type name="Book"&gt;6&lt;/ref-type&gt;&lt;contributors&gt;&lt;authors&gt;&lt;author&gt;DeGraef, M.&lt;/author&gt;&lt;author&gt;McHenry, M. E.&lt;/author&gt;&lt;/authors&gt;&lt;/contributors&gt;&lt;titles&gt;&lt;title&gt;Structure of Materials: An Introduction to Crystallography, Diffraction, and Symmetry&lt;/title&gt;&lt;/titles&gt;&lt;dates&gt;&lt;year&gt;2007&lt;/year&gt;&lt;/dates&gt;&lt;pub-location&gt;Cambridge&lt;/pub-location&gt;&lt;publisher&gt;Cambrige University Press&lt;/publisher&gt;&lt;urls&gt;&lt;/urls&gt;&lt;/record&gt;&lt;/Cite&gt;&lt;Cite&gt;&lt;Author&gt;Cullity&lt;/Author&gt;&lt;Year&gt;2001&lt;/Year&gt;&lt;RecNum&gt;4063&lt;/RecNum&gt;&lt;record&gt;&lt;rec-number&gt;4063&lt;/rec-number&gt;&lt;foreign-keys&gt;&lt;key app="EN" db-id="rd9a2saf9vxvsxeatrpxars890rsapsep9r9" timestamp="1625227767"&gt;4063&lt;/key&gt;&lt;/foreign-keys&gt;&lt;ref-type name="Book"&gt;6&lt;/ref-type&gt;&lt;contributors&gt;&lt;authors&gt;&lt;author&gt;Cullity, B. D.&lt;/author&gt;&lt;author&gt;Stock, S. R.&lt;/author&gt;&lt;/authors&gt;&lt;/contributors&gt;&lt;titles&gt;&lt;title&gt;Elements of X ray diffraction&lt;/title&gt;&lt;/titles&gt;&lt;edition&gt;3&lt;/edition&gt;&lt;dates&gt;&lt;year&gt;2001&lt;/year&gt;&lt;/dates&gt;&lt;pub-location&gt;New York&lt;/pub-location&gt;&lt;publisher&gt;Prentice Hall&lt;/publisher&gt;&lt;urls&gt;&lt;/urls&gt;&lt;/record&gt;&lt;/Cite&gt;&lt;/EndNote&gt;</w:instrText>
      </w:r>
      <w:r w:rsidR="006A5E6E">
        <w:fldChar w:fldCharType="separate"/>
      </w:r>
      <w:r w:rsidR="002E31E9" w:rsidRPr="002E31E9">
        <w:rPr>
          <w:noProof/>
          <w:vertAlign w:val="superscript"/>
        </w:rPr>
        <w:t>11,12</w:t>
      </w:r>
      <w:r w:rsidR="006A5E6E">
        <w:fldChar w:fldCharType="end"/>
      </w:r>
      <w:r w:rsidR="002D1FA0">
        <w:t xml:space="preserve"> Data shown </w:t>
      </w:r>
      <w:r w:rsidR="00E9289E">
        <w:t>o</w:t>
      </w:r>
      <w:r w:rsidR="002D1FA0">
        <w:t xml:space="preserve">n left and right Y-axis (red star symbols) are </w:t>
      </w:r>
      <w:r w:rsidR="005B6BE4">
        <w:t>lattice parameters of pure</w:t>
      </w:r>
      <w:r w:rsidR="002D1FA0">
        <w:t xml:space="preserve"> Ni and Pt, respectively. Black solid line represents the dependence of lattice parameter on </w:t>
      </w:r>
      <w:r w:rsidR="005B6BE4">
        <w:t xml:space="preserve">the </w:t>
      </w:r>
      <w:r w:rsidR="002D1FA0">
        <w:t xml:space="preserve">Pt atomic percentage </w:t>
      </w:r>
      <w:r w:rsidR="005B6BE4">
        <w:t>of</w:t>
      </w:r>
      <w:r w:rsidR="002D1FA0">
        <w:t xml:space="preserve"> Pt-Ni solid solution</w:t>
      </w:r>
      <w:r w:rsidR="005B6BE4">
        <w:t xml:space="preserve"> (disordered)</w:t>
      </w:r>
      <w:r w:rsidR="002D1FA0">
        <w:t xml:space="preserve"> alloys according to Vegard’s </w:t>
      </w:r>
      <w:r w:rsidR="005821C4">
        <w:t>rule</w:t>
      </w:r>
      <w:r w:rsidR="002D1FA0">
        <w:t xml:space="preserve">. Solid black circle, square and triangle symbols denote three </w:t>
      </w:r>
      <w:r w:rsidR="005B6BE4">
        <w:t>cardinal</w:t>
      </w:r>
      <w:r w:rsidR="002D1FA0">
        <w:t xml:space="preserve"> compositions of </w:t>
      </w:r>
      <w:r w:rsidR="005B6BE4">
        <w:t xml:space="preserve">FCC </w:t>
      </w:r>
      <w:r w:rsidR="002D1FA0">
        <w:t>Pt-Ni alloy</w:t>
      </w:r>
      <w:r w:rsidR="005B6BE4">
        <w:t>s</w:t>
      </w:r>
      <w:r w:rsidR="002D1FA0">
        <w:t xml:space="preserve">: </w:t>
      </w:r>
      <w:r w:rsidR="002D1FA0" w:rsidRPr="004137B1">
        <w:t>PtNi</w:t>
      </w:r>
      <w:r w:rsidR="002D1FA0">
        <w:rPr>
          <w:vertAlign w:val="subscript"/>
        </w:rPr>
        <w:t>3</w:t>
      </w:r>
      <w:r w:rsidR="002D1FA0">
        <w:t xml:space="preserve">, </w:t>
      </w:r>
      <w:r w:rsidR="002D1FA0" w:rsidRPr="004137B1">
        <w:t>Pt</w:t>
      </w:r>
      <w:r w:rsidR="002D1FA0" w:rsidRPr="00ED1F39">
        <w:rPr>
          <w:vertAlign w:val="subscript"/>
        </w:rPr>
        <w:t>1</w:t>
      </w:r>
      <w:r w:rsidR="002D1FA0" w:rsidRPr="004137B1">
        <w:t>Ni</w:t>
      </w:r>
      <w:r w:rsidR="002D1FA0">
        <w:rPr>
          <w:vertAlign w:val="subscript"/>
        </w:rPr>
        <w:t>1</w:t>
      </w:r>
      <w:r w:rsidR="002D1FA0">
        <w:t xml:space="preserve"> and </w:t>
      </w:r>
      <w:r w:rsidR="002D1FA0" w:rsidRPr="004137B1">
        <w:t>Pt</w:t>
      </w:r>
      <w:r w:rsidR="002D1FA0" w:rsidRPr="00ED1F39">
        <w:rPr>
          <w:vertAlign w:val="subscript"/>
        </w:rPr>
        <w:t>3</w:t>
      </w:r>
      <w:r w:rsidR="002D1FA0" w:rsidRPr="004137B1">
        <w:t>Ni</w:t>
      </w:r>
      <w:r w:rsidR="002D1FA0">
        <w:t>, respectively. Top X-axis displays the corresponding Ni/Pt atomic ratio at a given Pt atomic percentage derived from bottom X-axis.</w:t>
      </w:r>
    </w:p>
    <w:p w14:paraId="33B209DF" w14:textId="152D16F5" w:rsidR="000A1797" w:rsidRDefault="005A421F" w:rsidP="000A1797">
      <w:pPr>
        <w:keepNext/>
        <w:ind w:firstLine="0"/>
      </w:pPr>
      <w:r>
        <w:rPr>
          <w:noProof/>
        </w:rPr>
        <w:lastRenderedPageBreak/>
        <w:drawing>
          <wp:inline distT="0" distB="0" distL="0" distR="0" wp14:anchorId="03774413" wp14:editId="082EC53B">
            <wp:extent cx="4320000" cy="3456096"/>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3456096"/>
                    </a:xfrm>
                    <a:prstGeom prst="rect">
                      <a:avLst/>
                    </a:prstGeom>
                    <a:noFill/>
                    <a:ln>
                      <a:noFill/>
                    </a:ln>
                  </pic:spPr>
                </pic:pic>
              </a:graphicData>
            </a:graphic>
          </wp:inline>
        </w:drawing>
      </w:r>
    </w:p>
    <w:p w14:paraId="4073CC25" w14:textId="58D68BA1" w:rsidR="000E1AE0" w:rsidRPr="000E1AE0" w:rsidRDefault="000A1797" w:rsidP="000E1AE0">
      <w:pPr>
        <w:pStyle w:val="Caption"/>
      </w:pPr>
      <w:r w:rsidRPr="00B32BB8">
        <w:rPr>
          <w:b/>
          <w:bCs/>
        </w:rPr>
        <w:t xml:space="preserve">Supplementary Fig. </w:t>
      </w:r>
      <w:r w:rsidRPr="00B32BB8">
        <w:rPr>
          <w:b/>
          <w:bCs/>
        </w:rPr>
        <w:fldChar w:fldCharType="begin"/>
      </w:r>
      <w:r w:rsidRPr="00B32BB8">
        <w:rPr>
          <w:b/>
          <w:bCs/>
        </w:rPr>
        <w:instrText xml:space="preserve"> SEQ Supplementary_Fig. \* ARABIC </w:instrText>
      </w:r>
      <w:r w:rsidRPr="00B32BB8">
        <w:rPr>
          <w:b/>
          <w:bCs/>
        </w:rPr>
        <w:fldChar w:fldCharType="separate"/>
      </w:r>
      <w:r w:rsidR="00C76C3C">
        <w:rPr>
          <w:b/>
          <w:bCs/>
          <w:noProof/>
        </w:rPr>
        <w:t>4</w:t>
      </w:r>
      <w:r w:rsidRPr="00B32BB8">
        <w:rPr>
          <w:b/>
          <w:bCs/>
        </w:rPr>
        <w:fldChar w:fldCharType="end"/>
      </w:r>
      <w:r w:rsidRPr="00B32BB8">
        <w:rPr>
          <w:b/>
          <w:bCs/>
        </w:rPr>
        <w:t xml:space="preserve"> </w:t>
      </w:r>
      <w:r w:rsidRPr="00B32BB8">
        <w:rPr>
          <w:rFonts w:hint="eastAsia"/>
          <w:b/>
          <w:bCs/>
        </w:rPr>
        <w:t>|</w:t>
      </w:r>
      <w:r>
        <w:t xml:space="preserve"> </w:t>
      </w:r>
      <w:r w:rsidR="00F1739A">
        <w:t xml:space="preserve">(a) </w:t>
      </w:r>
      <w:r w:rsidR="00F1739A">
        <w:rPr>
          <w:rFonts w:hint="eastAsia"/>
        </w:rPr>
        <w:t>XPS</w:t>
      </w:r>
      <w:r w:rsidR="00F1739A">
        <w:t xml:space="preserve"> </w:t>
      </w:r>
      <w:r w:rsidR="005B6BE4">
        <w:t>survey spectra</w:t>
      </w:r>
      <w:r w:rsidR="00F1739A">
        <w:t xml:space="preserve"> of </w:t>
      </w:r>
      <w:r w:rsidR="00164D76" w:rsidRPr="006F6A39">
        <w:t xml:space="preserve">catalyst materials derived from Pt/NiNC </w:t>
      </w:r>
      <w:r w:rsidR="00164D76">
        <w:t>with different</w:t>
      </w:r>
      <w:r w:rsidR="00164D76" w:rsidRPr="006F6A39">
        <w:t xml:space="preserve"> annealing </w:t>
      </w:r>
      <w:r w:rsidR="00164D76">
        <w:t xml:space="preserve">time, together with </w:t>
      </w:r>
      <w:r w:rsidR="005335B2">
        <w:t xml:space="preserve">one reference sample, </w:t>
      </w:r>
      <w:r w:rsidR="00164D76">
        <w:t>Pt/Vul-C.</w:t>
      </w:r>
      <w:r w:rsidR="00A45EB6">
        <w:t xml:space="preserve"> For</w:t>
      </w:r>
      <w:r w:rsidR="00A45EB6" w:rsidRPr="007800F1">
        <w:t xml:space="preserve"> </w:t>
      </w:r>
      <w:r w:rsidR="00A45EB6">
        <w:t xml:space="preserve">pristine </w:t>
      </w:r>
      <w:r w:rsidR="00A45EB6" w:rsidRPr="006F6A39">
        <w:t>Pt/NiNC</w:t>
      </w:r>
      <w:r w:rsidR="00A45EB6">
        <w:t xml:space="preserve"> catalyst, annealing time is 0 h. For final PtNi/</w:t>
      </w:r>
      <w:r w:rsidR="00A45EB6" w:rsidRPr="006F6A39">
        <w:t>NiNC</w:t>
      </w:r>
      <w:r w:rsidR="00A45EB6">
        <w:t xml:space="preserve"> catalyst, annealing time is 6 h.</w:t>
      </w:r>
    </w:p>
    <w:p w14:paraId="77DF862B" w14:textId="79A6F72C" w:rsidR="00551A37" w:rsidRDefault="000C3D06" w:rsidP="00551A37">
      <w:pPr>
        <w:keepNext/>
        <w:ind w:firstLine="0"/>
      </w:pPr>
      <w:r>
        <w:rPr>
          <w:noProof/>
        </w:rPr>
        <w:lastRenderedPageBreak/>
        <w:drawing>
          <wp:inline distT="0" distB="0" distL="0" distR="0" wp14:anchorId="1682C96A" wp14:editId="28783324">
            <wp:extent cx="5040000" cy="4032112"/>
            <wp:effectExtent l="0" t="0" r="8255"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000" cy="4032112"/>
                    </a:xfrm>
                    <a:prstGeom prst="rect">
                      <a:avLst/>
                    </a:prstGeom>
                    <a:noFill/>
                    <a:ln>
                      <a:noFill/>
                    </a:ln>
                  </pic:spPr>
                </pic:pic>
              </a:graphicData>
            </a:graphic>
          </wp:inline>
        </w:drawing>
      </w:r>
    </w:p>
    <w:p w14:paraId="6BB15822" w14:textId="60CF3CA7" w:rsidR="004C5ED1" w:rsidRDefault="00551A37" w:rsidP="00264057">
      <w:pPr>
        <w:ind w:firstLine="0"/>
      </w:pPr>
      <w:r w:rsidRPr="00E67E99">
        <w:rPr>
          <w:b/>
          <w:bCs/>
        </w:rPr>
        <w:t xml:space="preserve">Supplementary Fig. </w:t>
      </w:r>
      <w:r w:rsidRPr="00E67E99">
        <w:rPr>
          <w:b/>
          <w:bCs/>
        </w:rPr>
        <w:fldChar w:fldCharType="begin"/>
      </w:r>
      <w:r w:rsidRPr="00E67E99">
        <w:rPr>
          <w:b/>
          <w:bCs/>
        </w:rPr>
        <w:instrText xml:space="preserve"> SEQ Supplementary_Fig. \* ARABIC </w:instrText>
      </w:r>
      <w:r w:rsidRPr="00E67E99">
        <w:rPr>
          <w:b/>
          <w:bCs/>
        </w:rPr>
        <w:fldChar w:fldCharType="separate"/>
      </w:r>
      <w:r w:rsidR="00C76C3C">
        <w:rPr>
          <w:b/>
          <w:bCs/>
          <w:noProof/>
        </w:rPr>
        <w:t>5</w:t>
      </w:r>
      <w:r w:rsidRPr="00E67E99">
        <w:rPr>
          <w:b/>
          <w:bCs/>
        </w:rPr>
        <w:fldChar w:fldCharType="end"/>
      </w:r>
      <w:r w:rsidRPr="00E67E99">
        <w:rPr>
          <w:b/>
          <w:bCs/>
        </w:rPr>
        <w:t xml:space="preserve"> </w:t>
      </w:r>
      <w:r w:rsidRPr="00E67E99">
        <w:rPr>
          <w:rFonts w:hint="eastAsia"/>
          <w:b/>
          <w:bCs/>
        </w:rPr>
        <w:t>|</w:t>
      </w:r>
      <w:r>
        <w:t xml:space="preserve"> </w:t>
      </w:r>
      <w:r w:rsidR="007800F1">
        <w:t xml:space="preserve">XPS of catalysts, intermediates and reference: </w:t>
      </w:r>
      <w:r w:rsidR="00F53F19">
        <w:t xml:space="preserve">(a) </w:t>
      </w:r>
      <w:r w:rsidR="00D52A45">
        <w:t>C 1s</w:t>
      </w:r>
      <w:r w:rsidR="00F53F19">
        <w:t xml:space="preserve"> and (b) O 1s</w:t>
      </w:r>
      <w:r w:rsidR="00D52A45">
        <w:t xml:space="preserve"> spectra of </w:t>
      </w:r>
      <w:r w:rsidR="007800F1">
        <w:t xml:space="preserve">various </w:t>
      </w:r>
      <w:r w:rsidR="00D52A45" w:rsidRPr="006F6A39">
        <w:t xml:space="preserve">catalyst materials derived from </w:t>
      </w:r>
      <w:r w:rsidR="007800F1">
        <w:t xml:space="preserve">pristine </w:t>
      </w:r>
      <w:r w:rsidR="00D52A45" w:rsidRPr="006F6A39">
        <w:t xml:space="preserve">Pt/NiNC </w:t>
      </w:r>
      <w:r w:rsidR="007800F1">
        <w:t>after</w:t>
      </w:r>
      <w:r w:rsidR="00D52A45">
        <w:t xml:space="preserve"> different</w:t>
      </w:r>
      <w:r w:rsidR="00D52A45" w:rsidRPr="006F6A39">
        <w:t xml:space="preserve"> annealing </w:t>
      </w:r>
      <w:r w:rsidR="00D52A45">
        <w:t>time, together with one reference sample, Pt/Vul-C.</w:t>
      </w:r>
      <w:r w:rsidR="00264057">
        <w:t xml:space="preserve"> </w:t>
      </w:r>
      <w:r w:rsidR="007800F1">
        <w:t>For</w:t>
      </w:r>
      <w:r w:rsidR="007800F1" w:rsidRPr="007800F1">
        <w:t xml:space="preserve"> </w:t>
      </w:r>
      <w:r w:rsidR="007800F1">
        <w:t xml:space="preserve">pristine </w:t>
      </w:r>
      <w:r w:rsidR="007800F1" w:rsidRPr="006F6A39">
        <w:t>Pt/NiNC</w:t>
      </w:r>
      <w:r w:rsidR="00EE6ADC">
        <w:t xml:space="preserve"> catalyst</w:t>
      </w:r>
      <w:r w:rsidR="007800F1">
        <w:t>, annealing time is 0 h. For final PtNi/</w:t>
      </w:r>
      <w:r w:rsidR="007800F1" w:rsidRPr="006F6A39">
        <w:t>NiNC</w:t>
      </w:r>
      <w:r w:rsidR="00EE6ADC">
        <w:t xml:space="preserve"> catalyst</w:t>
      </w:r>
      <w:r w:rsidR="007800F1">
        <w:t xml:space="preserve">, annealing time is 6 h. </w:t>
      </w:r>
      <w:r w:rsidR="00264057">
        <w:t>All O 1s spectra consist of two peaks which are assigned to oxygen single bonding (C-O, 534.</w:t>
      </w:r>
      <w:r w:rsidR="00DC68AB">
        <w:t>0</w:t>
      </w:r>
      <w:r w:rsidR="00264057">
        <w:t xml:space="preserve"> eV) and double bonding (C=O, 53</w:t>
      </w:r>
      <w:r w:rsidR="00DC68AB">
        <w:t>2</w:t>
      </w:r>
      <w:r w:rsidR="00264057">
        <w:t>.</w:t>
      </w:r>
      <w:r w:rsidR="00DC68AB">
        <w:t>6</w:t>
      </w:r>
      <w:r w:rsidR="00264057">
        <w:t xml:space="preserve"> eV) to carbon.</w:t>
      </w:r>
      <w:r w:rsidR="00E266B7">
        <w:t xml:space="preserve"> All spectra are calibrated with the main peak of C 1s at 284.</w:t>
      </w:r>
      <w:r w:rsidR="00DC68AB">
        <w:t>3</w:t>
      </w:r>
      <w:r w:rsidR="00E266B7">
        <w:t xml:space="preserve"> eV. The spectra were fitted using Casa XPS software.</w:t>
      </w:r>
    </w:p>
    <w:p w14:paraId="670FFBD9" w14:textId="06834153" w:rsidR="00AE38A9" w:rsidRDefault="00336AD7" w:rsidP="00472C23">
      <w:pPr>
        <w:keepNext/>
        <w:ind w:firstLine="0"/>
        <w:jc w:val="center"/>
      </w:pPr>
      <w:r>
        <w:rPr>
          <w:noProof/>
        </w:rPr>
        <w:lastRenderedPageBreak/>
        <w:drawing>
          <wp:inline distT="0" distB="0" distL="0" distR="0" wp14:anchorId="2A0E0223" wp14:editId="04D06161">
            <wp:extent cx="1440000" cy="4319691"/>
            <wp:effectExtent l="0" t="0" r="8255"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0" cy="4319691"/>
                    </a:xfrm>
                    <a:prstGeom prst="rect">
                      <a:avLst/>
                    </a:prstGeom>
                    <a:noFill/>
                    <a:ln>
                      <a:noFill/>
                    </a:ln>
                  </pic:spPr>
                </pic:pic>
              </a:graphicData>
            </a:graphic>
          </wp:inline>
        </w:drawing>
      </w:r>
    </w:p>
    <w:p w14:paraId="236064FA" w14:textId="2D53CB73" w:rsidR="00A14C74" w:rsidRPr="00A14C74" w:rsidRDefault="00AE38A9" w:rsidP="00AE38A9">
      <w:pPr>
        <w:pStyle w:val="Caption"/>
      </w:pPr>
      <w:r w:rsidRPr="00E67E99">
        <w:rPr>
          <w:b/>
          <w:bCs/>
        </w:rPr>
        <w:t xml:space="preserve">Supplementary Fig. </w:t>
      </w:r>
      <w:r w:rsidRPr="00E67E99">
        <w:rPr>
          <w:b/>
          <w:bCs/>
        </w:rPr>
        <w:fldChar w:fldCharType="begin"/>
      </w:r>
      <w:r w:rsidRPr="00E67E99">
        <w:rPr>
          <w:b/>
          <w:bCs/>
        </w:rPr>
        <w:instrText xml:space="preserve"> SEQ Supplementary_Fig. \* ARABIC </w:instrText>
      </w:r>
      <w:r w:rsidRPr="00E67E99">
        <w:rPr>
          <w:b/>
          <w:bCs/>
        </w:rPr>
        <w:fldChar w:fldCharType="separate"/>
      </w:r>
      <w:r w:rsidR="00C76C3C">
        <w:rPr>
          <w:b/>
          <w:bCs/>
          <w:noProof/>
        </w:rPr>
        <w:t>6</w:t>
      </w:r>
      <w:r w:rsidRPr="00E67E99">
        <w:rPr>
          <w:b/>
          <w:bCs/>
        </w:rPr>
        <w:fldChar w:fldCharType="end"/>
      </w:r>
      <w:r w:rsidRPr="00E67E99">
        <w:rPr>
          <w:b/>
          <w:bCs/>
        </w:rPr>
        <w:t xml:space="preserve"> </w:t>
      </w:r>
      <w:r w:rsidRPr="00E67E99">
        <w:rPr>
          <w:rFonts w:hint="eastAsia"/>
          <w:b/>
          <w:bCs/>
        </w:rPr>
        <w:t>|</w:t>
      </w:r>
      <w:r>
        <w:t xml:space="preserve"> </w:t>
      </w:r>
      <w:r w:rsidR="00D52A45">
        <w:rPr>
          <w:rFonts w:hint="eastAsia"/>
        </w:rPr>
        <w:t>N</w:t>
      </w:r>
      <w:r w:rsidR="00D52A45">
        <w:t xml:space="preserve"> 1s </w:t>
      </w:r>
      <w:r w:rsidR="003E59E0">
        <w:t xml:space="preserve">XPS </w:t>
      </w:r>
      <w:r w:rsidR="00D52A45">
        <w:t xml:space="preserve">spectra of </w:t>
      </w:r>
      <w:r w:rsidR="00D52A45" w:rsidRPr="006F6A39">
        <w:t xml:space="preserve">catalyst materials derived from </w:t>
      </w:r>
      <w:r w:rsidR="003E59E0">
        <w:t xml:space="preserve">pristine </w:t>
      </w:r>
      <w:r w:rsidR="00D52A45" w:rsidRPr="006F6A39">
        <w:t xml:space="preserve">Pt/NiNC </w:t>
      </w:r>
      <w:r w:rsidR="003E59E0">
        <w:t>after</w:t>
      </w:r>
      <w:r w:rsidR="00D52A45">
        <w:t xml:space="preserve"> different</w:t>
      </w:r>
      <w:r w:rsidR="00D52A45" w:rsidRPr="006F6A39">
        <w:t xml:space="preserve"> annealing </w:t>
      </w:r>
      <w:r w:rsidR="00D52A45">
        <w:t>time.</w:t>
      </w:r>
      <w:r w:rsidR="003B5D50">
        <w:t xml:space="preserve"> For</w:t>
      </w:r>
      <w:r w:rsidR="003B5D50" w:rsidRPr="007800F1">
        <w:t xml:space="preserve"> </w:t>
      </w:r>
      <w:r w:rsidR="003B5D50">
        <w:t xml:space="preserve">pristine </w:t>
      </w:r>
      <w:r w:rsidR="003B5D50" w:rsidRPr="006F6A39">
        <w:t>Pt/NiNC</w:t>
      </w:r>
      <w:r w:rsidR="003B5D50">
        <w:t xml:space="preserve"> catalyst, annealing time is 0 h. For final PtNi/</w:t>
      </w:r>
      <w:r w:rsidR="003B5D50" w:rsidRPr="006F6A39">
        <w:t>NiNC</w:t>
      </w:r>
      <w:r w:rsidR="003B5D50">
        <w:t xml:space="preserve"> catalyst, annealing time is 6 h.</w:t>
      </w:r>
    </w:p>
    <w:p w14:paraId="2EB95DD2" w14:textId="7769CAF5" w:rsidR="00362C12" w:rsidRDefault="00D50EEA" w:rsidP="00362C12">
      <w:pPr>
        <w:keepNext/>
        <w:ind w:firstLine="0"/>
      </w:pPr>
      <w:r>
        <w:rPr>
          <w:noProof/>
        </w:rPr>
        <w:lastRenderedPageBreak/>
        <w:drawing>
          <wp:inline distT="0" distB="0" distL="0" distR="0" wp14:anchorId="3EBD889B" wp14:editId="5D39DCD4">
            <wp:extent cx="5040000" cy="4032112"/>
            <wp:effectExtent l="0" t="0" r="8255"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000" cy="4032112"/>
                    </a:xfrm>
                    <a:prstGeom prst="rect">
                      <a:avLst/>
                    </a:prstGeom>
                    <a:noFill/>
                    <a:ln>
                      <a:noFill/>
                    </a:ln>
                  </pic:spPr>
                </pic:pic>
              </a:graphicData>
            </a:graphic>
          </wp:inline>
        </w:drawing>
      </w:r>
    </w:p>
    <w:p w14:paraId="30B72380" w14:textId="28560C09" w:rsidR="00C76C3C" w:rsidRDefault="00362C12" w:rsidP="00C76C3C">
      <w:pPr>
        <w:pStyle w:val="Caption"/>
      </w:pPr>
      <w:r w:rsidRPr="00CF6B09">
        <w:rPr>
          <w:b/>
          <w:bCs/>
        </w:rPr>
        <w:t xml:space="preserve">Supplementary Fig. </w:t>
      </w:r>
      <w:r w:rsidRPr="00CF6B09">
        <w:rPr>
          <w:b/>
          <w:bCs/>
        </w:rPr>
        <w:fldChar w:fldCharType="begin"/>
      </w:r>
      <w:r w:rsidRPr="00CF6B09">
        <w:rPr>
          <w:b/>
          <w:bCs/>
        </w:rPr>
        <w:instrText xml:space="preserve"> SEQ Supplementary_Fig. \* ARABIC </w:instrText>
      </w:r>
      <w:r w:rsidRPr="00CF6B09">
        <w:rPr>
          <w:b/>
          <w:bCs/>
        </w:rPr>
        <w:fldChar w:fldCharType="separate"/>
      </w:r>
      <w:r w:rsidR="00C76C3C">
        <w:rPr>
          <w:b/>
          <w:bCs/>
          <w:noProof/>
        </w:rPr>
        <w:t>7</w:t>
      </w:r>
      <w:r w:rsidRPr="00CF6B09">
        <w:rPr>
          <w:b/>
          <w:bCs/>
        </w:rPr>
        <w:fldChar w:fldCharType="end"/>
      </w:r>
      <w:r w:rsidRPr="00CF6B09">
        <w:rPr>
          <w:b/>
          <w:bCs/>
        </w:rPr>
        <w:t xml:space="preserve"> |</w:t>
      </w:r>
      <w:r>
        <w:t xml:space="preserve"> </w:t>
      </w:r>
      <w:r w:rsidR="006F6A39">
        <w:t xml:space="preserve">(a) Pt 4f and (b) Ni 2p </w:t>
      </w:r>
      <w:r w:rsidR="00CF6B09">
        <w:t>XPS s</w:t>
      </w:r>
      <w:r w:rsidR="00CF6B09" w:rsidRPr="006F6A39">
        <w:t xml:space="preserve">pectra </w:t>
      </w:r>
      <w:r w:rsidR="006F6A39" w:rsidRPr="006F6A39">
        <w:t xml:space="preserve">of catalyst materials derived from Pt/NiNC </w:t>
      </w:r>
      <w:r w:rsidR="00C93040">
        <w:t>after</w:t>
      </w:r>
      <w:r w:rsidR="006F6A39">
        <w:t xml:space="preserve"> different</w:t>
      </w:r>
      <w:r w:rsidR="006F6A39" w:rsidRPr="006F6A39">
        <w:t xml:space="preserve"> annealing </w:t>
      </w:r>
      <w:r w:rsidR="006F6A39">
        <w:t>time</w:t>
      </w:r>
      <w:r w:rsidR="00CF6B09" w:rsidRPr="006F6A39">
        <w:t>.</w:t>
      </w:r>
      <w:r w:rsidR="00C93040">
        <w:t xml:space="preserve"> For</w:t>
      </w:r>
      <w:r w:rsidR="00C93040" w:rsidRPr="007800F1">
        <w:t xml:space="preserve"> </w:t>
      </w:r>
      <w:r w:rsidR="00C93040">
        <w:t xml:space="preserve">pristine </w:t>
      </w:r>
      <w:r w:rsidR="00C93040" w:rsidRPr="006F6A39">
        <w:t>Pt/NiNC</w:t>
      </w:r>
      <w:r w:rsidR="00C93040">
        <w:t xml:space="preserve"> catalyst, annealing time is 0 h. For final PtNi/</w:t>
      </w:r>
      <w:r w:rsidR="00C93040" w:rsidRPr="006F6A39">
        <w:t>NiNC</w:t>
      </w:r>
      <w:r w:rsidR="00C93040">
        <w:t xml:space="preserve"> catalyst, annealing time is 6 h.</w:t>
      </w:r>
    </w:p>
    <w:p w14:paraId="08187869" w14:textId="77777777" w:rsidR="000A158B" w:rsidRPr="000A158B" w:rsidRDefault="000A158B" w:rsidP="000A158B">
      <w:pPr>
        <w:ind w:firstLine="0"/>
      </w:pPr>
    </w:p>
    <w:p w14:paraId="480309F8" w14:textId="48CE62F5" w:rsidR="00BC0435" w:rsidRDefault="00BC0435" w:rsidP="00C76C3C">
      <w:pPr>
        <w:pStyle w:val="Caption"/>
      </w:pPr>
      <w:r w:rsidRPr="008F01BC">
        <w:rPr>
          <w:b/>
          <w:bCs/>
        </w:rPr>
        <w:t xml:space="preserve">Supplementary Table </w:t>
      </w:r>
      <w:r w:rsidRPr="008F01BC">
        <w:rPr>
          <w:b/>
          <w:bCs/>
        </w:rPr>
        <w:fldChar w:fldCharType="begin"/>
      </w:r>
      <w:r w:rsidRPr="008F01BC">
        <w:rPr>
          <w:b/>
          <w:bCs/>
        </w:rPr>
        <w:instrText xml:space="preserve"> SEQ Supplementary_Table \* ARABIC </w:instrText>
      </w:r>
      <w:r w:rsidRPr="008F01BC">
        <w:rPr>
          <w:b/>
          <w:bCs/>
        </w:rPr>
        <w:fldChar w:fldCharType="separate"/>
      </w:r>
      <w:r w:rsidR="00C76C3C">
        <w:rPr>
          <w:b/>
          <w:bCs/>
          <w:noProof/>
        </w:rPr>
        <w:t>1</w:t>
      </w:r>
      <w:r w:rsidRPr="008F01BC">
        <w:rPr>
          <w:b/>
          <w:bCs/>
        </w:rPr>
        <w:fldChar w:fldCharType="end"/>
      </w:r>
      <w:r w:rsidRPr="008F01BC">
        <w:rPr>
          <w:b/>
          <w:bCs/>
        </w:rPr>
        <w:t xml:space="preserve"> |</w:t>
      </w:r>
      <w:r>
        <w:t xml:space="preserve"> Elemental </w:t>
      </w:r>
      <w:r w:rsidR="00EF71F2">
        <w:t>compositions (in both at% and wt%)</w:t>
      </w:r>
      <w:r>
        <w:t xml:space="preserve"> </w:t>
      </w:r>
      <w:r w:rsidR="00EF71F2">
        <w:t>derived from</w:t>
      </w:r>
      <w:r>
        <w:t xml:space="preserve"> XPS for different catalyst materials.</w:t>
      </w:r>
      <w:r w:rsidR="006014C3">
        <w:t xml:space="preserve"> For</w:t>
      </w:r>
      <w:r w:rsidR="006014C3" w:rsidRPr="007800F1">
        <w:t xml:space="preserve"> </w:t>
      </w:r>
      <w:r w:rsidR="006014C3">
        <w:t xml:space="preserve">pristine </w:t>
      </w:r>
      <w:r w:rsidR="006014C3" w:rsidRPr="006F6A39">
        <w:t>Pt/NiNC</w:t>
      </w:r>
      <w:r w:rsidR="006014C3">
        <w:t xml:space="preserve"> catalyst, annealing time is 0 h. For final PtNi/</w:t>
      </w:r>
      <w:r w:rsidR="006014C3" w:rsidRPr="006F6A39">
        <w:t>NiNC</w:t>
      </w:r>
      <w:r w:rsidR="006014C3">
        <w:t xml:space="preserve"> catalyst, annealing time is 6 h.</w:t>
      </w:r>
    </w:p>
    <w:tbl>
      <w:tblPr>
        <w:tblStyle w:val="TableGrid"/>
        <w:tblW w:w="0" w:type="auto"/>
        <w:tblLayout w:type="fixed"/>
        <w:tblLook w:val="04A0" w:firstRow="1" w:lastRow="0" w:firstColumn="1" w:lastColumn="0" w:noHBand="0" w:noVBand="1"/>
      </w:tblPr>
      <w:tblGrid>
        <w:gridCol w:w="1289"/>
        <w:gridCol w:w="771"/>
        <w:gridCol w:w="771"/>
        <w:gridCol w:w="771"/>
        <w:gridCol w:w="771"/>
        <w:gridCol w:w="772"/>
        <w:gridCol w:w="771"/>
        <w:gridCol w:w="771"/>
        <w:gridCol w:w="771"/>
        <w:gridCol w:w="771"/>
        <w:gridCol w:w="772"/>
      </w:tblGrid>
      <w:tr w:rsidR="00BC0435" w14:paraId="40FABF79" w14:textId="77777777" w:rsidTr="00BF46E4">
        <w:tc>
          <w:tcPr>
            <w:tcW w:w="1289" w:type="dxa"/>
            <w:tcBorders>
              <w:top w:val="single" w:sz="24" w:space="0" w:color="auto"/>
              <w:left w:val="nil"/>
              <w:bottom w:val="single" w:sz="24" w:space="0" w:color="auto"/>
              <w:right w:val="nil"/>
            </w:tcBorders>
            <w:vAlign w:val="center"/>
          </w:tcPr>
          <w:p w14:paraId="37A250F3" w14:textId="77777777" w:rsidR="00BC0435" w:rsidRPr="004B0985" w:rsidRDefault="00BC0435" w:rsidP="00BF46E4">
            <w:pPr>
              <w:pStyle w:val="Tablebody"/>
              <w:jc w:val="center"/>
              <w:rPr>
                <w:szCs w:val="18"/>
              </w:rPr>
            </w:pPr>
            <w:r w:rsidRPr="004B0985">
              <w:rPr>
                <w:szCs w:val="18"/>
              </w:rPr>
              <w:t>Samples</w:t>
            </w:r>
          </w:p>
        </w:tc>
        <w:tc>
          <w:tcPr>
            <w:tcW w:w="771" w:type="dxa"/>
            <w:tcBorders>
              <w:top w:val="single" w:sz="24" w:space="0" w:color="auto"/>
              <w:left w:val="nil"/>
              <w:bottom w:val="single" w:sz="24" w:space="0" w:color="auto"/>
              <w:right w:val="nil"/>
            </w:tcBorders>
            <w:vAlign w:val="center"/>
          </w:tcPr>
          <w:p w14:paraId="69085CA8" w14:textId="77777777" w:rsidR="00BC0435" w:rsidRPr="004B0985" w:rsidRDefault="00BC0435" w:rsidP="00BF46E4">
            <w:pPr>
              <w:pStyle w:val="Tablebody"/>
              <w:jc w:val="center"/>
              <w:rPr>
                <w:szCs w:val="18"/>
              </w:rPr>
            </w:pPr>
            <w:r w:rsidRPr="004B0985">
              <w:rPr>
                <w:szCs w:val="18"/>
              </w:rPr>
              <w:t>C</w:t>
            </w:r>
            <w:r w:rsidRPr="004B0985">
              <w:rPr>
                <w:szCs w:val="18"/>
              </w:rPr>
              <w:br/>
              <w:t>(at%)</w:t>
            </w:r>
          </w:p>
        </w:tc>
        <w:tc>
          <w:tcPr>
            <w:tcW w:w="771" w:type="dxa"/>
            <w:tcBorders>
              <w:top w:val="single" w:sz="24" w:space="0" w:color="auto"/>
              <w:left w:val="nil"/>
              <w:bottom w:val="single" w:sz="24" w:space="0" w:color="auto"/>
              <w:right w:val="nil"/>
            </w:tcBorders>
            <w:vAlign w:val="center"/>
          </w:tcPr>
          <w:p w14:paraId="00D785D5" w14:textId="77777777" w:rsidR="00BC0435" w:rsidRPr="004B0985" w:rsidRDefault="00BC0435" w:rsidP="00BF46E4">
            <w:pPr>
              <w:pStyle w:val="Tablebody"/>
              <w:jc w:val="center"/>
              <w:rPr>
                <w:szCs w:val="18"/>
              </w:rPr>
            </w:pPr>
            <w:r w:rsidRPr="004B0985">
              <w:rPr>
                <w:szCs w:val="18"/>
              </w:rPr>
              <w:t>N</w:t>
            </w:r>
            <w:r w:rsidRPr="004B0985">
              <w:rPr>
                <w:szCs w:val="18"/>
              </w:rPr>
              <w:br/>
              <w:t xml:space="preserve"> (at%)</w:t>
            </w:r>
          </w:p>
        </w:tc>
        <w:tc>
          <w:tcPr>
            <w:tcW w:w="771" w:type="dxa"/>
            <w:tcBorders>
              <w:top w:val="single" w:sz="24" w:space="0" w:color="auto"/>
              <w:left w:val="nil"/>
              <w:bottom w:val="single" w:sz="24" w:space="0" w:color="auto"/>
              <w:right w:val="nil"/>
            </w:tcBorders>
            <w:vAlign w:val="center"/>
          </w:tcPr>
          <w:p w14:paraId="6735E5F6" w14:textId="77777777" w:rsidR="00BC0435" w:rsidRPr="004B0985" w:rsidRDefault="00BC0435" w:rsidP="00BF46E4">
            <w:pPr>
              <w:pStyle w:val="Tablebody"/>
              <w:jc w:val="center"/>
              <w:rPr>
                <w:szCs w:val="18"/>
              </w:rPr>
            </w:pPr>
            <w:r w:rsidRPr="004B0985">
              <w:rPr>
                <w:szCs w:val="18"/>
              </w:rPr>
              <w:t>O</w:t>
            </w:r>
            <w:r w:rsidRPr="004B0985">
              <w:rPr>
                <w:szCs w:val="18"/>
              </w:rPr>
              <w:br/>
              <w:t>(at%)</w:t>
            </w:r>
          </w:p>
        </w:tc>
        <w:tc>
          <w:tcPr>
            <w:tcW w:w="771" w:type="dxa"/>
            <w:tcBorders>
              <w:top w:val="single" w:sz="24" w:space="0" w:color="auto"/>
              <w:left w:val="nil"/>
              <w:bottom w:val="single" w:sz="24" w:space="0" w:color="auto"/>
              <w:right w:val="nil"/>
            </w:tcBorders>
            <w:vAlign w:val="center"/>
          </w:tcPr>
          <w:p w14:paraId="19C4074E" w14:textId="77777777" w:rsidR="00BC0435" w:rsidRPr="004B0985" w:rsidRDefault="00BC0435" w:rsidP="00BF46E4">
            <w:pPr>
              <w:pStyle w:val="Tablebody"/>
              <w:jc w:val="center"/>
              <w:rPr>
                <w:szCs w:val="18"/>
              </w:rPr>
            </w:pPr>
            <w:r w:rsidRPr="004B0985">
              <w:rPr>
                <w:szCs w:val="18"/>
              </w:rPr>
              <w:t>Pt</w:t>
            </w:r>
            <w:r w:rsidRPr="004B0985">
              <w:rPr>
                <w:szCs w:val="18"/>
              </w:rPr>
              <w:br/>
              <w:t>(at%)</w:t>
            </w:r>
          </w:p>
        </w:tc>
        <w:tc>
          <w:tcPr>
            <w:tcW w:w="772" w:type="dxa"/>
            <w:tcBorders>
              <w:top w:val="single" w:sz="24" w:space="0" w:color="auto"/>
              <w:left w:val="nil"/>
              <w:bottom w:val="single" w:sz="24" w:space="0" w:color="auto"/>
              <w:right w:val="nil"/>
            </w:tcBorders>
            <w:vAlign w:val="center"/>
          </w:tcPr>
          <w:p w14:paraId="105900B9" w14:textId="77777777" w:rsidR="00BC0435" w:rsidRPr="004B0985" w:rsidRDefault="00BC0435" w:rsidP="00BF46E4">
            <w:pPr>
              <w:pStyle w:val="Tablebody"/>
              <w:jc w:val="center"/>
              <w:rPr>
                <w:szCs w:val="18"/>
              </w:rPr>
            </w:pPr>
            <w:r w:rsidRPr="004B0985">
              <w:rPr>
                <w:szCs w:val="18"/>
              </w:rPr>
              <w:t>Ni</w:t>
            </w:r>
            <w:r w:rsidRPr="004B0985">
              <w:rPr>
                <w:szCs w:val="18"/>
              </w:rPr>
              <w:br/>
              <w:t>(at%)</w:t>
            </w:r>
          </w:p>
        </w:tc>
        <w:tc>
          <w:tcPr>
            <w:tcW w:w="771" w:type="dxa"/>
            <w:tcBorders>
              <w:top w:val="single" w:sz="24" w:space="0" w:color="auto"/>
              <w:left w:val="nil"/>
              <w:bottom w:val="single" w:sz="24" w:space="0" w:color="auto"/>
              <w:right w:val="nil"/>
            </w:tcBorders>
            <w:vAlign w:val="center"/>
          </w:tcPr>
          <w:p w14:paraId="417D7453" w14:textId="77777777" w:rsidR="00BC0435" w:rsidRPr="004B0985" w:rsidRDefault="00BC0435" w:rsidP="00BF46E4">
            <w:pPr>
              <w:pStyle w:val="Tablebody"/>
              <w:jc w:val="center"/>
              <w:rPr>
                <w:szCs w:val="18"/>
              </w:rPr>
            </w:pPr>
            <w:r w:rsidRPr="004B0985">
              <w:rPr>
                <w:szCs w:val="18"/>
              </w:rPr>
              <w:t>C</w:t>
            </w:r>
            <w:r w:rsidRPr="004B0985">
              <w:rPr>
                <w:szCs w:val="18"/>
              </w:rPr>
              <w:br/>
              <w:t>(wt%)</w:t>
            </w:r>
          </w:p>
        </w:tc>
        <w:tc>
          <w:tcPr>
            <w:tcW w:w="771" w:type="dxa"/>
            <w:tcBorders>
              <w:top w:val="single" w:sz="24" w:space="0" w:color="auto"/>
              <w:left w:val="nil"/>
              <w:bottom w:val="single" w:sz="24" w:space="0" w:color="auto"/>
              <w:right w:val="nil"/>
            </w:tcBorders>
            <w:vAlign w:val="center"/>
          </w:tcPr>
          <w:p w14:paraId="04E47A0F" w14:textId="77777777" w:rsidR="00BC0435" w:rsidRPr="004B0985" w:rsidRDefault="00BC0435" w:rsidP="00BF46E4">
            <w:pPr>
              <w:pStyle w:val="Tablebody"/>
              <w:jc w:val="center"/>
              <w:rPr>
                <w:szCs w:val="18"/>
              </w:rPr>
            </w:pPr>
            <w:r w:rsidRPr="004B0985">
              <w:rPr>
                <w:szCs w:val="18"/>
              </w:rPr>
              <w:t>N</w:t>
            </w:r>
            <w:r w:rsidRPr="004B0985">
              <w:rPr>
                <w:szCs w:val="18"/>
              </w:rPr>
              <w:br/>
              <w:t>(wt%)</w:t>
            </w:r>
          </w:p>
        </w:tc>
        <w:tc>
          <w:tcPr>
            <w:tcW w:w="771" w:type="dxa"/>
            <w:tcBorders>
              <w:top w:val="single" w:sz="24" w:space="0" w:color="auto"/>
              <w:left w:val="nil"/>
              <w:bottom w:val="single" w:sz="24" w:space="0" w:color="auto"/>
              <w:right w:val="nil"/>
            </w:tcBorders>
            <w:vAlign w:val="center"/>
          </w:tcPr>
          <w:p w14:paraId="4C2B4620" w14:textId="77777777" w:rsidR="00BC0435" w:rsidRPr="004B0985" w:rsidRDefault="00BC0435" w:rsidP="00BF46E4">
            <w:pPr>
              <w:pStyle w:val="Tablebody"/>
              <w:jc w:val="center"/>
              <w:rPr>
                <w:szCs w:val="18"/>
              </w:rPr>
            </w:pPr>
            <w:r w:rsidRPr="004B0985">
              <w:rPr>
                <w:szCs w:val="18"/>
              </w:rPr>
              <w:t>O</w:t>
            </w:r>
            <w:r w:rsidRPr="004B0985">
              <w:rPr>
                <w:szCs w:val="18"/>
              </w:rPr>
              <w:br/>
              <w:t>(wt%)</w:t>
            </w:r>
          </w:p>
        </w:tc>
        <w:tc>
          <w:tcPr>
            <w:tcW w:w="771" w:type="dxa"/>
            <w:tcBorders>
              <w:top w:val="single" w:sz="24" w:space="0" w:color="auto"/>
              <w:left w:val="nil"/>
              <w:bottom w:val="single" w:sz="24" w:space="0" w:color="auto"/>
              <w:right w:val="nil"/>
            </w:tcBorders>
            <w:vAlign w:val="center"/>
          </w:tcPr>
          <w:p w14:paraId="332E07B4" w14:textId="77777777" w:rsidR="00BC0435" w:rsidRPr="004B0985" w:rsidRDefault="00BC0435" w:rsidP="00BF46E4">
            <w:pPr>
              <w:pStyle w:val="Tablebody"/>
              <w:jc w:val="center"/>
              <w:rPr>
                <w:szCs w:val="18"/>
              </w:rPr>
            </w:pPr>
            <w:r w:rsidRPr="004B0985">
              <w:rPr>
                <w:szCs w:val="18"/>
              </w:rPr>
              <w:t>Pt</w:t>
            </w:r>
            <w:r w:rsidRPr="004B0985">
              <w:rPr>
                <w:szCs w:val="18"/>
              </w:rPr>
              <w:br/>
              <w:t>(wt%)</w:t>
            </w:r>
          </w:p>
        </w:tc>
        <w:tc>
          <w:tcPr>
            <w:tcW w:w="772" w:type="dxa"/>
            <w:tcBorders>
              <w:top w:val="single" w:sz="24" w:space="0" w:color="auto"/>
              <w:left w:val="nil"/>
              <w:bottom w:val="single" w:sz="24" w:space="0" w:color="auto"/>
              <w:right w:val="nil"/>
            </w:tcBorders>
            <w:vAlign w:val="center"/>
          </w:tcPr>
          <w:p w14:paraId="07EA4236" w14:textId="77777777" w:rsidR="00BC0435" w:rsidRPr="004B0985" w:rsidRDefault="00BC0435" w:rsidP="00BF46E4">
            <w:pPr>
              <w:pStyle w:val="Tablebody"/>
              <w:jc w:val="center"/>
              <w:rPr>
                <w:szCs w:val="18"/>
              </w:rPr>
            </w:pPr>
            <w:r w:rsidRPr="004B0985">
              <w:rPr>
                <w:szCs w:val="18"/>
              </w:rPr>
              <w:t>Ni</w:t>
            </w:r>
            <w:r w:rsidRPr="004B0985">
              <w:rPr>
                <w:szCs w:val="18"/>
              </w:rPr>
              <w:br/>
              <w:t>(wt%)</w:t>
            </w:r>
          </w:p>
        </w:tc>
      </w:tr>
      <w:tr w:rsidR="00BC0435" w14:paraId="1DB83270" w14:textId="77777777" w:rsidTr="00BF46E4">
        <w:tc>
          <w:tcPr>
            <w:tcW w:w="1289" w:type="dxa"/>
            <w:tcBorders>
              <w:top w:val="single" w:sz="24" w:space="0" w:color="auto"/>
              <w:left w:val="nil"/>
              <w:bottom w:val="nil"/>
              <w:right w:val="nil"/>
            </w:tcBorders>
            <w:vAlign w:val="center"/>
          </w:tcPr>
          <w:p w14:paraId="6E906516" w14:textId="77777777" w:rsidR="00BC0435" w:rsidRPr="004B0985" w:rsidRDefault="00BC0435" w:rsidP="00BF46E4">
            <w:pPr>
              <w:pStyle w:val="Tablebody"/>
              <w:jc w:val="center"/>
              <w:rPr>
                <w:szCs w:val="18"/>
              </w:rPr>
            </w:pPr>
            <w:r w:rsidRPr="004B0985">
              <w:rPr>
                <w:szCs w:val="18"/>
              </w:rPr>
              <w:t>Pt/Vul-C</w:t>
            </w:r>
          </w:p>
        </w:tc>
        <w:tc>
          <w:tcPr>
            <w:tcW w:w="771" w:type="dxa"/>
            <w:tcBorders>
              <w:top w:val="nil"/>
              <w:left w:val="nil"/>
              <w:bottom w:val="nil"/>
              <w:right w:val="nil"/>
            </w:tcBorders>
            <w:shd w:val="clear" w:color="auto" w:fill="auto"/>
            <w:vAlign w:val="center"/>
          </w:tcPr>
          <w:p w14:paraId="3482FEEB" w14:textId="77777777" w:rsidR="00BC0435" w:rsidRPr="004B0985" w:rsidRDefault="00BC0435" w:rsidP="00BF46E4">
            <w:pPr>
              <w:pStyle w:val="Tablebody"/>
              <w:jc w:val="center"/>
              <w:rPr>
                <w:szCs w:val="18"/>
              </w:rPr>
            </w:pPr>
            <w:r w:rsidRPr="004B0985">
              <w:rPr>
                <w:szCs w:val="18"/>
              </w:rPr>
              <w:t>90.44</w:t>
            </w:r>
          </w:p>
        </w:tc>
        <w:tc>
          <w:tcPr>
            <w:tcW w:w="771" w:type="dxa"/>
            <w:tcBorders>
              <w:top w:val="nil"/>
              <w:left w:val="nil"/>
              <w:bottom w:val="nil"/>
              <w:right w:val="nil"/>
            </w:tcBorders>
            <w:shd w:val="clear" w:color="auto" w:fill="auto"/>
            <w:vAlign w:val="center"/>
          </w:tcPr>
          <w:p w14:paraId="207A5603" w14:textId="77777777" w:rsidR="00BC0435" w:rsidRPr="004B0985" w:rsidRDefault="00BC0435" w:rsidP="00BF46E4">
            <w:pPr>
              <w:pStyle w:val="Tablebody"/>
              <w:jc w:val="center"/>
              <w:rPr>
                <w:szCs w:val="18"/>
              </w:rPr>
            </w:pPr>
            <w:r w:rsidRPr="004B0985">
              <w:rPr>
                <w:szCs w:val="18"/>
              </w:rPr>
              <w:t>NA</w:t>
            </w:r>
          </w:p>
        </w:tc>
        <w:tc>
          <w:tcPr>
            <w:tcW w:w="771" w:type="dxa"/>
            <w:tcBorders>
              <w:top w:val="nil"/>
              <w:left w:val="nil"/>
              <w:bottom w:val="nil"/>
              <w:right w:val="nil"/>
            </w:tcBorders>
            <w:shd w:val="clear" w:color="auto" w:fill="auto"/>
            <w:vAlign w:val="center"/>
          </w:tcPr>
          <w:p w14:paraId="1042865D" w14:textId="77777777" w:rsidR="00BC0435" w:rsidRPr="004B0985" w:rsidRDefault="00BC0435" w:rsidP="00BF46E4">
            <w:pPr>
              <w:pStyle w:val="Tablebody"/>
              <w:jc w:val="center"/>
              <w:rPr>
                <w:szCs w:val="18"/>
              </w:rPr>
            </w:pPr>
            <w:r w:rsidRPr="004B0985">
              <w:rPr>
                <w:szCs w:val="18"/>
              </w:rPr>
              <w:t>9.27</w:t>
            </w:r>
          </w:p>
        </w:tc>
        <w:tc>
          <w:tcPr>
            <w:tcW w:w="771" w:type="dxa"/>
            <w:tcBorders>
              <w:top w:val="nil"/>
              <w:left w:val="nil"/>
              <w:bottom w:val="nil"/>
              <w:right w:val="nil"/>
            </w:tcBorders>
            <w:shd w:val="clear" w:color="auto" w:fill="auto"/>
            <w:vAlign w:val="center"/>
          </w:tcPr>
          <w:p w14:paraId="63294605" w14:textId="77777777" w:rsidR="00BC0435" w:rsidRPr="004B0985" w:rsidRDefault="00BC0435" w:rsidP="00BF46E4">
            <w:pPr>
              <w:pStyle w:val="Tablebody"/>
              <w:jc w:val="center"/>
              <w:rPr>
                <w:szCs w:val="18"/>
              </w:rPr>
            </w:pPr>
            <w:r w:rsidRPr="004B0985">
              <w:rPr>
                <w:szCs w:val="18"/>
              </w:rPr>
              <w:t>0.29</w:t>
            </w:r>
          </w:p>
        </w:tc>
        <w:tc>
          <w:tcPr>
            <w:tcW w:w="772" w:type="dxa"/>
            <w:tcBorders>
              <w:top w:val="nil"/>
              <w:left w:val="nil"/>
              <w:bottom w:val="nil"/>
              <w:right w:val="nil"/>
            </w:tcBorders>
            <w:shd w:val="clear" w:color="auto" w:fill="auto"/>
            <w:vAlign w:val="center"/>
          </w:tcPr>
          <w:p w14:paraId="41701C69" w14:textId="77777777" w:rsidR="00BC0435" w:rsidRPr="004B0985" w:rsidRDefault="00BC0435" w:rsidP="00BF46E4">
            <w:pPr>
              <w:pStyle w:val="Tablebody"/>
              <w:jc w:val="center"/>
              <w:rPr>
                <w:szCs w:val="18"/>
              </w:rPr>
            </w:pPr>
            <w:r w:rsidRPr="004B0985">
              <w:rPr>
                <w:szCs w:val="18"/>
              </w:rPr>
              <w:t>NA</w:t>
            </w:r>
          </w:p>
        </w:tc>
        <w:tc>
          <w:tcPr>
            <w:tcW w:w="771" w:type="dxa"/>
            <w:tcBorders>
              <w:top w:val="nil"/>
              <w:left w:val="nil"/>
              <w:bottom w:val="nil"/>
              <w:right w:val="nil"/>
            </w:tcBorders>
            <w:shd w:val="clear" w:color="auto" w:fill="auto"/>
            <w:vAlign w:val="center"/>
          </w:tcPr>
          <w:p w14:paraId="04FEC5E2" w14:textId="77777777" w:rsidR="00BC0435" w:rsidRPr="004B0985" w:rsidRDefault="00BC0435" w:rsidP="00BF46E4">
            <w:pPr>
              <w:pStyle w:val="Tablebody"/>
              <w:jc w:val="center"/>
              <w:rPr>
                <w:szCs w:val="18"/>
              </w:rPr>
            </w:pPr>
            <w:r w:rsidRPr="004B0985">
              <w:rPr>
                <w:szCs w:val="18"/>
              </w:rPr>
              <w:t>84.17</w:t>
            </w:r>
          </w:p>
        </w:tc>
        <w:tc>
          <w:tcPr>
            <w:tcW w:w="771" w:type="dxa"/>
            <w:tcBorders>
              <w:top w:val="nil"/>
              <w:left w:val="nil"/>
              <w:bottom w:val="nil"/>
              <w:right w:val="nil"/>
            </w:tcBorders>
            <w:shd w:val="clear" w:color="auto" w:fill="auto"/>
            <w:vAlign w:val="center"/>
          </w:tcPr>
          <w:p w14:paraId="3CFA2B7F" w14:textId="77777777" w:rsidR="00BC0435" w:rsidRPr="004B0985" w:rsidRDefault="00BC0435" w:rsidP="00BF46E4">
            <w:pPr>
              <w:pStyle w:val="Tablebody"/>
              <w:jc w:val="center"/>
              <w:rPr>
                <w:szCs w:val="18"/>
              </w:rPr>
            </w:pPr>
            <w:r>
              <w:rPr>
                <w:rFonts w:hint="eastAsia"/>
                <w:szCs w:val="18"/>
              </w:rPr>
              <w:t>NA</w:t>
            </w:r>
          </w:p>
        </w:tc>
        <w:tc>
          <w:tcPr>
            <w:tcW w:w="771" w:type="dxa"/>
            <w:tcBorders>
              <w:top w:val="nil"/>
              <w:left w:val="nil"/>
              <w:bottom w:val="nil"/>
              <w:right w:val="nil"/>
            </w:tcBorders>
            <w:shd w:val="clear" w:color="auto" w:fill="auto"/>
            <w:vAlign w:val="center"/>
          </w:tcPr>
          <w:p w14:paraId="64636A0C" w14:textId="77777777" w:rsidR="00BC0435" w:rsidRPr="004B0985" w:rsidRDefault="00BC0435" w:rsidP="00BF46E4">
            <w:pPr>
              <w:pStyle w:val="Tablebody"/>
              <w:jc w:val="center"/>
              <w:rPr>
                <w:szCs w:val="18"/>
              </w:rPr>
            </w:pPr>
            <w:r w:rsidRPr="004B0985">
              <w:rPr>
                <w:szCs w:val="18"/>
              </w:rPr>
              <w:t>11.50</w:t>
            </w:r>
          </w:p>
        </w:tc>
        <w:tc>
          <w:tcPr>
            <w:tcW w:w="771" w:type="dxa"/>
            <w:tcBorders>
              <w:top w:val="nil"/>
              <w:left w:val="nil"/>
              <w:bottom w:val="nil"/>
              <w:right w:val="nil"/>
            </w:tcBorders>
            <w:shd w:val="clear" w:color="auto" w:fill="auto"/>
            <w:vAlign w:val="center"/>
          </w:tcPr>
          <w:p w14:paraId="54E83011" w14:textId="77777777" w:rsidR="00BC0435" w:rsidRPr="004B0985" w:rsidRDefault="00BC0435" w:rsidP="00BF46E4">
            <w:pPr>
              <w:pStyle w:val="Tablebody"/>
              <w:jc w:val="center"/>
              <w:rPr>
                <w:szCs w:val="18"/>
              </w:rPr>
            </w:pPr>
            <w:r w:rsidRPr="004B0985">
              <w:rPr>
                <w:szCs w:val="18"/>
              </w:rPr>
              <w:t>4.32</w:t>
            </w:r>
          </w:p>
        </w:tc>
        <w:tc>
          <w:tcPr>
            <w:tcW w:w="772" w:type="dxa"/>
            <w:tcBorders>
              <w:top w:val="nil"/>
              <w:left w:val="nil"/>
              <w:bottom w:val="nil"/>
              <w:right w:val="nil"/>
            </w:tcBorders>
            <w:shd w:val="clear" w:color="auto" w:fill="auto"/>
            <w:vAlign w:val="center"/>
          </w:tcPr>
          <w:p w14:paraId="6A88D09E" w14:textId="77777777" w:rsidR="00BC0435" w:rsidRPr="004B0985" w:rsidRDefault="00BC0435" w:rsidP="00BF46E4">
            <w:pPr>
              <w:pStyle w:val="Tablebody"/>
              <w:jc w:val="center"/>
              <w:rPr>
                <w:szCs w:val="18"/>
              </w:rPr>
            </w:pPr>
            <w:r>
              <w:rPr>
                <w:szCs w:val="18"/>
              </w:rPr>
              <w:t>NA</w:t>
            </w:r>
          </w:p>
        </w:tc>
      </w:tr>
      <w:tr w:rsidR="00BC0435" w14:paraId="11700999" w14:textId="77777777" w:rsidTr="00BF46E4">
        <w:tc>
          <w:tcPr>
            <w:tcW w:w="1289" w:type="dxa"/>
            <w:tcBorders>
              <w:top w:val="nil"/>
              <w:left w:val="nil"/>
              <w:bottom w:val="nil"/>
              <w:right w:val="nil"/>
            </w:tcBorders>
            <w:vAlign w:val="center"/>
          </w:tcPr>
          <w:p w14:paraId="3E73C1E3" w14:textId="77777777" w:rsidR="00BC0435" w:rsidRPr="004B0985" w:rsidRDefault="00BC0435" w:rsidP="00BF46E4">
            <w:pPr>
              <w:pStyle w:val="Tablebody"/>
              <w:jc w:val="center"/>
              <w:rPr>
                <w:szCs w:val="18"/>
              </w:rPr>
            </w:pPr>
            <w:r w:rsidRPr="004B0985">
              <w:rPr>
                <w:szCs w:val="18"/>
              </w:rPr>
              <w:t>Pt/NiNC</w:t>
            </w:r>
          </w:p>
        </w:tc>
        <w:tc>
          <w:tcPr>
            <w:tcW w:w="771" w:type="dxa"/>
            <w:tcBorders>
              <w:top w:val="nil"/>
              <w:left w:val="nil"/>
              <w:bottom w:val="nil"/>
              <w:right w:val="nil"/>
            </w:tcBorders>
            <w:shd w:val="clear" w:color="auto" w:fill="auto"/>
            <w:vAlign w:val="center"/>
          </w:tcPr>
          <w:p w14:paraId="79E1FB13" w14:textId="77777777" w:rsidR="00BC0435" w:rsidRPr="004B0985" w:rsidRDefault="00BC0435" w:rsidP="00BF46E4">
            <w:pPr>
              <w:pStyle w:val="Tablebody"/>
              <w:jc w:val="center"/>
              <w:rPr>
                <w:szCs w:val="18"/>
              </w:rPr>
            </w:pPr>
            <w:r w:rsidRPr="004B0985">
              <w:rPr>
                <w:szCs w:val="18"/>
              </w:rPr>
              <w:t>93.14</w:t>
            </w:r>
          </w:p>
        </w:tc>
        <w:tc>
          <w:tcPr>
            <w:tcW w:w="771" w:type="dxa"/>
            <w:tcBorders>
              <w:top w:val="nil"/>
              <w:left w:val="nil"/>
              <w:bottom w:val="nil"/>
              <w:right w:val="nil"/>
            </w:tcBorders>
            <w:shd w:val="clear" w:color="auto" w:fill="auto"/>
            <w:vAlign w:val="center"/>
          </w:tcPr>
          <w:p w14:paraId="6D6A1165" w14:textId="77777777" w:rsidR="00BC0435" w:rsidRPr="004B0985" w:rsidRDefault="00BC0435" w:rsidP="00BF46E4">
            <w:pPr>
              <w:pStyle w:val="Tablebody"/>
              <w:jc w:val="center"/>
              <w:rPr>
                <w:szCs w:val="18"/>
              </w:rPr>
            </w:pPr>
            <w:r w:rsidRPr="004B0985">
              <w:rPr>
                <w:szCs w:val="18"/>
              </w:rPr>
              <w:t>1.12</w:t>
            </w:r>
          </w:p>
        </w:tc>
        <w:tc>
          <w:tcPr>
            <w:tcW w:w="771" w:type="dxa"/>
            <w:tcBorders>
              <w:top w:val="nil"/>
              <w:left w:val="nil"/>
              <w:bottom w:val="nil"/>
              <w:right w:val="nil"/>
            </w:tcBorders>
            <w:shd w:val="clear" w:color="auto" w:fill="auto"/>
            <w:vAlign w:val="center"/>
          </w:tcPr>
          <w:p w14:paraId="192A3586" w14:textId="77777777" w:rsidR="00BC0435" w:rsidRPr="004B0985" w:rsidRDefault="00BC0435" w:rsidP="00BF46E4">
            <w:pPr>
              <w:pStyle w:val="Tablebody"/>
              <w:jc w:val="center"/>
              <w:rPr>
                <w:szCs w:val="18"/>
              </w:rPr>
            </w:pPr>
            <w:r w:rsidRPr="004B0985">
              <w:rPr>
                <w:szCs w:val="18"/>
              </w:rPr>
              <w:t>5.01</w:t>
            </w:r>
          </w:p>
        </w:tc>
        <w:tc>
          <w:tcPr>
            <w:tcW w:w="771" w:type="dxa"/>
            <w:tcBorders>
              <w:top w:val="nil"/>
              <w:left w:val="nil"/>
              <w:bottom w:val="nil"/>
              <w:right w:val="nil"/>
            </w:tcBorders>
            <w:shd w:val="clear" w:color="auto" w:fill="auto"/>
            <w:vAlign w:val="center"/>
          </w:tcPr>
          <w:p w14:paraId="03540377" w14:textId="77777777" w:rsidR="00BC0435" w:rsidRPr="004B0985" w:rsidRDefault="00BC0435" w:rsidP="00BF46E4">
            <w:pPr>
              <w:pStyle w:val="Tablebody"/>
              <w:jc w:val="center"/>
              <w:rPr>
                <w:szCs w:val="18"/>
              </w:rPr>
            </w:pPr>
            <w:r w:rsidRPr="004B0985">
              <w:rPr>
                <w:szCs w:val="18"/>
              </w:rPr>
              <w:t>0.61</w:t>
            </w:r>
          </w:p>
        </w:tc>
        <w:tc>
          <w:tcPr>
            <w:tcW w:w="772" w:type="dxa"/>
            <w:tcBorders>
              <w:top w:val="nil"/>
              <w:left w:val="nil"/>
              <w:bottom w:val="nil"/>
              <w:right w:val="nil"/>
            </w:tcBorders>
            <w:shd w:val="clear" w:color="auto" w:fill="auto"/>
            <w:vAlign w:val="center"/>
          </w:tcPr>
          <w:p w14:paraId="49159F08" w14:textId="77777777" w:rsidR="00BC0435" w:rsidRPr="004B0985" w:rsidRDefault="00BC0435" w:rsidP="00BF46E4">
            <w:pPr>
              <w:pStyle w:val="Tablebody"/>
              <w:jc w:val="center"/>
              <w:rPr>
                <w:szCs w:val="18"/>
              </w:rPr>
            </w:pPr>
            <w:r w:rsidRPr="004B0985">
              <w:rPr>
                <w:szCs w:val="18"/>
              </w:rPr>
              <w:t>0.12</w:t>
            </w:r>
          </w:p>
        </w:tc>
        <w:tc>
          <w:tcPr>
            <w:tcW w:w="771" w:type="dxa"/>
            <w:tcBorders>
              <w:top w:val="nil"/>
              <w:left w:val="nil"/>
              <w:bottom w:val="nil"/>
              <w:right w:val="nil"/>
            </w:tcBorders>
            <w:shd w:val="clear" w:color="auto" w:fill="auto"/>
            <w:vAlign w:val="center"/>
          </w:tcPr>
          <w:p w14:paraId="5D82D597" w14:textId="77777777" w:rsidR="00BC0435" w:rsidRPr="004B0985" w:rsidRDefault="00BC0435" w:rsidP="00BF46E4">
            <w:pPr>
              <w:pStyle w:val="Tablebody"/>
              <w:jc w:val="center"/>
              <w:rPr>
                <w:szCs w:val="18"/>
              </w:rPr>
            </w:pPr>
            <w:r w:rsidRPr="004B0985">
              <w:rPr>
                <w:szCs w:val="18"/>
              </w:rPr>
              <w:t>83.39</w:t>
            </w:r>
          </w:p>
        </w:tc>
        <w:tc>
          <w:tcPr>
            <w:tcW w:w="771" w:type="dxa"/>
            <w:tcBorders>
              <w:top w:val="nil"/>
              <w:left w:val="nil"/>
              <w:bottom w:val="nil"/>
              <w:right w:val="nil"/>
            </w:tcBorders>
            <w:shd w:val="clear" w:color="auto" w:fill="auto"/>
            <w:vAlign w:val="center"/>
          </w:tcPr>
          <w:p w14:paraId="7F48F0F8" w14:textId="77777777" w:rsidR="00BC0435" w:rsidRPr="004B0985" w:rsidRDefault="00BC0435" w:rsidP="00BF46E4">
            <w:pPr>
              <w:pStyle w:val="Tablebody"/>
              <w:jc w:val="center"/>
              <w:rPr>
                <w:szCs w:val="18"/>
              </w:rPr>
            </w:pPr>
            <w:r w:rsidRPr="004B0985">
              <w:rPr>
                <w:szCs w:val="18"/>
              </w:rPr>
              <w:t>1.17</w:t>
            </w:r>
          </w:p>
        </w:tc>
        <w:tc>
          <w:tcPr>
            <w:tcW w:w="771" w:type="dxa"/>
            <w:tcBorders>
              <w:top w:val="nil"/>
              <w:left w:val="nil"/>
              <w:bottom w:val="nil"/>
              <w:right w:val="nil"/>
            </w:tcBorders>
            <w:shd w:val="clear" w:color="auto" w:fill="auto"/>
            <w:vAlign w:val="center"/>
          </w:tcPr>
          <w:p w14:paraId="2C51689C" w14:textId="77777777" w:rsidR="00BC0435" w:rsidRPr="004B0985" w:rsidRDefault="00BC0435" w:rsidP="00BF46E4">
            <w:pPr>
              <w:pStyle w:val="Tablebody"/>
              <w:jc w:val="center"/>
              <w:rPr>
                <w:szCs w:val="18"/>
              </w:rPr>
            </w:pPr>
            <w:r w:rsidRPr="004B0985">
              <w:rPr>
                <w:szCs w:val="18"/>
              </w:rPr>
              <w:t>5.98</w:t>
            </w:r>
          </w:p>
        </w:tc>
        <w:tc>
          <w:tcPr>
            <w:tcW w:w="771" w:type="dxa"/>
            <w:tcBorders>
              <w:top w:val="nil"/>
              <w:left w:val="nil"/>
              <w:bottom w:val="nil"/>
              <w:right w:val="nil"/>
            </w:tcBorders>
            <w:shd w:val="clear" w:color="auto" w:fill="auto"/>
            <w:vAlign w:val="center"/>
          </w:tcPr>
          <w:p w14:paraId="4A26EEBB" w14:textId="77777777" w:rsidR="00BC0435" w:rsidRPr="004B0985" w:rsidRDefault="00BC0435" w:rsidP="00BF46E4">
            <w:pPr>
              <w:pStyle w:val="Tablebody"/>
              <w:jc w:val="center"/>
              <w:rPr>
                <w:szCs w:val="18"/>
              </w:rPr>
            </w:pPr>
            <w:r w:rsidRPr="004B0985">
              <w:rPr>
                <w:szCs w:val="18"/>
              </w:rPr>
              <w:t>8.94</w:t>
            </w:r>
          </w:p>
        </w:tc>
        <w:tc>
          <w:tcPr>
            <w:tcW w:w="772" w:type="dxa"/>
            <w:tcBorders>
              <w:top w:val="nil"/>
              <w:left w:val="nil"/>
              <w:bottom w:val="nil"/>
              <w:right w:val="nil"/>
            </w:tcBorders>
            <w:shd w:val="clear" w:color="auto" w:fill="auto"/>
            <w:vAlign w:val="center"/>
          </w:tcPr>
          <w:p w14:paraId="52A14F67" w14:textId="77777777" w:rsidR="00BC0435" w:rsidRPr="004B0985" w:rsidRDefault="00BC0435" w:rsidP="00BF46E4">
            <w:pPr>
              <w:pStyle w:val="Tablebody"/>
              <w:jc w:val="center"/>
              <w:rPr>
                <w:szCs w:val="18"/>
              </w:rPr>
            </w:pPr>
            <w:r w:rsidRPr="004B0985">
              <w:rPr>
                <w:szCs w:val="18"/>
              </w:rPr>
              <w:t>0.53</w:t>
            </w:r>
          </w:p>
        </w:tc>
      </w:tr>
      <w:tr w:rsidR="00BC0435" w14:paraId="02F38DCD" w14:textId="77777777" w:rsidTr="00BF46E4">
        <w:tc>
          <w:tcPr>
            <w:tcW w:w="1289" w:type="dxa"/>
            <w:tcBorders>
              <w:top w:val="nil"/>
              <w:left w:val="nil"/>
              <w:bottom w:val="nil"/>
              <w:right w:val="nil"/>
            </w:tcBorders>
            <w:vAlign w:val="center"/>
          </w:tcPr>
          <w:p w14:paraId="122CEAA2" w14:textId="77777777" w:rsidR="00BC0435" w:rsidRPr="004B0985" w:rsidRDefault="00BC0435" w:rsidP="00BF46E4">
            <w:pPr>
              <w:pStyle w:val="Tablebody"/>
              <w:jc w:val="center"/>
              <w:rPr>
                <w:szCs w:val="18"/>
              </w:rPr>
            </w:pPr>
            <w:r w:rsidRPr="004B0985">
              <w:rPr>
                <w:szCs w:val="18"/>
              </w:rPr>
              <w:t>AT = 1 h</w:t>
            </w:r>
          </w:p>
        </w:tc>
        <w:tc>
          <w:tcPr>
            <w:tcW w:w="771" w:type="dxa"/>
            <w:tcBorders>
              <w:top w:val="nil"/>
              <w:left w:val="nil"/>
              <w:bottom w:val="nil"/>
              <w:right w:val="nil"/>
            </w:tcBorders>
            <w:shd w:val="clear" w:color="auto" w:fill="auto"/>
            <w:vAlign w:val="center"/>
          </w:tcPr>
          <w:p w14:paraId="6031F73B" w14:textId="77777777" w:rsidR="00BC0435" w:rsidRPr="004B0985" w:rsidRDefault="00BC0435" w:rsidP="00BF46E4">
            <w:pPr>
              <w:pStyle w:val="Tablebody"/>
              <w:jc w:val="center"/>
              <w:rPr>
                <w:szCs w:val="18"/>
              </w:rPr>
            </w:pPr>
            <w:r w:rsidRPr="004B0985">
              <w:rPr>
                <w:szCs w:val="18"/>
              </w:rPr>
              <w:t>90.26</w:t>
            </w:r>
          </w:p>
        </w:tc>
        <w:tc>
          <w:tcPr>
            <w:tcW w:w="771" w:type="dxa"/>
            <w:tcBorders>
              <w:top w:val="nil"/>
              <w:left w:val="nil"/>
              <w:bottom w:val="nil"/>
              <w:right w:val="nil"/>
            </w:tcBorders>
            <w:shd w:val="clear" w:color="auto" w:fill="auto"/>
            <w:vAlign w:val="center"/>
          </w:tcPr>
          <w:p w14:paraId="77E67CFB" w14:textId="77777777" w:rsidR="00BC0435" w:rsidRPr="004B0985" w:rsidRDefault="00BC0435" w:rsidP="00BF46E4">
            <w:pPr>
              <w:pStyle w:val="Tablebody"/>
              <w:jc w:val="center"/>
              <w:rPr>
                <w:szCs w:val="18"/>
              </w:rPr>
            </w:pPr>
            <w:r w:rsidRPr="004B0985">
              <w:rPr>
                <w:szCs w:val="18"/>
              </w:rPr>
              <w:t xml:space="preserve">0.54 </w:t>
            </w:r>
            <w:r w:rsidRPr="004B0985">
              <w:rPr>
                <w:rFonts w:cs="Arial"/>
                <w:szCs w:val="18"/>
              </w:rPr>
              <w:t>↓</w:t>
            </w:r>
          </w:p>
        </w:tc>
        <w:tc>
          <w:tcPr>
            <w:tcW w:w="771" w:type="dxa"/>
            <w:tcBorders>
              <w:top w:val="nil"/>
              <w:left w:val="nil"/>
              <w:bottom w:val="nil"/>
              <w:right w:val="nil"/>
            </w:tcBorders>
            <w:shd w:val="clear" w:color="auto" w:fill="auto"/>
            <w:vAlign w:val="center"/>
          </w:tcPr>
          <w:p w14:paraId="60558E43" w14:textId="77777777" w:rsidR="00BC0435" w:rsidRPr="004B0985" w:rsidRDefault="00BC0435" w:rsidP="00BF46E4">
            <w:pPr>
              <w:pStyle w:val="Tablebody"/>
              <w:jc w:val="center"/>
              <w:rPr>
                <w:szCs w:val="18"/>
              </w:rPr>
            </w:pPr>
            <w:r w:rsidRPr="004B0985">
              <w:rPr>
                <w:szCs w:val="18"/>
              </w:rPr>
              <w:t>8.79</w:t>
            </w:r>
          </w:p>
        </w:tc>
        <w:tc>
          <w:tcPr>
            <w:tcW w:w="771" w:type="dxa"/>
            <w:tcBorders>
              <w:top w:val="nil"/>
              <w:left w:val="nil"/>
              <w:bottom w:val="nil"/>
              <w:right w:val="nil"/>
            </w:tcBorders>
            <w:shd w:val="clear" w:color="auto" w:fill="auto"/>
            <w:vAlign w:val="center"/>
          </w:tcPr>
          <w:p w14:paraId="4D3F7B87" w14:textId="77777777" w:rsidR="00BC0435" w:rsidRPr="004B0985" w:rsidRDefault="00BC0435" w:rsidP="00BF46E4">
            <w:pPr>
              <w:pStyle w:val="Tablebody"/>
              <w:jc w:val="center"/>
              <w:rPr>
                <w:szCs w:val="18"/>
              </w:rPr>
            </w:pPr>
            <w:r w:rsidRPr="004B0985">
              <w:rPr>
                <w:szCs w:val="18"/>
              </w:rPr>
              <w:t>0.27</w:t>
            </w:r>
          </w:p>
        </w:tc>
        <w:tc>
          <w:tcPr>
            <w:tcW w:w="772" w:type="dxa"/>
            <w:tcBorders>
              <w:top w:val="nil"/>
              <w:left w:val="nil"/>
              <w:bottom w:val="nil"/>
              <w:right w:val="nil"/>
            </w:tcBorders>
            <w:shd w:val="clear" w:color="auto" w:fill="auto"/>
            <w:vAlign w:val="center"/>
          </w:tcPr>
          <w:p w14:paraId="1772C60F" w14:textId="77777777" w:rsidR="00BC0435" w:rsidRPr="004B0985" w:rsidRDefault="00BC0435" w:rsidP="00BF46E4">
            <w:pPr>
              <w:pStyle w:val="Tablebody"/>
              <w:jc w:val="center"/>
              <w:rPr>
                <w:szCs w:val="18"/>
              </w:rPr>
            </w:pPr>
            <w:r w:rsidRPr="004B0985">
              <w:rPr>
                <w:szCs w:val="18"/>
              </w:rPr>
              <w:t>0.14</w:t>
            </w:r>
          </w:p>
        </w:tc>
        <w:tc>
          <w:tcPr>
            <w:tcW w:w="771" w:type="dxa"/>
            <w:tcBorders>
              <w:top w:val="nil"/>
              <w:left w:val="nil"/>
              <w:bottom w:val="nil"/>
              <w:right w:val="nil"/>
            </w:tcBorders>
            <w:shd w:val="clear" w:color="auto" w:fill="auto"/>
            <w:vAlign w:val="center"/>
          </w:tcPr>
          <w:p w14:paraId="2924E306" w14:textId="77777777" w:rsidR="00BC0435" w:rsidRPr="004B0985" w:rsidRDefault="00BC0435" w:rsidP="00BF46E4">
            <w:pPr>
              <w:pStyle w:val="Tablebody"/>
              <w:jc w:val="center"/>
              <w:rPr>
                <w:szCs w:val="18"/>
              </w:rPr>
            </w:pPr>
            <w:r w:rsidRPr="004B0985">
              <w:rPr>
                <w:szCs w:val="18"/>
              </w:rPr>
              <w:t>83.83</w:t>
            </w:r>
          </w:p>
        </w:tc>
        <w:tc>
          <w:tcPr>
            <w:tcW w:w="771" w:type="dxa"/>
            <w:tcBorders>
              <w:top w:val="nil"/>
              <w:left w:val="nil"/>
              <w:bottom w:val="nil"/>
              <w:right w:val="nil"/>
            </w:tcBorders>
            <w:shd w:val="clear" w:color="auto" w:fill="auto"/>
            <w:vAlign w:val="center"/>
          </w:tcPr>
          <w:p w14:paraId="07263227" w14:textId="77777777" w:rsidR="00BC0435" w:rsidRPr="004B0985" w:rsidRDefault="00BC0435" w:rsidP="00BF46E4">
            <w:pPr>
              <w:pStyle w:val="Tablebody"/>
              <w:jc w:val="center"/>
              <w:rPr>
                <w:szCs w:val="18"/>
              </w:rPr>
            </w:pPr>
            <w:r w:rsidRPr="004B0985">
              <w:rPr>
                <w:szCs w:val="18"/>
              </w:rPr>
              <w:t>0.59</w:t>
            </w:r>
          </w:p>
        </w:tc>
        <w:tc>
          <w:tcPr>
            <w:tcW w:w="771" w:type="dxa"/>
            <w:tcBorders>
              <w:top w:val="nil"/>
              <w:left w:val="nil"/>
              <w:bottom w:val="nil"/>
              <w:right w:val="nil"/>
            </w:tcBorders>
            <w:shd w:val="clear" w:color="auto" w:fill="auto"/>
            <w:vAlign w:val="center"/>
          </w:tcPr>
          <w:p w14:paraId="5F5EB4E5" w14:textId="77777777" w:rsidR="00BC0435" w:rsidRPr="004B0985" w:rsidRDefault="00BC0435" w:rsidP="00BF46E4">
            <w:pPr>
              <w:pStyle w:val="Tablebody"/>
              <w:jc w:val="center"/>
              <w:rPr>
                <w:szCs w:val="18"/>
              </w:rPr>
            </w:pPr>
            <w:r w:rsidRPr="004B0985">
              <w:rPr>
                <w:szCs w:val="18"/>
              </w:rPr>
              <w:t>10.89</w:t>
            </w:r>
          </w:p>
        </w:tc>
        <w:tc>
          <w:tcPr>
            <w:tcW w:w="771" w:type="dxa"/>
            <w:tcBorders>
              <w:top w:val="nil"/>
              <w:left w:val="nil"/>
              <w:bottom w:val="nil"/>
              <w:right w:val="nil"/>
            </w:tcBorders>
            <w:shd w:val="clear" w:color="auto" w:fill="auto"/>
            <w:vAlign w:val="center"/>
          </w:tcPr>
          <w:p w14:paraId="4F4E8DE8" w14:textId="77777777" w:rsidR="00BC0435" w:rsidRPr="004B0985" w:rsidRDefault="00BC0435" w:rsidP="00BF46E4">
            <w:pPr>
              <w:pStyle w:val="Tablebody"/>
              <w:jc w:val="center"/>
              <w:rPr>
                <w:szCs w:val="18"/>
              </w:rPr>
            </w:pPr>
            <w:r w:rsidRPr="004B0985">
              <w:rPr>
                <w:szCs w:val="18"/>
              </w:rPr>
              <w:t>4.07</w:t>
            </w:r>
          </w:p>
        </w:tc>
        <w:tc>
          <w:tcPr>
            <w:tcW w:w="772" w:type="dxa"/>
            <w:tcBorders>
              <w:top w:val="nil"/>
              <w:left w:val="nil"/>
              <w:bottom w:val="nil"/>
              <w:right w:val="nil"/>
            </w:tcBorders>
            <w:shd w:val="clear" w:color="auto" w:fill="auto"/>
            <w:vAlign w:val="center"/>
          </w:tcPr>
          <w:p w14:paraId="13A6D985" w14:textId="77777777" w:rsidR="00BC0435" w:rsidRPr="004B0985" w:rsidRDefault="00BC0435" w:rsidP="00BF46E4">
            <w:pPr>
              <w:pStyle w:val="Tablebody"/>
              <w:jc w:val="center"/>
              <w:rPr>
                <w:szCs w:val="18"/>
              </w:rPr>
            </w:pPr>
            <w:r w:rsidRPr="004B0985">
              <w:rPr>
                <w:szCs w:val="18"/>
              </w:rPr>
              <w:t>0.62</w:t>
            </w:r>
          </w:p>
        </w:tc>
      </w:tr>
      <w:tr w:rsidR="00BC0435" w14:paraId="534BD760" w14:textId="77777777" w:rsidTr="00BF46E4">
        <w:tc>
          <w:tcPr>
            <w:tcW w:w="1289" w:type="dxa"/>
            <w:tcBorders>
              <w:top w:val="nil"/>
              <w:left w:val="nil"/>
              <w:bottom w:val="nil"/>
              <w:right w:val="nil"/>
            </w:tcBorders>
            <w:vAlign w:val="center"/>
          </w:tcPr>
          <w:p w14:paraId="549393B7" w14:textId="77777777" w:rsidR="00BC0435" w:rsidRPr="004B0985" w:rsidRDefault="00BC0435" w:rsidP="00BF46E4">
            <w:pPr>
              <w:pStyle w:val="Tablebody"/>
              <w:jc w:val="center"/>
              <w:rPr>
                <w:szCs w:val="18"/>
              </w:rPr>
            </w:pPr>
            <w:r w:rsidRPr="004B0985">
              <w:rPr>
                <w:szCs w:val="18"/>
              </w:rPr>
              <w:lastRenderedPageBreak/>
              <w:t>AT = 3 h</w:t>
            </w:r>
          </w:p>
        </w:tc>
        <w:tc>
          <w:tcPr>
            <w:tcW w:w="771" w:type="dxa"/>
            <w:tcBorders>
              <w:top w:val="nil"/>
              <w:left w:val="nil"/>
              <w:bottom w:val="nil"/>
              <w:right w:val="nil"/>
            </w:tcBorders>
            <w:shd w:val="clear" w:color="auto" w:fill="auto"/>
            <w:vAlign w:val="center"/>
          </w:tcPr>
          <w:p w14:paraId="3C96ADB2" w14:textId="77777777" w:rsidR="00BC0435" w:rsidRPr="004B0985" w:rsidRDefault="00BC0435" w:rsidP="00BF46E4">
            <w:pPr>
              <w:pStyle w:val="Tablebody"/>
              <w:jc w:val="center"/>
              <w:rPr>
                <w:szCs w:val="18"/>
              </w:rPr>
            </w:pPr>
            <w:r w:rsidRPr="004B0985">
              <w:rPr>
                <w:szCs w:val="18"/>
              </w:rPr>
              <w:t>88.39</w:t>
            </w:r>
          </w:p>
        </w:tc>
        <w:tc>
          <w:tcPr>
            <w:tcW w:w="771" w:type="dxa"/>
            <w:tcBorders>
              <w:top w:val="nil"/>
              <w:left w:val="nil"/>
              <w:bottom w:val="nil"/>
              <w:right w:val="nil"/>
            </w:tcBorders>
            <w:shd w:val="clear" w:color="auto" w:fill="auto"/>
            <w:vAlign w:val="center"/>
          </w:tcPr>
          <w:p w14:paraId="7B926AD0" w14:textId="77777777" w:rsidR="00BC0435" w:rsidRPr="004B0985" w:rsidRDefault="00BC0435" w:rsidP="00BF46E4">
            <w:pPr>
              <w:pStyle w:val="Tablebody"/>
              <w:jc w:val="center"/>
              <w:rPr>
                <w:szCs w:val="18"/>
              </w:rPr>
            </w:pPr>
            <w:r w:rsidRPr="004B0985">
              <w:rPr>
                <w:szCs w:val="18"/>
              </w:rPr>
              <w:t xml:space="preserve">0.40 </w:t>
            </w:r>
            <w:r w:rsidRPr="004B0985">
              <w:rPr>
                <w:rFonts w:cs="Arial"/>
                <w:szCs w:val="18"/>
              </w:rPr>
              <w:t>↓</w:t>
            </w:r>
          </w:p>
        </w:tc>
        <w:tc>
          <w:tcPr>
            <w:tcW w:w="771" w:type="dxa"/>
            <w:tcBorders>
              <w:top w:val="nil"/>
              <w:left w:val="nil"/>
              <w:bottom w:val="nil"/>
              <w:right w:val="nil"/>
            </w:tcBorders>
            <w:shd w:val="clear" w:color="auto" w:fill="auto"/>
            <w:vAlign w:val="center"/>
          </w:tcPr>
          <w:p w14:paraId="3B18B602" w14:textId="77777777" w:rsidR="00BC0435" w:rsidRPr="004B0985" w:rsidRDefault="00BC0435" w:rsidP="00BF46E4">
            <w:pPr>
              <w:pStyle w:val="Tablebody"/>
              <w:jc w:val="center"/>
              <w:rPr>
                <w:szCs w:val="18"/>
              </w:rPr>
            </w:pPr>
            <w:r w:rsidRPr="004B0985">
              <w:rPr>
                <w:szCs w:val="18"/>
              </w:rPr>
              <w:t>10.90</w:t>
            </w:r>
          </w:p>
        </w:tc>
        <w:tc>
          <w:tcPr>
            <w:tcW w:w="771" w:type="dxa"/>
            <w:tcBorders>
              <w:top w:val="nil"/>
              <w:left w:val="nil"/>
              <w:bottom w:val="nil"/>
              <w:right w:val="nil"/>
            </w:tcBorders>
            <w:shd w:val="clear" w:color="auto" w:fill="auto"/>
            <w:vAlign w:val="center"/>
          </w:tcPr>
          <w:p w14:paraId="3E0B3BB9" w14:textId="77777777" w:rsidR="00BC0435" w:rsidRPr="004B0985" w:rsidRDefault="00BC0435" w:rsidP="00BF46E4">
            <w:pPr>
              <w:pStyle w:val="Tablebody"/>
              <w:jc w:val="center"/>
              <w:rPr>
                <w:szCs w:val="18"/>
              </w:rPr>
            </w:pPr>
            <w:r w:rsidRPr="004B0985">
              <w:rPr>
                <w:szCs w:val="18"/>
              </w:rPr>
              <w:t>0.17</w:t>
            </w:r>
          </w:p>
        </w:tc>
        <w:tc>
          <w:tcPr>
            <w:tcW w:w="772" w:type="dxa"/>
            <w:tcBorders>
              <w:top w:val="nil"/>
              <w:left w:val="nil"/>
              <w:bottom w:val="nil"/>
              <w:right w:val="nil"/>
            </w:tcBorders>
            <w:shd w:val="clear" w:color="auto" w:fill="auto"/>
            <w:vAlign w:val="center"/>
          </w:tcPr>
          <w:p w14:paraId="4FFF0F9C" w14:textId="77777777" w:rsidR="00BC0435" w:rsidRPr="004B0985" w:rsidRDefault="00BC0435" w:rsidP="00BF46E4">
            <w:pPr>
              <w:pStyle w:val="Tablebody"/>
              <w:jc w:val="center"/>
              <w:rPr>
                <w:szCs w:val="18"/>
              </w:rPr>
            </w:pPr>
            <w:r w:rsidRPr="004B0985">
              <w:rPr>
                <w:szCs w:val="18"/>
              </w:rPr>
              <w:t>0.13</w:t>
            </w:r>
          </w:p>
        </w:tc>
        <w:tc>
          <w:tcPr>
            <w:tcW w:w="771" w:type="dxa"/>
            <w:tcBorders>
              <w:top w:val="nil"/>
              <w:left w:val="nil"/>
              <w:bottom w:val="nil"/>
              <w:right w:val="nil"/>
            </w:tcBorders>
            <w:shd w:val="clear" w:color="auto" w:fill="auto"/>
            <w:vAlign w:val="center"/>
          </w:tcPr>
          <w:p w14:paraId="0706A0A1" w14:textId="77777777" w:rsidR="00BC0435" w:rsidRPr="004B0985" w:rsidRDefault="00BC0435" w:rsidP="00BF46E4">
            <w:pPr>
              <w:pStyle w:val="Tablebody"/>
              <w:jc w:val="center"/>
              <w:rPr>
                <w:szCs w:val="18"/>
              </w:rPr>
            </w:pPr>
            <w:r w:rsidRPr="004B0985">
              <w:rPr>
                <w:szCs w:val="18"/>
              </w:rPr>
              <w:t>82.74</w:t>
            </w:r>
          </w:p>
        </w:tc>
        <w:tc>
          <w:tcPr>
            <w:tcW w:w="771" w:type="dxa"/>
            <w:tcBorders>
              <w:top w:val="nil"/>
              <w:left w:val="nil"/>
              <w:bottom w:val="nil"/>
              <w:right w:val="nil"/>
            </w:tcBorders>
            <w:shd w:val="clear" w:color="auto" w:fill="auto"/>
            <w:vAlign w:val="center"/>
          </w:tcPr>
          <w:p w14:paraId="244CE282" w14:textId="77777777" w:rsidR="00BC0435" w:rsidRPr="004B0985" w:rsidRDefault="00BC0435" w:rsidP="00BF46E4">
            <w:pPr>
              <w:pStyle w:val="Tablebody"/>
              <w:jc w:val="center"/>
              <w:rPr>
                <w:szCs w:val="18"/>
              </w:rPr>
            </w:pPr>
            <w:r w:rsidRPr="004B0985">
              <w:rPr>
                <w:szCs w:val="18"/>
              </w:rPr>
              <w:t>0.44</w:t>
            </w:r>
          </w:p>
        </w:tc>
        <w:tc>
          <w:tcPr>
            <w:tcW w:w="771" w:type="dxa"/>
            <w:tcBorders>
              <w:top w:val="nil"/>
              <w:left w:val="nil"/>
              <w:bottom w:val="nil"/>
              <w:right w:val="nil"/>
            </w:tcBorders>
            <w:shd w:val="clear" w:color="auto" w:fill="auto"/>
            <w:vAlign w:val="center"/>
          </w:tcPr>
          <w:p w14:paraId="349A5A89" w14:textId="77777777" w:rsidR="00BC0435" w:rsidRPr="004B0985" w:rsidRDefault="00BC0435" w:rsidP="00BF46E4">
            <w:pPr>
              <w:pStyle w:val="Tablebody"/>
              <w:jc w:val="center"/>
              <w:rPr>
                <w:szCs w:val="18"/>
              </w:rPr>
            </w:pPr>
            <w:r w:rsidRPr="004B0985">
              <w:rPr>
                <w:szCs w:val="18"/>
              </w:rPr>
              <w:t>13.60</w:t>
            </w:r>
          </w:p>
        </w:tc>
        <w:tc>
          <w:tcPr>
            <w:tcW w:w="771" w:type="dxa"/>
            <w:tcBorders>
              <w:top w:val="nil"/>
              <w:left w:val="nil"/>
              <w:bottom w:val="nil"/>
              <w:right w:val="nil"/>
            </w:tcBorders>
            <w:shd w:val="clear" w:color="auto" w:fill="auto"/>
            <w:vAlign w:val="center"/>
          </w:tcPr>
          <w:p w14:paraId="20901449" w14:textId="77777777" w:rsidR="00BC0435" w:rsidRPr="004B0985" w:rsidRDefault="00BC0435" w:rsidP="00BF46E4">
            <w:pPr>
              <w:pStyle w:val="Tablebody"/>
              <w:jc w:val="center"/>
              <w:rPr>
                <w:szCs w:val="18"/>
              </w:rPr>
            </w:pPr>
            <w:r w:rsidRPr="004B0985">
              <w:rPr>
                <w:szCs w:val="18"/>
              </w:rPr>
              <w:t>2.63</w:t>
            </w:r>
          </w:p>
        </w:tc>
        <w:tc>
          <w:tcPr>
            <w:tcW w:w="772" w:type="dxa"/>
            <w:tcBorders>
              <w:top w:val="nil"/>
              <w:left w:val="nil"/>
              <w:bottom w:val="nil"/>
              <w:right w:val="nil"/>
            </w:tcBorders>
            <w:shd w:val="clear" w:color="auto" w:fill="auto"/>
            <w:vAlign w:val="center"/>
          </w:tcPr>
          <w:p w14:paraId="5266F82E" w14:textId="77777777" w:rsidR="00BC0435" w:rsidRPr="004B0985" w:rsidRDefault="00BC0435" w:rsidP="00BF46E4">
            <w:pPr>
              <w:pStyle w:val="Tablebody"/>
              <w:jc w:val="center"/>
              <w:rPr>
                <w:szCs w:val="18"/>
              </w:rPr>
            </w:pPr>
            <w:r w:rsidRPr="004B0985">
              <w:rPr>
                <w:szCs w:val="18"/>
              </w:rPr>
              <w:t>0.59</w:t>
            </w:r>
          </w:p>
        </w:tc>
      </w:tr>
      <w:tr w:rsidR="00BC0435" w14:paraId="46B234E6" w14:textId="77777777" w:rsidTr="00BF46E4">
        <w:tc>
          <w:tcPr>
            <w:tcW w:w="1289" w:type="dxa"/>
            <w:tcBorders>
              <w:top w:val="nil"/>
              <w:left w:val="nil"/>
              <w:bottom w:val="single" w:sz="24" w:space="0" w:color="auto"/>
              <w:right w:val="nil"/>
            </w:tcBorders>
            <w:vAlign w:val="center"/>
          </w:tcPr>
          <w:p w14:paraId="1F924F79" w14:textId="77777777" w:rsidR="00BC0435" w:rsidRPr="004B0985" w:rsidRDefault="00BC0435" w:rsidP="00BF46E4">
            <w:pPr>
              <w:pStyle w:val="Tablebody"/>
              <w:jc w:val="center"/>
              <w:rPr>
                <w:szCs w:val="18"/>
              </w:rPr>
            </w:pPr>
            <w:r w:rsidRPr="004B0985">
              <w:rPr>
                <w:szCs w:val="18"/>
              </w:rPr>
              <w:t>PtNi</w:t>
            </w:r>
            <w:r w:rsidRPr="004B0985">
              <w:rPr>
                <w:szCs w:val="18"/>
                <w:vertAlign w:val="subscript"/>
              </w:rPr>
              <w:t>x</w:t>
            </w:r>
            <w:r w:rsidRPr="004B0985">
              <w:rPr>
                <w:szCs w:val="18"/>
              </w:rPr>
              <w:t>/NiNC</w:t>
            </w:r>
          </w:p>
        </w:tc>
        <w:tc>
          <w:tcPr>
            <w:tcW w:w="771" w:type="dxa"/>
            <w:tcBorders>
              <w:top w:val="nil"/>
              <w:left w:val="nil"/>
              <w:bottom w:val="single" w:sz="24" w:space="0" w:color="auto"/>
              <w:right w:val="nil"/>
            </w:tcBorders>
            <w:shd w:val="clear" w:color="auto" w:fill="auto"/>
            <w:vAlign w:val="center"/>
          </w:tcPr>
          <w:p w14:paraId="4AFFA761" w14:textId="77777777" w:rsidR="00BC0435" w:rsidRPr="004B0985" w:rsidRDefault="00BC0435" w:rsidP="00BF46E4">
            <w:pPr>
              <w:pStyle w:val="Tablebody"/>
              <w:jc w:val="center"/>
              <w:rPr>
                <w:szCs w:val="18"/>
              </w:rPr>
            </w:pPr>
            <w:r w:rsidRPr="004B0985">
              <w:rPr>
                <w:szCs w:val="18"/>
              </w:rPr>
              <w:t>91.18</w:t>
            </w:r>
          </w:p>
        </w:tc>
        <w:tc>
          <w:tcPr>
            <w:tcW w:w="771" w:type="dxa"/>
            <w:tcBorders>
              <w:top w:val="nil"/>
              <w:left w:val="nil"/>
              <w:bottom w:val="single" w:sz="24" w:space="0" w:color="auto"/>
              <w:right w:val="nil"/>
            </w:tcBorders>
            <w:shd w:val="clear" w:color="auto" w:fill="auto"/>
            <w:vAlign w:val="center"/>
          </w:tcPr>
          <w:p w14:paraId="4CC50696" w14:textId="77777777" w:rsidR="00BC0435" w:rsidRPr="004B0985" w:rsidRDefault="00BC0435" w:rsidP="00BF46E4">
            <w:pPr>
              <w:pStyle w:val="Tablebody"/>
              <w:jc w:val="center"/>
              <w:rPr>
                <w:szCs w:val="18"/>
              </w:rPr>
            </w:pPr>
            <w:r w:rsidRPr="004B0985">
              <w:rPr>
                <w:szCs w:val="18"/>
              </w:rPr>
              <w:t xml:space="preserve">0.44 </w:t>
            </w:r>
            <w:r w:rsidRPr="004B0985">
              <w:rPr>
                <w:rFonts w:cs="Arial"/>
                <w:szCs w:val="18"/>
              </w:rPr>
              <w:t>↓</w:t>
            </w:r>
          </w:p>
        </w:tc>
        <w:tc>
          <w:tcPr>
            <w:tcW w:w="771" w:type="dxa"/>
            <w:tcBorders>
              <w:top w:val="nil"/>
              <w:left w:val="nil"/>
              <w:bottom w:val="single" w:sz="24" w:space="0" w:color="auto"/>
              <w:right w:val="nil"/>
            </w:tcBorders>
            <w:shd w:val="clear" w:color="auto" w:fill="auto"/>
            <w:vAlign w:val="center"/>
          </w:tcPr>
          <w:p w14:paraId="3D9A73DF" w14:textId="77777777" w:rsidR="00BC0435" w:rsidRPr="004B0985" w:rsidRDefault="00BC0435" w:rsidP="00BF46E4">
            <w:pPr>
              <w:pStyle w:val="Tablebody"/>
              <w:jc w:val="center"/>
              <w:rPr>
                <w:szCs w:val="18"/>
              </w:rPr>
            </w:pPr>
            <w:r w:rsidRPr="004B0985">
              <w:rPr>
                <w:szCs w:val="18"/>
              </w:rPr>
              <w:t>7.95</w:t>
            </w:r>
          </w:p>
        </w:tc>
        <w:tc>
          <w:tcPr>
            <w:tcW w:w="771" w:type="dxa"/>
            <w:tcBorders>
              <w:top w:val="nil"/>
              <w:left w:val="nil"/>
              <w:bottom w:val="single" w:sz="24" w:space="0" w:color="auto"/>
              <w:right w:val="nil"/>
            </w:tcBorders>
            <w:shd w:val="clear" w:color="auto" w:fill="auto"/>
            <w:vAlign w:val="center"/>
          </w:tcPr>
          <w:p w14:paraId="695C0182" w14:textId="77777777" w:rsidR="00BC0435" w:rsidRPr="004B0985" w:rsidRDefault="00BC0435" w:rsidP="00BF46E4">
            <w:pPr>
              <w:pStyle w:val="Tablebody"/>
              <w:jc w:val="center"/>
              <w:rPr>
                <w:szCs w:val="18"/>
              </w:rPr>
            </w:pPr>
            <w:r w:rsidRPr="004B0985">
              <w:rPr>
                <w:szCs w:val="18"/>
              </w:rPr>
              <w:t>0.25</w:t>
            </w:r>
          </w:p>
        </w:tc>
        <w:tc>
          <w:tcPr>
            <w:tcW w:w="772" w:type="dxa"/>
            <w:tcBorders>
              <w:top w:val="nil"/>
              <w:left w:val="nil"/>
              <w:bottom w:val="single" w:sz="24" w:space="0" w:color="auto"/>
              <w:right w:val="nil"/>
            </w:tcBorders>
            <w:shd w:val="clear" w:color="auto" w:fill="auto"/>
            <w:vAlign w:val="center"/>
          </w:tcPr>
          <w:p w14:paraId="09B2CDB8" w14:textId="77777777" w:rsidR="00BC0435" w:rsidRPr="004B0985" w:rsidRDefault="00BC0435" w:rsidP="00BF46E4">
            <w:pPr>
              <w:pStyle w:val="Tablebody"/>
              <w:jc w:val="center"/>
              <w:rPr>
                <w:szCs w:val="18"/>
              </w:rPr>
            </w:pPr>
            <w:r w:rsidRPr="004B0985">
              <w:rPr>
                <w:szCs w:val="18"/>
              </w:rPr>
              <w:t>0.19</w:t>
            </w:r>
          </w:p>
        </w:tc>
        <w:tc>
          <w:tcPr>
            <w:tcW w:w="771" w:type="dxa"/>
            <w:tcBorders>
              <w:top w:val="nil"/>
              <w:left w:val="nil"/>
              <w:bottom w:val="single" w:sz="24" w:space="0" w:color="auto"/>
              <w:right w:val="nil"/>
            </w:tcBorders>
            <w:shd w:val="clear" w:color="auto" w:fill="auto"/>
            <w:vAlign w:val="center"/>
          </w:tcPr>
          <w:p w14:paraId="2B8AB821" w14:textId="77777777" w:rsidR="00BC0435" w:rsidRPr="004B0985" w:rsidRDefault="00BC0435" w:rsidP="00BF46E4">
            <w:pPr>
              <w:pStyle w:val="Tablebody"/>
              <w:jc w:val="center"/>
              <w:rPr>
                <w:szCs w:val="18"/>
              </w:rPr>
            </w:pPr>
            <w:r w:rsidRPr="004B0985">
              <w:rPr>
                <w:szCs w:val="18"/>
              </w:rPr>
              <w:t>85.02</w:t>
            </w:r>
          </w:p>
        </w:tc>
        <w:tc>
          <w:tcPr>
            <w:tcW w:w="771" w:type="dxa"/>
            <w:tcBorders>
              <w:top w:val="nil"/>
              <w:left w:val="nil"/>
              <w:bottom w:val="single" w:sz="24" w:space="0" w:color="auto"/>
              <w:right w:val="nil"/>
            </w:tcBorders>
            <w:shd w:val="clear" w:color="auto" w:fill="auto"/>
            <w:vAlign w:val="center"/>
          </w:tcPr>
          <w:p w14:paraId="03C68AE1" w14:textId="77777777" w:rsidR="00BC0435" w:rsidRPr="004B0985" w:rsidRDefault="00BC0435" w:rsidP="00BF46E4">
            <w:pPr>
              <w:pStyle w:val="Tablebody"/>
              <w:jc w:val="center"/>
              <w:rPr>
                <w:szCs w:val="18"/>
              </w:rPr>
            </w:pPr>
            <w:r w:rsidRPr="004B0985">
              <w:rPr>
                <w:szCs w:val="18"/>
              </w:rPr>
              <w:t>0.47</w:t>
            </w:r>
          </w:p>
        </w:tc>
        <w:tc>
          <w:tcPr>
            <w:tcW w:w="771" w:type="dxa"/>
            <w:tcBorders>
              <w:top w:val="nil"/>
              <w:left w:val="nil"/>
              <w:bottom w:val="single" w:sz="24" w:space="0" w:color="auto"/>
              <w:right w:val="nil"/>
            </w:tcBorders>
            <w:shd w:val="clear" w:color="auto" w:fill="auto"/>
            <w:vAlign w:val="center"/>
          </w:tcPr>
          <w:p w14:paraId="72CA98C0" w14:textId="77777777" w:rsidR="00BC0435" w:rsidRPr="004B0985" w:rsidRDefault="00BC0435" w:rsidP="00BF46E4">
            <w:pPr>
              <w:pStyle w:val="Tablebody"/>
              <w:jc w:val="center"/>
              <w:rPr>
                <w:szCs w:val="18"/>
              </w:rPr>
            </w:pPr>
            <w:r w:rsidRPr="004B0985">
              <w:rPr>
                <w:szCs w:val="18"/>
              </w:rPr>
              <w:t>9.88</w:t>
            </w:r>
          </w:p>
        </w:tc>
        <w:tc>
          <w:tcPr>
            <w:tcW w:w="771" w:type="dxa"/>
            <w:tcBorders>
              <w:top w:val="nil"/>
              <w:left w:val="nil"/>
              <w:bottom w:val="single" w:sz="24" w:space="0" w:color="auto"/>
              <w:right w:val="nil"/>
            </w:tcBorders>
            <w:shd w:val="clear" w:color="auto" w:fill="auto"/>
            <w:vAlign w:val="center"/>
          </w:tcPr>
          <w:p w14:paraId="6152F4BC" w14:textId="77777777" w:rsidR="00BC0435" w:rsidRPr="004B0985" w:rsidRDefault="00BC0435" w:rsidP="00BF46E4">
            <w:pPr>
              <w:pStyle w:val="Tablebody"/>
              <w:jc w:val="center"/>
              <w:rPr>
                <w:szCs w:val="18"/>
              </w:rPr>
            </w:pPr>
            <w:r w:rsidRPr="004B0985">
              <w:rPr>
                <w:szCs w:val="18"/>
              </w:rPr>
              <w:t>3.75</w:t>
            </w:r>
          </w:p>
        </w:tc>
        <w:tc>
          <w:tcPr>
            <w:tcW w:w="772" w:type="dxa"/>
            <w:tcBorders>
              <w:top w:val="nil"/>
              <w:left w:val="nil"/>
              <w:bottom w:val="single" w:sz="24" w:space="0" w:color="auto"/>
              <w:right w:val="nil"/>
            </w:tcBorders>
            <w:shd w:val="clear" w:color="auto" w:fill="auto"/>
            <w:vAlign w:val="center"/>
          </w:tcPr>
          <w:p w14:paraId="4683BB38" w14:textId="77777777" w:rsidR="00BC0435" w:rsidRPr="004B0985" w:rsidRDefault="00BC0435" w:rsidP="00BF46E4">
            <w:pPr>
              <w:pStyle w:val="Tablebody"/>
              <w:jc w:val="center"/>
              <w:rPr>
                <w:szCs w:val="18"/>
              </w:rPr>
            </w:pPr>
            <w:r w:rsidRPr="004B0985">
              <w:rPr>
                <w:szCs w:val="18"/>
              </w:rPr>
              <w:t>0.87</w:t>
            </w:r>
          </w:p>
        </w:tc>
      </w:tr>
    </w:tbl>
    <w:p w14:paraId="3DA4486D" w14:textId="77777777" w:rsidR="00BC0435" w:rsidRPr="00072849" w:rsidRDefault="00BC0435" w:rsidP="00BC0435">
      <w:pPr>
        <w:ind w:firstLine="0"/>
      </w:pPr>
    </w:p>
    <w:p w14:paraId="627B5483" w14:textId="7408543F" w:rsidR="00BC0435" w:rsidRDefault="00BC0435" w:rsidP="00BC0435">
      <w:pPr>
        <w:pStyle w:val="Caption"/>
        <w:keepNext/>
      </w:pPr>
      <w:r w:rsidRPr="001857D9">
        <w:rPr>
          <w:b/>
          <w:bCs/>
        </w:rPr>
        <w:t xml:space="preserve">Supplementary Table </w:t>
      </w:r>
      <w:r w:rsidRPr="001857D9">
        <w:rPr>
          <w:b/>
          <w:bCs/>
        </w:rPr>
        <w:fldChar w:fldCharType="begin"/>
      </w:r>
      <w:r w:rsidRPr="001857D9">
        <w:rPr>
          <w:b/>
          <w:bCs/>
        </w:rPr>
        <w:instrText xml:space="preserve"> SEQ Supplementary_Table \* ARABIC </w:instrText>
      </w:r>
      <w:r w:rsidRPr="001857D9">
        <w:rPr>
          <w:b/>
          <w:bCs/>
        </w:rPr>
        <w:fldChar w:fldCharType="separate"/>
      </w:r>
      <w:r w:rsidR="00C76C3C">
        <w:rPr>
          <w:b/>
          <w:bCs/>
          <w:noProof/>
        </w:rPr>
        <w:t>2</w:t>
      </w:r>
      <w:r w:rsidRPr="001857D9">
        <w:rPr>
          <w:b/>
          <w:bCs/>
          <w:noProof/>
        </w:rPr>
        <w:fldChar w:fldCharType="end"/>
      </w:r>
      <w:r w:rsidRPr="001857D9">
        <w:rPr>
          <w:b/>
          <w:bCs/>
        </w:rPr>
        <w:t xml:space="preserve"> |</w:t>
      </w:r>
      <w:r>
        <w:t xml:space="preserve"> Elemental distribution of different Pt species as derived from the fitting results</w:t>
      </w:r>
      <w:r w:rsidR="000E1AE0">
        <w:t>.</w:t>
      </w:r>
      <w:r w:rsidR="006014C3">
        <w:t xml:space="preserve"> For</w:t>
      </w:r>
      <w:r w:rsidR="006014C3" w:rsidRPr="007800F1">
        <w:t xml:space="preserve"> </w:t>
      </w:r>
      <w:r w:rsidR="006014C3">
        <w:t xml:space="preserve">pristine </w:t>
      </w:r>
      <w:r w:rsidR="006014C3" w:rsidRPr="006F6A39">
        <w:t>Pt/NiNC</w:t>
      </w:r>
      <w:r w:rsidR="006014C3">
        <w:t xml:space="preserve"> catalyst, annealing time is 0 h. For final PtNi/</w:t>
      </w:r>
      <w:r w:rsidR="006014C3" w:rsidRPr="006F6A39">
        <w:t>NiNC</w:t>
      </w:r>
      <w:r w:rsidR="006014C3">
        <w:t xml:space="preserve"> catalyst, annealing time is 6 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1347"/>
        <w:gridCol w:w="1417"/>
        <w:gridCol w:w="1417"/>
        <w:gridCol w:w="1417"/>
        <w:gridCol w:w="1417"/>
      </w:tblGrid>
      <w:tr w:rsidR="00BC0435" w14:paraId="36A691BE" w14:textId="77777777" w:rsidTr="00BF46E4">
        <w:tc>
          <w:tcPr>
            <w:tcW w:w="1488" w:type="dxa"/>
            <w:tcBorders>
              <w:top w:val="single" w:sz="24" w:space="0" w:color="auto"/>
              <w:bottom w:val="single" w:sz="24" w:space="0" w:color="auto"/>
            </w:tcBorders>
            <w:vAlign w:val="center"/>
          </w:tcPr>
          <w:p w14:paraId="30661A68" w14:textId="77777777" w:rsidR="00BC0435" w:rsidRDefault="00BC0435" w:rsidP="00BF46E4">
            <w:pPr>
              <w:pStyle w:val="Tablebody"/>
              <w:jc w:val="center"/>
            </w:pPr>
            <w:r>
              <w:t>Samples</w:t>
            </w:r>
          </w:p>
        </w:tc>
        <w:tc>
          <w:tcPr>
            <w:tcW w:w="1347" w:type="dxa"/>
            <w:tcBorders>
              <w:top w:val="single" w:sz="24" w:space="0" w:color="auto"/>
              <w:bottom w:val="single" w:sz="24" w:space="0" w:color="auto"/>
            </w:tcBorders>
            <w:vAlign w:val="center"/>
          </w:tcPr>
          <w:p w14:paraId="580FC213" w14:textId="77777777" w:rsidR="00BC0435" w:rsidRDefault="00BC0435" w:rsidP="00BF46E4">
            <w:pPr>
              <w:pStyle w:val="Tablebody"/>
              <w:jc w:val="center"/>
            </w:pPr>
            <w:r w:rsidRPr="006C76A2">
              <w:t>Pt</w:t>
            </w:r>
            <w:r w:rsidRPr="00331E98">
              <w:rPr>
                <w:vertAlign w:val="superscript"/>
              </w:rPr>
              <w:t>0</w:t>
            </w:r>
            <w:r w:rsidRPr="006C76A2">
              <w:t xml:space="preserve"> 4f</w:t>
            </w:r>
            <w:r w:rsidRPr="00331E98">
              <w:rPr>
                <w:vertAlign w:val="subscript"/>
              </w:rPr>
              <w:t>7/2</w:t>
            </w:r>
            <w:r w:rsidRPr="006C76A2">
              <w:t xml:space="preserve"> </w:t>
            </w:r>
            <w:r>
              <w:t>position</w:t>
            </w:r>
          </w:p>
        </w:tc>
        <w:tc>
          <w:tcPr>
            <w:tcW w:w="1417" w:type="dxa"/>
            <w:tcBorders>
              <w:top w:val="single" w:sz="24" w:space="0" w:color="auto"/>
              <w:bottom w:val="single" w:sz="24" w:space="0" w:color="auto"/>
            </w:tcBorders>
            <w:vAlign w:val="center"/>
          </w:tcPr>
          <w:p w14:paraId="6F9538E1" w14:textId="77777777" w:rsidR="00BC0435" w:rsidRDefault="00BC0435" w:rsidP="00BF46E4">
            <w:pPr>
              <w:pStyle w:val="Tablebody"/>
              <w:jc w:val="center"/>
            </w:pPr>
            <w:r w:rsidRPr="006C76A2">
              <w:t>Pt</w:t>
            </w:r>
            <w:r w:rsidRPr="000A4A60">
              <w:rPr>
                <w:vertAlign w:val="superscript"/>
              </w:rPr>
              <w:t>0</w:t>
            </w:r>
            <w:r w:rsidRPr="006C76A2">
              <w:t>/Pt</w:t>
            </w:r>
            <w:r w:rsidRPr="000A4A60">
              <w:rPr>
                <w:vertAlign w:val="superscript"/>
              </w:rPr>
              <w:t>2+</w:t>
            </w:r>
          </w:p>
        </w:tc>
        <w:tc>
          <w:tcPr>
            <w:tcW w:w="1417" w:type="dxa"/>
            <w:tcBorders>
              <w:top w:val="single" w:sz="24" w:space="0" w:color="auto"/>
              <w:bottom w:val="single" w:sz="24" w:space="0" w:color="auto"/>
            </w:tcBorders>
            <w:vAlign w:val="center"/>
          </w:tcPr>
          <w:p w14:paraId="4AB3F1BF" w14:textId="77777777" w:rsidR="00BC0435" w:rsidRPr="006C76A2" w:rsidRDefault="00BC0435" w:rsidP="00BF46E4">
            <w:pPr>
              <w:pStyle w:val="Tablebody"/>
              <w:jc w:val="center"/>
            </w:pPr>
            <w:r w:rsidRPr="002B06BC">
              <w:t>Ni 2p</w:t>
            </w:r>
            <w:r w:rsidRPr="000210C9">
              <w:rPr>
                <w:vertAlign w:val="subscript"/>
              </w:rPr>
              <w:t>3/2</w:t>
            </w:r>
            <w:r w:rsidRPr="002B06BC">
              <w:t xml:space="preserve"> position</w:t>
            </w:r>
          </w:p>
        </w:tc>
        <w:tc>
          <w:tcPr>
            <w:tcW w:w="1417" w:type="dxa"/>
            <w:tcBorders>
              <w:top w:val="single" w:sz="24" w:space="0" w:color="auto"/>
              <w:left w:val="nil"/>
              <w:bottom w:val="single" w:sz="24" w:space="0" w:color="auto"/>
              <w:right w:val="nil"/>
            </w:tcBorders>
            <w:shd w:val="clear" w:color="auto" w:fill="auto"/>
            <w:vAlign w:val="center"/>
          </w:tcPr>
          <w:p w14:paraId="744DF657" w14:textId="77777777" w:rsidR="00BC0435" w:rsidRPr="00B76189" w:rsidRDefault="00BC0435" w:rsidP="00BF46E4">
            <w:pPr>
              <w:pStyle w:val="Tablebody"/>
              <w:jc w:val="center"/>
            </w:pPr>
            <w:r w:rsidRPr="00B76189">
              <w:t>Pt</w:t>
            </w:r>
            <w:r w:rsidRPr="00B76189">
              <w:rPr>
                <w:vertAlign w:val="superscript"/>
              </w:rPr>
              <w:t>0</w:t>
            </w:r>
            <w:r w:rsidRPr="00B76189">
              <w:t xml:space="preserve"> (%)</w:t>
            </w:r>
          </w:p>
        </w:tc>
        <w:tc>
          <w:tcPr>
            <w:tcW w:w="1417" w:type="dxa"/>
            <w:tcBorders>
              <w:top w:val="single" w:sz="24" w:space="0" w:color="auto"/>
              <w:left w:val="nil"/>
              <w:bottom w:val="single" w:sz="24" w:space="0" w:color="auto"/>
              <w:right w:val="nil"/>
            </w:tcBorders>
            <w:shd w:val="clear" w:color="auto" w:fill="auto"/>
            <w:vAlign w:val="center"/>
          </w:tcPr>
          <w:p w14:paraId="6DF04C28" w14:textId="77777777" w:rsidR="00BC0435" w:rsidRPr="00B76189" w:rsidRDefault="00BC0435" w:rsidP="00BF46E4">
            <w:pPr>
              <w:pStyle w:val="Tablebody"/>
              <w:jc w:val="center"/>
            </w:pPr>
            <w:r w:rsidRPr="00B76189">
              <w:t>Pt</w:t>
            </w:r>
            <w:r w:rsidRPr="00B76189">
              <w:rPr>
                <w:vertAlign w:val="superscript"/>
              </w:rPr>
              <w:t>2+</w:t>
            </w:r>
            <w:r w:rsidRPr="00B76189">
              <w:t xml:space="preserve"> (%)</w:t>
            </w:r>
          </w:p>
        </w:tc>
      </w:tr>
      <w:tr w:rsidR="00BC0435" w14:paraId="05169437" w14:textId="77777777" w:rsidTr="00BF46E4">
        <w:tc>
          <w:tcPr>
            <w:tcW w:w="1488" w:type="dxa"/>
            <w:tcBorders>
              <w:top w:val="single" w:sz="24" w:space="0" w:color="auto"/>
            </w:tcBorders>
            <w:vAlign w:val="center"/>
          </w:tcPr>
          <w:p w14:paraId="2F31FF90" w14:textId="77777777" w:rsidR="00BC0435" w:rsidRDefault="00BC0435" w:rsidP="00BF46E4">
            <w:pPr>
              <w:pStyle w:val="Tablebody"/>
              <w:jc w:val="center"/>
            </w:pPr>
            <w:r w:rsidRPr="0091020B">
              <w:t>Pt/Vul-C</w:t>
            </w:r>
          </w:p>
        </w:tc>
        <w:tc>
          <w:tcPr>
            <w:tcW w:w="1347" w:type="dxa"/>
            <w:tcBorders>
              <w:top w:val="nil"/>
              <w:left w:val="nil"/>
              <w:bottom w:val="nil"/>
              <w:right w:val="nil"/>
            </w:tcBorders>
            <w:shd w:val="clear" w:color="auto" w:fill="auto"/>
            <w:vAlign w:val="center"/>
          </w:tcPr>
          <w:p w14:paraId="2C26137A" w14:textId="77777777" w:rsidR="00BC0435" w:rsidRPr="00C71974" w:rsidRDefault="00BC0435" w:rsidP="00BF46E4">
            <w:pPr>
              <w:pStyle w:val="Tablebody"/>
              <w:jc w:val="center"/>
            </w:pPr>
            <w:r w:rsidRPr="00272C6F">
              <w:t>71.</w:t>
            </w:r>
            <w:r>
              <w:t>0</w:t>
            </w:r>
            <w:r w:rsidRPr="00272C6F">
              <w:t>2</w:t>
            </w:r>
          </w:p>
        </w:tc>
        <w:tc>
          <w:tcPr>
            <w:tcW w:w="1417" w:type="dxa"/>
            <w:tcBorders>
              <w:top w:val="single" w:sz="24" w:space="0" w:color="auto"/>
            </w:tcBorders>
            <w:vAlign w:val="center"/>
          </w:tcPr>
          <w:p w14:paraId="4BC5F2D5" w14:textId="77777777" w:rsidR="00BC0435" w:rsidRPr="00C71974" w:rsidRDefault="00BC0435" w:rsidP="00BF46E4">
            <w:pPr>
              <w:pStyle w:val="Tablebody"/>
              <w:jc w:val="center"/>
            </w:pPr>
            <w:r w:rsidRPr="00C71974">
              <w:t>2.43</w:t>
            </w:r>
          </w:p>
        </w:tc>
        <w:tc>
          <w:tcPr>
            <w:tcW w:w="1417" w:type="dxa"/>
            <w:tcBorders>
              <w:top w:val="single" w:sz="24" w:space="0" w:color="auto"/>
            </w:tcBorders>
          </w:tcPr>
          <w:p w14:paraId="0401A21C" w14:textId="77777777" w:rsidR="00BC0435" w:rsidRPr="00C71974" w:rsidRDefault="00BC0435" w:rsidP="00BF46E4">
            <w:pPr>
              <w:pStyle w:val="Tablebody"/>
              <w:jc w:val="center"/>
            </w:pPr>
            <w:r>
              <w:t>NA</w:t>
            </w:r>
          </w:p>
        </w:tc>
        <w:tc>
          <w:tcPr>
            <w:tcW w:w="1417" w:type="dxa"/>
            <w:tcBorders>
              <w:top w:val="single" w:sz="24" w:space="0" w:color="auto"/>
              <w:left w:val="nil"/>
              <w:bottom w:val="nil"/>
              <w:right w:val="nil"/>
            </w:tcBorders>
            <w:shd w:val="clear" w:color="auto" w:fill="auto"/>
            <w:vAlign w:val="center"/>
          </w:tcPr>
          <w:p w14:paraId="4DB4BFA6" w14:textId="77777777" w:rsidR="00BC0435" w:rsidRPr="00B76189" w:rsidRDefault="00BC0435" w:rsidP="00BF46E4">
            <w:pPr>
              <w:pStyle w:val="Tablebody"/>
              <w:jc w:val="center"/>
            </w:pPr>
            <w:r w:rsidRPr="00B76189">
              <w:t>70.88</w:t>
            </w:r>
          </w:p>
        </w:tc>
        <w:tc>
          <w:tcPr>
            <w:tcW w:w="1417" w:type="dxa"/>
            <w:tcBorders>
              <w:top w:val="single" w:sz="24" w:space="0" w:color="auto"/>
              <w:left w:val="nil"/>
              <w:bottom w:val="nil"/>
              <w:right w:val="nil"/>
            </w:tcBorders>
            <w:shd w:val="clear" w:color="auto" w:fill="auto"/>
            <w:vAlign w:val="center"/>
          </w:tcPr>
          <w:p w14:paraId="2A2914FA" w14:textId="77777777" w:rsidR="00BC0435" w:rsidRPr="00B76189" w:rsidRDefault="00BC0435" w:rsidP="00BF46E4">
            <w:pPr>
              <w:pStyle w:val="Tablebody"/>
              <w:jc w:val="center"/>
            </w:pPr>
            <w:r w:rsidRPr="00B76189">
              <w:t>29.12</w:t>
            </w:r>
          </w:p>
        </w:tc>
      </w:tr>
      <w:tr w:rsidR="00BC0435" w14:paraId="4E15C27E" w14:textId="77777777" w:rsidTr="00BF46E4">
        <w:tc>
          <w:tcPr>
            <w:tcW w:w="1488" w:type="dxa"/>
            <w:vAlign w:val="center"/>
          </w:tcPr>
          <w:p w14:paraId="4E40A9D7" w14:textId="77777777" w:rsidR="00BC0435" w:rsidRDefault="00BC0435" w:rsidP="00BF46E4">
            <w:pPr>
              <w:pStyle w:val="Tablebody"/>
              <w:jc w:val="center"/>
            </w:pPr>
            <w:r w:rsidRPr="00DB03F7">
              <w:t>Pt/NiNC</w:t>
            </w:r>
          </w:p>
        </w:tc>
        <w:tc>
          <w:tcPr>
            <w:tcW w:w="1347" w:type="dxa"/>
            <w:tcBorders>
              <w:top w:val="nil"/>
              <w:left w:val="nil"/>
              <w:bottom w:val="nil"/>
              <w:right w:val="nil"/>
            </w:tcBorders>
            <w:shd w:val="clear" w:color="auto" w:fill="auto"/>
            <w:vAlign w:val="center"/>
          </w:tcPr>
          <w:p w14:paraId="21C08F39" w14:textId="77777777" w:rsidR="00BC0435" w:rsidRPr="00C71974" w:rsidRDefault="00BC0435" w:rsidP="00BF46E4">
            <w:pPr>
              <w:pStyle w:val="Tablebody"/>
              <w:jc w:val="center"/>
            </w:pPr>
            <w:r w:rsidRPr="00272C6F">
              <w:t>71.</w:t>
            </w:r>
            <w:r>
              <w:t>0</w:t>
            </w:r>
            <w:r w:rsidRPr="00272C6F">
              <w:t>7</w:t>
            </w:r>
          </w:p>
        </w:tc>
        <w:tc>
          <w:tcPr>
            <w:tcW w:w="1417" w:type="dxa"/>
            <w:vAlign w:val="center"/>
          </w:tcPr>
          <w:p w14:paraId="734349AE" w14:textId="77777777" w:rsidR="00BC0435" w:rsidRPr="00C71974" w:rsidRDefault="00BC0435" w:rsidP="00BF46E4">
            <w:pPr>
              <w:pStyle w:val="Tablebody"/>
              <w:jc w:val="center"/>
            </w:pPr>
            <w:r w:rsidRPr="00C71974">
              <w:t>2.66</w:t>
            </w:r>
          </w:p>
        </w:tc>
        <w:tc>
          <w:tcPr>
            <w:tcW w:w="1417" w:type="dxa"/>
            <w:vAlign w:val="center"/>
          </w:tcPr>
          <w:p w14:paraId="776E9F74" w14:textId="77777777" w:rsidR="00BC0435" w:rsidRPr="00C71974" w:rsidRDefault="00BC0435" w:rsidP="00BF46E4">
            <w:pPr>
              <w:pStyle w:val="Tablebody"/>
              <w:jc w:val="center"/>
            </w:pPr>
            <w:r w:rsidRPr="002B06BC">
              <w:t>854.</w:t>
            </w:r>
            <w:r>
              <w:t>4</w:t>
            </w:r>
            <w:r w:rsidRPr="002B06BC">
              <w:t>7</w:t>
            </w:r>
          </w:p>
        </w:tc>
        <w:tc>
          <w:tcPr>
            <w:tcW w:w="1417" w:type="dxa"/>
            <w:tcBorders>
              <w:top w:val="nil"/>
              <w:left w:val="nil"/>
              <w:bottom w:val="nil"/>
              <w:right w:val="nil"/>
            </w:tcBorders>
            <w:shd w:val="clear" w:color="auto" w:fill="auto"/>
            <w:vAlign w:val="center"/>
          </w:tcPr>
          <w:p w14:paraId="69E82019" w14:textId="77777777" w:rsidR="00BC0435" w:rsidRPr="00B76189" w:rsidRDefault="00BC0435" w:rsidP="00BF46E4">
            <w:pPr>
              <w:pStyle w:val="Tablebody"/>
              <w:jc w:val="center"/>
            </w:pPr>
            <w:r w:rsidRPr="00B76189">
              <w:t>72.69</w:t>
            </w:r>
          </w:p>
        </w:tc>
        <w:tc>
          <w:tcPr>
            <w:tcW w:w="1417" w:type="dxa"/>
            <w:tcBorders>
              <w:top w:val="nil"/>
              <w:left w:val="nil"/>
              <w:bottom w:val="nil"/>
              <w:right w:val="nil"/>
            </w:tcBorders>
            <w:shd w:val="clear" w:color="auto" w:fill="auto"/>
            <w:vAlign w:val="center"/>
          </w:tcPr>
          <w:p w14:paraId="09243BC6" w14:textId="77777777" w:rsidR="00BC0435" w:rsidRPr="00B76189" w:rsidRDefault="00BC0435" w:rsidP="00BF46E4">
            <w:pPr>
              <w:pStyle w:val="Tablebody"/>
              <w:jc w:val="center"/>
            </w:pPr>
            <w:r w:rsidRPr="00B76189">
              <w:t>27.31</w:t>
            </w:r>
          </w:p>
        </w:tc>
      </w:tr>
      <w:tr w:rsidR="00BC0435" w14:paraId="39AFCD2A" w14:textId="77777777" w:rsidTr="00BF46E4">
        <w:tc>
          <w:tcPr>
            <w:tcW w:w="1488" w:type="dxa"/>
            <w:vAlign w:val="center"/>
          </w:tcPr>
          <w:p w14:paraId="33D33204" w14:textId="77777777" w:rsidR="00BC0435" w:rsidRDefault="00BC0435" w:rsidP="00BF46E4">
            <w:pPr>
              <w:pStyle w:val="Tablebody"/>
              <w:jc w:val="center"/>
            </w:pPr>
            <w:r w:rsidRPr="00DB03F7">
              <w:t>AT = 1 h</w:t>
            </w:r>
          </w:p>
        </w:tc>
        <w:tc>
          <w:tcPr>
            <w:tcW w:w="1347" w:type="dxa"/>
            <w:tcBorders>
              <w:top w:val="nil"/>
              <w:left w:val="nil"/>
              <w:bottom w:val="nil"/>
              <w:right w:val="nil"/>
            </w:tcBorders>
            <w:shd w:val="clear" w:color="auto" w:fill="auto"/>
            <w:vAlign w:val="center"/>
          </w:tcPr>
          <w:p w14:paraId="48329FEA" w14:textId="77777777" w:rsidR="00BC0435" w:rsidRPr="00C71974" w:rsidRDefault="00BC0435" w:rsidP="00BF46E4">
            <w:pPr>
              <w:pStyle w:val="Tablebody"/>
              <w:jc w:val="center"/>
            </w:pPr>
            <w:r w:rsidRPr="00272C6F">
              <w:t>7</w:t>
            </w:r>
            <w:r>
              <w:t>0</w:t>
            </w:r>
            <w:r w:rsidRPr="00272C6F">
              <w:t>.</w:t>
            </w:r>
            <w:r>
              <w:t>8</w:t>
            </w:r>
            <w:r w:rsidRPr="00272C6F">
              <w:t>8</w:t>
            </w:r>
            <w:r>
              <w:t xml:space="preserve"> </w:t>
            </w:r>
            <w:r>
              <w:rPr>
                <w:rFonts w:cs="Arial"/>
              </w:rPr>
              <w:t>↓</w:t>
            </w:r>
          </w:p>
        </w:tc>
        <w:tc>
          <w:tcPr>
            <w:tcW w:w="1417" w:type="dxa"/>
            <w:vAlign w:val="center"/>
          </w:tcPr>
          <w:p w14:paraId="592DB364" w14:textId="77777777" w:rsidR="00BC0435" w:rsidRPr="00C71974" w:rsidRDefault="00BC0435" w:rsidP="00BF46E4">
            <w:pPr>
              <w:pStyle w:val="Tablebody"/>
              <w:jc w:val="center"/>
            </w:pPr>
            <w:r w:rsidRPr="00C71974">
              <w:t>5.43</w:t>
            </w:r>
            <w:r>
              <w:t xml:space="preserve"> </w:t>
            </w:r>
            <w:r>
              <w:rPr>
                <w:rFonts w:cs="Arial"/>
              </w:rPr>
              <w:t>↑</w:t>
            </w:r>
          </w:p>
        </w:tc>
        <w:tc>
          <w:tcPr>
            <w:tcW w:w="1417" w:type="dxa"/>
            <w:vAlign w:val="center"/>
          </w:tcPr>
          <w:p w14:paraId="4947E5EF" w14:textId="77777777" w:rsidR="00BC0435" w:rsidRPr="00C71974" w:rsidRDefault="00BC0435" w:rsidP="00BF46E4">
            <w:pPr>
              <w:pStyle w:val="Tablebody"/>
              <w:jc w:val="center"/>
            </w:pPr>
            <w:r w:rsidRPr="002B06BC">
              <w:t>85</w:t>
            </w:r>
            <w:r>
              <w:t>4</w:t>
            </w:r>
            <w:r w:rsidRPr="002B06BC">
              <w:t>.</w:t>
            </w:r>
            <w:r>
              <w:t>8</w:t>
            </w:r>
            <w:r w:rsidRPr="002B06BC">
              <w:t>8</w:t>
            </w:r>
            <w:r>
              <w:t xml:space="preserve"> </w:t>
            </w:r>
            <w:r>
              <w:rPr>
                <w:rFonts w:cs="Arial"/>
              </w:rPr>
              <w:t>↑</w:t>
            </w:r>
          </w:p>
        </w:tc>
        <w:tc>
          <w:tcPr>
            <w:tcW w:w="1417" w:type="dxa"/>
            <w:tcBorders>
              <w:top w:val="nil"/>
              <w:left w:val="nil"/>
              <w:bottom w:val="nil"/>
              <w:right w:val="nil"/>
            </w:tcBorders>
            <w:shd w:val="clear" w:color="auto" w:fill="auto"/>
            <w:vAlign w:val="center"/>
          </w:tcPr>
          <w:p w14:paraId="664CDD29" w14:textId="77777777" w:rsidR="00BC0435" w:rsidRPr="00B76189" w:rsidRDefault="00BC0435" w:rsidP="00BF46E4">
            <w:pPr>
              <w:pStyle w:val="Tablebody"/>
              <w:jc w:val="center"/>
            </w:pPr>
            <w:r w:rsidRPr="00B76189">
              <w:t>84.45</w:t>
            </w:r>
          </w:p>
        </w:tc>
        <w:tc>
          <w:tcPr>
            <w:tcW w:w="1417" w:type="dxa"/>
            <w:tcBorders>
              <w:top w:val="nil"/>
              <w:left w:val="nil"/>
              <w:bottom w:val="nil"/>
              <w:right w:val="nil"/>
            </w:tcBorders>
            <w:shd w:val="clear" w:color="auto" w:fill="auto"/>
            <w:vAlign w:val="center"/>
          </w:tcPr>
          <w:p w14:paraId="2DCD57D8" w14:textId="77777777" w:rsidR="00BC0435" w:rsidRPr="00B76189" w:rsidRDefault="00BC0435" w:rsidP="00BF46E4">
            <w:pPr>
              <w:pStyle w:val="Tablebody"/>
              <w:jc w:val="center"/>
            </w:pPr>
            <w:r w:rsidRPr="00B76189">
              <w:t>15.55</w:t>
            </w:r>
          </w:p>
        </w:tc>
      </w:tr>
      <w:tr w:rsidR="00BC0435" w14:paraId="1B0C8032" w14:textId="77777777" w:rsidTr="00BF46E4">
        <w:tc>
          <w:tcPr>
            <w:tcW w:w="1488" w:type="dxa"/>
            <w:vAlign w:val="center"/>
          </w:tcPr>
          <w:p w14:paraId="285E99FA" w14:textId="77777777" w:rsidR="00BC0435" w:rsidRDefault="00BC0435" w:rsidP="00BF46E4">
            <w:pPr>
              <w:pStyle w:val="Tablebody"/>
              <w:jc w:val="center"/>
            </w:pPr>
            <w:r w:rsidRPr="00DB03F7">
              <w:t xml:space="preserve">AT = </w:t>
            </w:r>
            <w:r>
              <w:t>3</w:t>
            </w:r>
            <w:r w:rsidRPr="00DB03F7">
              <w:t xml:space="preserve"> h</w:t>
            </w:r>
          </w:p>
        </w:tc>
        <w:tc>
          <w:tcPr>
            <w:tcW w:w="1347" w:type="dxa"/>
            <w:tcBorders>
              <w:top w:val="nil"/>
              <w:left w:val="nil"/>
              <w:bottom w:val="nil"/>
              <w:right w:val="nil"/>
            </w:tcBorders>
            <w:shd w:val="clear" w:color="auto" w:fill="auto"/>
            <w:vAlign w:val="center"/>
          </w:tcPr>
          <w:p w14:paraId="5045DDDE" w14:textId="77777777" w:rsidR="00BC0435" w:rsidRPr="00C71974" w:rsidRDefault="00BC0435" w:rsidP="00BF46E4">
            <w:pPr>
              <w:pStyle w:val="Tablebody"/>
              <w:jc w:val="center"/>
            </w:pPr>
            <w:r w:rsidRPr="00272C6F">
              <w:t>7</w:t>
            </w:r>
            <w:r>
              <w:t>0</w:t>
            </w:r>
            <w:r w:rsidRPr="00272C6F">
              <w:t>.</w:t>
            </w:r>
            <w:r>
              <w:t>8</w:t>
            </w:r>
            <w:r w:rsidRPr="00272C6F">
              <w:t>9</w:t>
            </w:r>
            <w:r>
              <w:t xml:space="preserve"> </w:t>
            </w:r>
            <w:r>
              <w:rPr>
                <w:rFonts w:cs="Arial"/>
              </w:rPr>
              <w:t>↓</w:t>
            </w:r>
          </w:p>
        </w:tc>
        <w:tc>
          <w:tcPr>
            <w:tcW w:w="1417" w:type="dxa"/>
            <w:vAlign w:val="center"/>
          </w:tcPr>
          <w:p w14:paraId="235D6385" w14:textId="77777777" w:rsidR="00BC0435" w:rsidRPr="00C71974" w:rsidRDefault="00BC0435" w:rsidP="00BF46E4">
            <w:pPr>
              <w:pStyle w:val="Tablebody"/>
              <w:jc w:val="center"/>
            </w:pPr>
            <w:r w:rsidRPr="00C71974">
              <w:t>5.98</w:t>
            </w:r>
            <w:r>
              <w:t xml:space="preserve"> </w:t>
            </w:r>
            <w:r>
              <w:rPr>
                <w:rFonts w:cs="Arial"/>
              </w:rPr>
              <w:t>↑</w:t>
            </w:r>
          </w:p>
        </w:tc>
        <w:tc>
          <w:tcPr>
            <w:tcW w:w="1417" w:type="dxa"/>
            <w:vAlign w:val="center"/>
          </w:tcPr>
          <w:p w14:paraId="50BF9EF0" w14:textId="77777777" w:rsidR="00BC0435" w:rsidRPr="00C71974" w:rsidRDefault="00BC0435" w:rsidP="00BF46E4">
            <w:pPr>
              <w:pStyle w:val="Tablebody"/>
              <w:jc w:val="center"/>
            </w:pPr>
            <w:r w:rsidRPr="002B06BC">
              <w:t>855.</w:t>
            </w:r>
            <w:r>
              <w:t>2</w:t>
            </w:r>
            <w:r w:rsidRPr="002B06BC">
              <w:t>9</w:t>
            </w:r>
            <w:r>
              <w:t xml:space="preserve"> </w:t>
            </w:r>
            <w:r>
              <w:rPr>
                <w:rFonts w:cs="Arial"/>
              </w:rPr>
              <w:t>↑</w:t>
            </w:r>
          </w:p>
        </w:tc>
        <w:tc>
          <w:tcPr>
            <w:tcW w:w="1417" w:type="dxa"/>
            <w:tcBorders>
              <w:top w:val="nil"/>
              <w:left w:val="nil"/>
              <w:bottom w:val="nil"/>
              <w:right w:val="nil"/>
            </w:tcBorders>
            <w:shd w:val="clear" w:color="auto" w:fill="auto"/>
            <w:vAlign w:val="center"/>
          </w:tcPr>
          <w:p w14:paraId="62412AD0" w14:textId="77777777" w:rsidR="00BC0435" w:rsidRPr="00B76189" w:rsidRDefault="00BC0435" w:rsidP="00BF46E4">
            <w:pPr>
              <w:pStyle w:val="Tablebody"/>
              <w:jc w:val="center"/>
            </w:pPr>
            <w:r w:rsidRPr="00B76189">
              <w:t>85.68</w:t>
            </w:r>
          </w:p>
        </w:tc>
        <w:tc>
          <w:tcPr>
            <w:tcW w:w="1417" w:type="dxa"/>
            <w:tcBorders>
              <w:top w:val="nil"/>
              <w:left w:val="nil"/>
              <w:bottom w:val="nil"/>
              <w:right w:val="nil"/>
            </w:tcBorders>
            <w:shd w:val="clear" w:color="auto" w:fill="auto"/>
            <w:vAlign w:val="center"/>
          </w:tcPr>
          <w:p w14:paraId="79144E4B" w14:textId="77777777" w:rsidR="00BC0435" w:rsidRPr="00B76189" w:rsidRDefault="00BC0435" w:rsidP="00BF46E4">
            <w:pPr>
              <w:pStyle w:val="Tablebody"/>
              <w:jc w:val="center"/>
            </w:pPr>
            <w:r w:rsidRPr="00B76189">
              <w:t>14.32</w:t>
            </w:r>
          </w:p>
        </w:tc>
      </w:tr>
      <w:tr w:rsidR="00BC0435" w14:paraId="3365AA10" w14:textId="77777777" w:rsidTr="00BF46E4">
        <w:tc>
          <w:tcPr>
            <w:tcW w:w="1488" w:type="dxa"/>
            <w:tcBorders>
              <w:bottom w:val="single" w:sz="24" w:space="0" w:color="auto"/>
            </w:tcBorders>
            <w:vAlign w:val="center"/>
          </w:tcPr>
          <w:p w14:paraId="499EB5D6" w14:textId="77777777" w:rsidR="00BC0435" w:rsidRDefault="00BC0435" w:rsidP="00BF46E4">
            <w:pPr>
              <w:pStyle w:val="Tablebody"/>
              <w:jc w:val="center"/>
            </w:pPr>
            <w:r w:rsidRPr="00DB03F7">
              <w:t>PtNi</w:t>
            </w:r>
            <w:r w:rsidRPr="00DB03F7">
              <w:rPr>
                <w:vertAlign w:val="subscript"/>
              </w:rPr>
              <w:t>x</w:t>
            </w:r>
            <w:r w:rsidRPr="00DB03F7">
              <w:t>/NiNC</w:t>
            </w:r>
          </w:p>
        </w:tc>
        <w:tc>
          <w:tcPr>
            <w:tcW w:w="1347" w:type="dxa"/>
            <w:tcBorders>
              <w:top w:val="nil"/>
              <w:left w:val="nil"/>
              <w:bottom w:val="single" w:sz="24" w:space="0" w:color="auto"/>
              <w:right w:val="nil"/>
            </w:tcBorders>
            <w:shd w:val="clear" w:color="auto" w:fill="auto"/>
            <w:vAlign w:val="center"/>
          </w:tcPr>
          <w:p w14:paraId="68B2AB01" w14:textId="77777777" w:rsidR="00BC0435" w:rsidRPr="00C71974" w:rsidRDefault="00BC0435" w:rsidP="00BF46E4">
            <w:pPr>
              <w:pStyle w:val="Tablebody"/>
              <w:jc w:val="center"/>
            </w:pPr>
            <w:r w:rsidRPr="00272C6F">
              <w:t>7</w:t>
            </w:r>
            <w:r>
              <w:t>0</w:t>
            </w:r>
            <w:r w:rsidRPr="00272C6F">
              <w:t>.</w:t>
            </w:r>
            <w:r>
              <w:t>8</w:t>
            </w:r>
            <w:r w:rsidRPr="00272C6F">
              <w:t>3</w:t>
            </w:r>
            <w:r>
              <w:t xml:space="preserve"> </w:t>
            </w:r>
            <w:r>
              <w:rPr>
                <w:rFonts w:cs="Arial"/>
              </w:rPr>
              <w:t>↓</w:t>
            </w:r>
          </w:p>
        </w:tc>
        <w:tc>
          <w:tcPr>
            <w:tcW w:w="1417" w:type="dxa"/>
            <w:tcBorders>
              <w:bottom w:val="single" w:sz="24" w:space="0" w:color="auto"/>
            </w:tcBorders>
            <w:vAlign w:val="center"/>
          </w:tcPr>
          <w:p w14:paraId="29574485" w14:textId="77777777" w:rsidR="00BC0435" w:rsidRPr="00C71974" w:rsidRDefault="00BC0435" w:rsidP="00BF46E4">
            <w:pPr>
              <w:pStyle w:val="Tablebody"/>
              <w:jc w:val="center"/>
            </w:pPr>
            <w:r w:rsidRPr="00C71974">
              <w:t>6.54</w:t>
            </w:r>
            <w:r>
              <w:t xml:space="preserve"> </w:t>
            </w:r>
            <w:r>
              <w:rPr>
                <w:rFonts w:cs="Arial"/>
              </w:rPr>
              <w:t>↑</w:t>
            </w:r>
          </w:p>
        </w:tc>
        <w:tc>
          <w:tcPr>
            <w:tcW w:w="1417" w:type="dxa"/>
            <w:tcBorders>
              <w:bottom w:val="single" w:sz="24" w:space="0" w:color="auto"/>
            </w:tcBorders>
            <w:vAlign w:val="center"/>
          </w:tcPr>
          <w:p w14:paraId="13EC5F29" w14:textId="77777777" w:rsidR="00BC0435" w:rsidRPr="00C71974" w:rsidRDefault="00BC0435" w:rsidP="00BF46E4">
            <w:pPr>
              <w:pStyle w:val="Tablebody"/>
              <w:jc w:val="center"/>
            </w:pPr>
            <w:r w:rsidRPr="002B06BC">
              <w:t>855.</w:t>
            </w:r>
            <w:r>
              <w:t>2</w:t>
            </w:r>
            <w:r w:rsidRPr="002B06BC">
              <w:t>1</w:t>
            </w:r>
            <w:r>
              <w:t xml:space="preserve"> </w:t>
            </w:r>
            <w:r>
              <w:rPr>
                <w:rFonts w:cs="Arial"/>
              </w:rPr>
              <w:t>↑</w:t>
            </w:r>
          </w:p>
        </w:tc>
        <w:tc>
          <w:tcPr>
            <w:tcW w:w="1417" w:type="dxa"/>
            <w:tcBorders>
              <w:top w:val="nil"/>
              <w:left w:val="nil"/>
              <w:bottom w:val="single" w:sz="24" w:space="0" w:color="auto"/>
              <w:right w:val="nil"/>
            </w:tcBorders>
            <w:shd w:val="clear" w:color="auto" w:fill="auto"/>
            <w:vAlign w:val="center"/>
          </w:tcPr>
          <w:p w14:paraId="6E0B6E40" w14:textId="77777777" w:rsidR="00BC0435" w:rsidRPr="00B76189" w:rsidRDefault="00BC0435" w:rsidP="00BF46E4">
            <w:pPr>
              <w:pStyle w:val="Tablebody"/>
              <w:jc w:val="center"/>
            </w:pPr>
            <w:r w:rsidRPr="00B76189">
              <w:t>86.74</w:t>
            </w:r>
          </w:p>
        </w:tc>
        <w:tc>
          <w:tcPr>
            <w:tcW w:w="1417" w:type="dxa"/>
            <w:tcBorders>
              <w:top w:val="nil"/>
              <w:left w:val="nil"/>
              <w:bottom w:val="single" w:sz="24" w:space="0" w:color="auto"/>
              <w:right w:val="nil"/>
            </w:tcBorders>
            <w:shd w:val="clear" w:color="auto" w:fill="auto"/>
            <w:vAlign w:val="center"/>
          </w:tcPr>
          <w:p w14:paraId="47917C98" w14:textId="77777777" w:rsidR="00BC0435" w:rsidRPr="00B76189" w:rsidRDefault="00BC0435" w:rsidP="00BF46E4">
            <w:pPr>
              <w:pStyle w:val="Tablebody"/>
              <w:jc w:val="center"/>
            </w:pPr>
            <w:r w:rsidRPr="00B76189">
              <w:t>13.26</w:t>
            </w:r>
          </w:p>
        </w:tc>
      </w:tr>
    </w:tbl>
    <w:p w14:paraId="5E39EF4B" w14:textId="77777777" w:rsidR="00BC0435" w:rsidRDefault="00BC0435" w:rsidP="00BC0435">
      <w:pPr>
        <w:ind w:firstLine="0"/>
      </w:pPr>
    </w:p>
    <w:p w14:paraId="6F9DF506" w14:textId="53F4A180" w:rsidR="00BC0435" w:rsidRDefault="00BC0435" w:rsidP="00BC0435">
      <w:pPr>
        <w:pStyle w:val="Caption"/>
        <w:keepNext/>
      </w:pPr>
      <w:r w:rsidRPr="00AA4DFC">
        <w:rPr>
          <w:b/>
          <w:bCs/>
        </w:rPr>
        <w:t xml:space="preserve">Supplementary Table </w:t>
      </w:r>
      <w:r w:rsidRPr="00AA4DFC">
        <w:rPr>
          <w:b/>
          <w:bCs/>
        </w:rPr>
        <w:fldChar w:fldCharType="begin"/>
      </w:r>
      <w:r w:rsidRPr="00AA4DFC">
        <w:rPr>
          <w:b/>
          <w:bCs/>
        </w:rPr>
        <w:instrText xml:space="preserve"> SEQ Supplementary_Table \* ARABIC </w:instrText>
      </w:r>
      <w:r w:rsidRPr="00AA4DFC">
        <w:rPr>
          <w:b/>
          <w:bCs/>
        </w:rPr>
        <w:fldChar w:fldCharType="separate"/>
      </w:r>
      <w:r w:rsidR="00C76C3C">
        <w:rPr>
          <w:b/>
          <w:bCs/>
          <w:noProof/>
        </w:rPr>
        <w:t>3</w:t>
      </w:r>
      <w:r w:rsidRPr="00AA4DFC">
        <w:rPr>
          <w:b/>
          <w:bCs/>
          <w:noProof/>
        </w:rPr>
        <w:fldChar w:fldCharType="end"/>
      </w:r>
      <w:r w:rsidRPr="00AA4DFC">
        <w:rPr>
          <w:b/>
          <w:bCs/>
        </w:rPr>
        <w:t xml:space="preserve"> |</w:t>
      </w:r>
      <w:r>
        <w:t xml:space="preserve"> </w:t>
      </w:r>
      <w:r w:rsidR="004A360B">
        <w:t>Change of Ni/Pt atomic ratio versus the annealing time in hours.</w:t>
      </w:r>
      <w:r w:rsidR="00341AFE">
        <w:t xml:space="preserve"> For</w:t>
      </w:r>
      <w:r w:rsidR="00341AFE" w:rsidRPr="007800F1">
        <w:t xml:space="preserve"> </w:t>
      </w:r>
      <w:r w:rsidR="00341AFE">
        <w:t xml:space="preserve">pristine </w:t>
      </w:r>
      <w:r w:rsidR="00341AFE" w:rsidRPr="006F6A39">
        <w:t>Pt/NiNC</w:t>
      </w:r>
      <w:r w:rsidR="00341AFE">
        <w:t xml:space="preserve"> catalyst, annealing time is 0 h. For final PtNi/</w:t>
      </w:r>
      <w:r w:rsidR="00341AFE" w:rsidRPr="006F6A39">
        <w:t>NiNC</w:t>
      </w:r>
      <w:r w:rsidR="00341AFE">
        <w:t xml:space="preserve"> catalyst, annealing time is 6 h.</w:t>
      </w:r>
      <w:r w:rsidR="004A360B">
        <w:t xml:space="preserve"> By normalizing the total integral areas of Ni 2p and Pt 4f regions to their corresponding relative sensitivity factors (RSFs), the Ni/Pt atomic ratios</w:t>
      </w:r>
      <w:r w:rsidR="004A360B" w:rsidRPr="0079772E">
        <w:t xml:space="preserve"> </w:t>
      </w:r>
      <w:r w:rsidR="004A360B">
        <w:t>were obtained</w:t>
      </w:r>
      <w:r w:rsidR="004A360B" w:rsidRPr="007C7CEA">
        <w:t xml:space="preserve"> </w:t>
      </w:r>
      <w:r w:rsidR="004A360B">
        <w:t>from XPS spectra.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984"/>
        <w:gridCol w:w="1843"/>
        <w:gridCol w:w="2268"/>
      </w:tblGrid>
      <w:tr w:rsidR="00BC0435" w14:paraId="25BBFBB7" w14:textId="77777777" w:rsidTr="00BF46E4">
        <w:tc>
          <w:tcPr>
            <w:tcW w:w="1560" w:type="dxa"/>
            <w:tcBorders>
              <w:top w:val="single" w:sz="24" w:space="0" w:color="auto"/>
              <w:bottom w:val="single" w:sz="24" w:space="0" w:color="auto"/>
            </w:tcBorders>
            <w:vAlign w:val="center"/>
          </w:tcPr>
          <w:p w14:paraId="19CDCCC9" w14:textId="77777777" w:rsidR="00BC0435" w:rsidRDefault="00BC0435" w:rsidP="00BF46E4">
            <w:pPr>
              <w:pStyle w:val="Tablebody"/>
              <w:jc w:val="center"/>
            </w:pPr>
            <w:r>
              <w:t>Samples</w:t>
            </w:r>
          </w:p>
        </w:tc>
        <w:tc>
          <w:tcPr>
            <w:tcW w:w="1984" w:type="dxa"/>
            <w:tcBorders>
              <w:top w:val="single" w:sz="24" w:space="0" w:color="auto"/>
              <w:bottom w:val="single" w:sz="24" w:space="0" w:color="auto"/>
            </w:tcBorders>
            <w:vAlign w:val="center"/>
          </w:tcPr>
          <w:p w14:paraId="0735FA30" w14:textId="5BC1B0A0" w:rsidR="00BC0435" w:rsidRPr="002B06BC" w:rsidRDefault="00FC6A89" w:rsidP="00BF46E4">
            <w:pPr>
              <w:pStyle w:val="Tablebody"/>
              <w:jc w:val="center"/>
            </w:pPr>
            <w:r>
              <w:t xml:space="preserve">Total </w:t>
            </w:r>
            <w:r w:rsidR="00BC0435" w:rsidRPr="002B06BC">
              <w:t>Ni 2p</w:t>
            </w:r>
            <w:r w:rsidR="00BC0435">
              <w:t xml:space="preserve"> </w:t>
            </w:r>
            <w:r w:rsidR="00AA6EDD">
              <w:t xml:space="preserve">integral </w:t>
            </w:r>
            <w:r w:rsidR="00BC0435" w:rsidRPr="002B06BC">
              <w:t>area</w:t>
            </w:r>
          </w:p>
        </w:tc>
        <w:tc>
          <w:tcPr>
            <w:tcW w:w="1843" w:type="dxa"/>
            <w:tcBorders>
              <w:top w:val="single" w:sz="24" w:space="0" w:color="auto"/>
              <w:bottom w:val="single" w:sz="24" w:space="0" w:color="auto"/>
            </w:tcBorders>
            <w:vAlign w:val="center"/>
          </w:tcPr>
          <w:p w14:paraId="3CCBBBA2" w14:textId="296C0F32" w:rsidR="00BC0435" w:rsidRPr="002B06BC" w:rsidRDefault="00FC6A89" w:rsidP="00BF46E4">
            <w:pPr>
              <w:pStyle w:val="Tablebody"/>
              <w:jc w:val="center"/>
            </w:pPr>
            <w:r>
              <w:t xml:space="preserve">Total </w:t>
            </w:r>
            <w:r w:rsidR="00BC0435">
              <w:t>Pt</w:t>
            </w:r>
            <w:r w:rsidR="00BC0435" w:rsidRPr="002B06BC">
              <w:t xml:space="preserve"> </w:t>
            </w:r>
            <w:r w:rsidR="00BC0435">
              <w:t xml:space="preserve">4f </w:t>
            </w:r>
            <w:r w:rsidR="00AA6EDD">
              <w:t xml:space="preserve">integral </w:t>
            </w:r>
            <w:r w:rsidR="00BC0435" w:rsidRPr="002B06BC">
              <w:t>area</w:t>
            </w:r>
          </w:p>
        </w:tc>
        <w:tc>
          <w:tcPr>
            <w:tcW w:w="2268" w:type="dxa"/>
            <w:tcBorders>
              <w:top w:val="single" w:sz="24" w:space="0" w:color="auto"/>
              <w:bottom w:val="single" w:sz="24" w:space="0" w:color="auto"/>
            </w:tcBorders>
            <w:vAlign w:val="center"/>
          </w:tcPr>
          <w:p w14:paraId="6EEA1888" w14:textId="77777777" w:rsidR="00BC0435" w:rsidRPr="002B06BC" w:rsidRDefault="00BC0435" w:rsidP="00BF46E4">
            <w:pPr>
              <w:pStyle w:val="Tablebody"/>
              <w:jc w:val="center"/>
            </w:pPr>
            <w:r>
              <w:t>Ni/Pt atomic ratio</w:t>
            </w:r>
          </w:p>
        </w:tc>
      </w:tr>
      <w:tr w:rsidR="00BC0435" w14:paraId="1BF3F2C2" w14:textId="77777777" w:rsidTr="00BF46E4">
        <w:tc>
          <w:tcPr>
            <w:tcW w:w="1560" w:type="dxa"/>
            <w:tcBorders>
              <w:top w:val="single" w:sz="24" w:space="0" w:color="auto"/>
            </w:tcBorders>
            <w:vAlign w:val="center"/>
          </w:tcPr>
          <w:p w14:paraId="37B45AF2" w14:textId="77777777" w:rsidR="00BC0435" w:rsidRDefault="00BC0435" w:rsidP="00BF46E4">
            <w:pPr>
              <w:pStyle w:val="Tablebody"/>
              <w:jc w:val="center"/>
            </w:pPr>
            <w:r w:rsidRPr="00DB03F7">
              <w:t>Pt/NiNC</w:t>
            </w:r>
          </w:p>
        </w:tc>
        <w:tc>
          <w:tcPr>
            <w:tcW w:w="1984" w:type="dxa"/>
            <w:tcBorders>
              <w:top w:val="nil"/>
              <w:left w:val="nil"/>
              <w:bottom w:val="nil"/>
              <w:right w:val="nil"/>
            </w:tcBorders>
            <w:shd w:val="clear" w:color="auto" w:fill="FFFFFF" w:themeFill="background1"/>
            <w:vAlign w:val="center"/>
          </w:tcPr>
          <w:p w14:paraId="1D11C9FC" w14:textId="77777777" w:rsidR="00BC0435" w:rsidRPr="00B81D2F" w:rsidRDefault="00BC0435" w:rsidP="00BF46E4">
            <w:pPr>
              <w:pStyle w:val="Tablebody"/>
              <w:jc w:val="center"/>
            </w:pPr>
            <w:r w:rsidRPr="00B81D2F">
              <w:t>2485.8</w:t>
            </w:r>
          </w:p>
        </w:tc>
        <w:tc>
          <w:tcPr>
            <w:tcW w:w="1843" w:type="dxa"/>
            <w:tcBorders>
              <w:top w:val="nil"/>
              <w:left w:val="nil"/>
              <w:bottom w:val="nil"/>
              <w:right w:val="nil"/>
            </w:tcBorders>
            <w:shd w:val="clear" w:color="auto" w:fill="FFFFFF" w:themeFill="background1"/>
            <w:vAlign w:val="center"/>
          </w:tcPr>
          <w:p w14:paraId="4E7E9ABE" w14:textId="77777777" w:rsidR="00BC0435" w:rsidRPr="00B81D2F" w:rsidRDefault="00BC0435" w:rsidP="00BF46E4">
            <w:pPr>
              <w:pStyle w:val="Tablebody"/>
              <w:jc w:val="center"/>
            </w:pPr>
            <w:r w:rsidRPr="00B81D2F">
              <w:t>9524.</w:t>
            </w:r>
            <w:r>
              <w:t>4</w:t>
            </w:r>
          </w:p>
        </w:tc>
        <w:tc>
          <w:tcPr>
            <w:tcW w:w="2268" w:type="dxa"/>
            <w:tcBorders>
              <w:top w:val="nil"/>
              <w:left w:val="nil"/>
              <w:bottom w:val="nil"/>
              <w:right w:val="nil"/>
            </w:tcBorders>
            <w:shd w:val="clear" w:color="auto" w:fill="FFFFFF" w:themeFill="background1"/>
            <w:vAlign w:val="center"/>
          </w:tcPr>
          <w:p w14:paraId="6A034ED3" w14:textId="77777777" w:rsidR="00BC0435" w:rsidRPr="00B81D2F" w:rsidRDefault="00BC0435" w:rsidP="00BF46E4">
            <w:pPr>
              <w:pStyle w:val="Tablebody"/>
              <w:jc w:val="center"/>
            </w:pPr>
            <w:r w:rsidRPr="00B81D2F">
              <w:t>0.</w:t>
            </w:r>
            <w:r>
              <w:t>20</w:t>
            </w:r>
          </w:p>
        </w:tc>
      </w:tr>
      <w:tr w:rsidR="00BC0435" w14:paraId="70F79042" w14:textId="77777777" w:rsidTr="00BF46E4">
        <w:tc>
          <w:tcPr>
            <w:tcW w:w="1560" w:type="dxa"/>
            <w:vAlign w:val="center"/>
          </w:tcPr>
          <w:p w14:paraId="78B4CAD9" w14:textId="77777777" w:rsidR="00BC0435" w:rsidRDefault="00BC0435" w:rsidP="00BF46E4">
            <w:pPr>
              <w:pStyle w:val="Tablebody"/>
              <w:jc w:val="center"/>
            </w:pPr>
            <w:r w:rsidRPr="00DB03F7">
              <w:t>AT = 1 h</w:t>
            </w:r>
          </w:p>
        </w:tc>
        <w:tc>
          <w:tcPr>
            <w:tcW w:w="1984" w:type="dxa"/>
            <w:tcBorders>
              <w:top w:val="nil"/>
              <w:left w:val="nil"/>
              <w:bottom w:val="nil"/>
              <w:right w:val="nil"/>
            </w:tcBorders>
            <w:shd w:val="clear" w:color="auto" w:fill="FFFFFF" w:themeFill="background1"/>
            <w:vAlign w:val="center"/>
          </w:tcPr>
          <w:p w14:paraId="4AD6E6E2" w14:textId="77777777" w:rsidR="00BC0435" w:rsidRPr="00B81D2F" w:rsidRDefault="00BC0435" w:rsidP="00BF46E4">
            <w:pPr>
              <w:pStyle w:val="Tablebody"/>
              <w:jc w:val="center"/>
            </w:pPr>
            <w:r w:rsidRPr="00B81D2F">
              <w:t>2659.</w:t>
            </w:r>
            <w:r>
              <w:t>1</w:t>
            </w:r>
          </w:p>
        </w:tc>
        <w:tc>
          <w:tcPr>
            <w:tcW w:w="1843" w:type="dxa"/>
            <w:tcBorders>
              <w:top w:val="nil"/>
              <w:left w:val="nil"/>
              <w:bottom w:val="nil"/>
              <w:right w:val="nil"/>
            </w:tcBorders>
            <w:shd w:val="clear" w:color="auto" w:fill="FFFFFF" w:themeFill="background1"/>
            <w:vAlign w:val="center"/>
          </w:tcPr>
          <w:p w14:paraId="31645647" w14:textId="77777777" w:rsidR="00BC0435" w:rsidRPr="00B81D2F" w:rsidRDefault="00BC0435" w:rsidP="00BF46E4">
            <w:pPr>
              <w:pStyle w:val="Tablebody"/>
              <w:jc w:val="center"/>
            </w:pPr>
            <w:r w:rsidRPr="00B81D2F">
              <w:t>3957.8</w:t>
            </w:r>
          </w:p>
        </w:tc>
        <w:tc>
          <w:tcPr>
            <w:tcW w:w="2268" w:type="dxa"/>
            <w:tcBorders>
              <w:top w:val="nil"/>
              <w:left w:val="nil"/>
              <w:bottom w:val="nil"/>
              <w:right w:val="nil"/>
            </w:tcBorders>
            <w:shd w:val="clear" w:color="auto" w:fill="FFFFFF" w:themeFill="background1"/>
            <w:vAlign w:val="center"/>
          </w:tcPr>
          <w:p w14:paraId="714EA407" w14:textId="77777777" w:rsidR="00BC0435" w:rsidRPr="00B81D2F" w:rsidRDefault="00BC0435" w:rsidP="00BF46E4">
            <w:pPr>
              <w:pStyle w:val="Tablebody"/>
              <w:jc w:val="center"/>
            </w:pPr>
            <w:r w:rsidRPr="00B81D2F">
              <w:t>0.5</w:t>
            </w:r>
            <w:r>
              <w:t xml:space="preserve">1 </w:t>
            </w:r>
            <w:r>
              <w:rPr>
                <w:rFonts w:cs="Arial"/>
              </w:rPr>
              <w:t>↑</w:t>
            </w:r>
          </w:p>
        </w:tc>
      </w:tr>
      <w:tr w:rsidR="00BC0435" w14:paraId="5F85B1FB" w14:textId="77777777" w:rsidTr="00BF46E4">
        <w:tc>
          <w:tcPr>
            <w:tcW w:w="1560" w:type="dxa"/>
            <w:vAlign w:val="center"/>
          </w:tcPr>
          <w:p w14:paraId="64662D95" w14:textId="77777777" w:rsidR="00BC0435" w:rsidRDefault="00BC0435" w:rsidP="00BF46E4">
            <w:pPr>
              <w:pStyle w:val="Tablebody"/>
              <w:jc w:val="center"/>
            </w:pPr>
            <w:r w:rsidRPr="00DB03F7">
              <w:t xml:space="preserve">AT = </w:t>
            </w:r>
            <w:r>
              <w:t>3</w:t>
            </w:r>
            <w:r w:rsidRPr="00DB03F7">
              <w:t xml:space="preserve"> h</w:t>
            </w:r>
          </w:p>
        </w:tc>
        <w:tc>
          <w:tcPr>
            <w:tcW w:w="1984" w:type="dxa"/>
            <w:tcBorders>
              <w:top w:val="nil"/>
              <w:left w:val="nil"/>
              <w:bottom w:val="nil"/>
              <w:right w:val="nil"/>
            </w:tcBorders>
            <w:shd w:val="clear" w:color="auto" w:fill="FFFFFF" w:themeFill="background1"/>
            <w:vAlign w:val="center"/>
          </w:tcPr>
          <w:p w14:paraId="3EEFA5D7" w14:textId="77777777" w:rsidR="00BC0435" w:rsidRPr="00B81D2F" w:rsidRDefault="00BC0435" w:rsidP="00BF46E4">
            <w:pPr>
              <w:pStyle w:val="Tablebody"/>
              <w:jc w:val="center"/>
            </w:pPr>
            <w:r w:rsidRPr="00B81D2F">
              <w:t>2523.6</w:t>
            </w:r>
          </w:p>
        </w:tc>
        <w:tc>
          <w:tcPr>
            <w:tcW w:w="1843" w:type="dxa"/>
            <w:tcBorders>
              <w:top w:val="nil"/>
              <w:left w:val="nil"/>
              <w:bottom w:val="nil"/>
              <w:right w:val="nil"/>
            </w:tcBorders>
            <w:shd w:val="clear" w:color="auto" w:fill="FFFFFF" w:themeFill="background1"/>
            <w:vAlign w:val="center"/>
          </w:tcPr>
          <w:p w14:paraId="0AB9F47D" w14:textId="77777777" w:rsidR="00BC0435" w:rsidRPr="00B81D2F" w:rsidRDefault="00BC0435" w:rsidP="00BF46E4">
            <w:pPr>
              <w:pStyle w:val="Tablebody"/>
              <w:jc w:val="center"/>
            </w:pPr>
            <w:r w:rsidRPr="00B81D2F">
              <w:t>2553.</w:t>
            </w:r>
            <w:r>
              <w:t>3</w:t>
            </w:r>
          </w:p>
        </w:tc>
        <w:tc>
          <w:tcPr>
            <w:tcW w:w="2268" w:type="dxa"/>
            <w:tcBorders>
              <w:top w:val="nil"/>
              <w:left w:val="nil"/>
              <w:bottom w:val="nil"/>
              <w:right w:val="nil"/>
            </w:tcBorders>
            <w:shd w:val="clear" w:color="auto" w:fill="FFFFFF" w:themeFill="background1"/>
            <w:vAlign w:val="center"/>
          </w:tcPr>
          <w:p w14:paraId="1AE5088C" w14:textId="77777777" w:rsidR="00BC0435" w:rsidRPr="00B81D2F" w:rsidRDefault="00BC0435" w:rsidP="00BF46E4">
            <w:pPr>
              <w:pStyle w:val="Tablebody"/>
              <w:jc w:val="center"/>
            </w:pPr>
            <w:r w:rsidRPr="00B81D2F">
              <w:t>0.74</w:t>
            </w:r>
            <w:r>
              <w:t xml:space="preserve"> </w:t>
            </w:r>
            <w:r>
              <w:rPr>
                <w:rFonts w:cs="Arial"/>
              </w:rPr>
              <w:t>↑</w:t>
            </w:r>
          </w:p>
        </w:tc>
      </w:tr>
      <w:tr w:rsidR="00BC0435" w14:paraId="4649BB19" w14:textId="77777777" w:rsidTr="00BF46E4">
        <w:tc>
          <w:tcPr>
            <w:tcW w:w="1560" w:type="dxa"/>
            <w:tcBorders>
              <w:bottom w:val="single" w:sz="24" w:space="0" w:color="auto"/>
            </w:tcBorders>
            <w:vAlign w:val="center"/>
          </w:tcPr>
          <w:p w14:paraId="2709E332" w14:textId="77777777" w:rsidR="00BC0435" w:rsidRDefault="00BC0435" w:rsidP="00BF46E4">
            <w:pPr>
              <w:pStyle w:val="Tablebody"/>
              <w:jc w:val="center"/>
            </w:pPr>
            <w:r w:rsidRPr="00DB03F7">
              <w:lastRenderedPageBreak/>
              <w:t>PtNi</w:t>
            </w:r>
            <w:r w:rsidRPr="00DB03F7">
              <w:rPr>
                <w:vertAlign w:val="subscript"/>
              </w:rPr>
              <w:t>x</w:t>
            </w:r>
            <w:r w:rsidRPr="00DB03F7">
              <w:t>/NiNC</w:t>
            </w:r>
          </w:p>
        </w:tc>
        <w:tc>
          <w:tcPr>
            <w:tcW w:w="1984" w:type="dxa"/>
            <w:tcBorders>
              <w:top w:val="nil"/>
              <w:left w:val="nil"/>
              <w:bottom w:val="single" w:sz="24" w:space="0" w:color="auto"/>
              <w:right w:val="nil"/>
            </w:tcBorders>
            <w:shd w:val="clear" w:color="auto" w:fill="FFFFFF" w:themeFill="background1"/>
            <w:vAlign w:val="center"/>
          </w:tcPr>
          <w:p w14:paraId="415DB60D" w14:textId="77777777" w:rsidR="00BC0435" w:rsidRPr="00B81D2F" w:rsidRDefault="00BC0435" w:rsidP="00BF46E4">
            <w:pPr>
              <w:pStyle w:val="Tablebody"/>
              <w:jc w:val="center"/>
            </w:pPr>
            <w:r w:rsidRPr="00B81D2F">
              <w:t>3226.</w:t>
            </w:r>
            <w:r>
              <w:t>7</w:t>
            </w:r>
          </w:p>
        </w:tc>
        <w:tc>
          <w:tcPr>
            <w:tcW w:w="1843" w:type="dxa"/>
            <w:tcBorders>
              <w:top w:val="nil"/>
              <w:left w:val="nil"/>
              <w:bottom w:val="single" w:sz="24" w:space="0" w:color="auto"/>
              <w:right w:val="nil"/>
            </w:tcBorders>
            <w:shd w:val="clear" w:color="auto" w:fill="FFFFFF" w:themeFill="background1"/>
            <w:vAlign w:val="center"/>
          </w:tcPr>
          <w:p w14:paraId="431DF61A" w14:textId="77777777" w:rsidR="00BC0435" w:rsidRPr="00B81D2F" w:rsidRDefault="00BC0435" w:rsidP="00BF46E4">
            <w:pPr>
              <w:pStyle w:val="Tablebody"/>
              <w:jc w:val="center"/>
            </w:pPr>
            <w:r w:rsidRPr="00B81D2F">
              <w:t>3144.</w:t>
            </w:r>
            <w:r>
              <w:t>6</w:t>
            </w:r>
          </w:p>
        </w:tc>
        <w:tc>
          <w:tcPr>
            <w:tcW w:w="2268" w:type="dxa"/>
            <w:tcBorders>
              <w:top w:val="nil"/>
              <w:left w:val="nil"/>
              <w:bottom w:val="single" w:sz="24" w:space="0" w:color="auto"/>
              <w:right w:val="nil"/>
            </w:tcBorders>
            <w:shd w:val="clear" w:color="auto" w:fill="FFFFFF" w:themeFill="background1"/>
            <w:vAlign w:val="center"/>
          </w:tcPr>
          <w:p w14:paraId="6F771411" w14:textId="77777777" w:rsidR="00BC0435" w:rsidRPr="00B81D2F" w:rsidRDefault="00BC0435" w:rsidP="00BF46E4">
            <w:pPr>
              <w:pStyle w:val="Tablebody"/>
              <w:jc w:val="center"/>
            </w:pPr>
            <w:r w:rsidRPr="00B81D2F">
              <w:t>0.77</w:t>
            </w:r>
            <w:r>
              <w:t xml:space="preserve"> </w:t>
            </w:r>
            <w:r>
              <w:rPr>
                <w:rFonts w:cs="Arial"/>
              </w:rPr>
              <w:t>↑</w:t>
            </w:r>
          </w:p>
        </w:tc>
      </w:tr>
    </w:tbl>
    <w:p w14:paraId="159B8FB7" w14:textId="77777777" w:rsidR="00BC0435" w:rsidRDefault="00BC0435" w:rsidP="00BC0435">
      <w:pPr>
        <w:ind w:firstLine="0"/>
      </w:pPr>
    </w:p>
    <w:p w14:paraId="0BE52CF6" w14:textId="3E811A81" w:rsidR="00BC0435" w:rsidRDefault="00BC0435" w:rsidP="00BC0435">
      <w:pPr>
        <w:pStyle w:val="Caption"/>
        <w:keepNext/>
      </w:pPr>
      <w:r w:rsidRPr="003008A8">
        <w:rPr>
          <w:b/>
          <w:bCs/>
        </w:rPr>
        <w:t xml:space="preserve">Supplementary Table </w:t>
      </w:r>
      <w:r w:rsidRPr="003008A8">
        <w:rPr>
          <w:b/>
          <w:bCs/>
        </w:rPr>
        <w:fldChar w:fldCharType="begin"/>
      </w:r>
      <w:r w:rsidRPr="003008A8">
        <w:rPr>
          <w:b/>
          <w:bCs/>
        </w:rPr>
        <w:instrText xml:space="preserve"> SEQ Supplementary_Table \* ARABIC </w:instrText>
      </w:r>
      <w:r w:rsidRPr="003008A8">
        <w:rPr>
          <w:b/>
          <w:bCs/>
        </w:rPr>
        <w:fldChar w:fldCharType="separate"/>
      </w:r>
      <w:r w:rsidR="00C76C3C">
        <w:rPr>
          <w:b/>
          <w:bCs/>
          <w:noProof/>
        </w:rPr>
        <w:t>4</w:t>
      </w:r>
      <w:r w:rsidRPr="003008A8">
        <w:rPr>
          <w:b/>
          <w:bCs/>
          <w:noProof/>
        </w:rPr>
        <w:fldChar w:fldCharType="end"/>
      </w:r>
      <w:r w:rsidRPr="003008A8">
        <w:rPr>
          <w:b/>
          <w:bCs/>
        </w:rPr>
        <w:t xml:space="preserve"> |</w:t>
      </w:r>
      <w:r>
        <w:t xml:space="preserve"> </w:t>
      </w:r>
      <w:r w:rsidR="000F427D">
        <w:t>Metal</w:t>
      </w:r>
      <w:r w:rsidR="00BF7612">
        <w:t xml:space="preserve"> </w:t>
      </w:r>
      <w:r w:rsidR="00061A63">
        <w:t>contents</w:t>
      </w:r>
      <w:r w:rsidR="003008A8">
        <w:t xml:space="preserve"> in weight percentage</w:t>
      </w:r>
      <w:r w:rsidR="00BF7612">
        <w:t xml:space="preserve"> determined by ICP for catalyst materials</w:t>
      </w:r>
      <w:r w:rsidR="0092216D">
        <w:t xml:space="preserve"> derived from Pt/NiNC, as well as Pt/Vul-C reference material</w:t>
      </w:r>
      <w:r w:rsidR="00BF7612">
        <w:t>.</w:t>
      </w:r>
    </w:p>
    <w:tbl>
      <w:tblPr>
        <w:tblStyle w:val="TableGrid"/>
        <w:tblW w:w="0" w:type="auto"/>
        <w:tblLayout w:type="fixed"/>
        <w:tblLook w:val="04A0" w:firstRow="1" w:lastRow="0" w:firstColumn="1" w:lastColumn="0" w:noHBand="0" w:noVBand="1"/>
      </w:tblPr>
      <w:tblGrid>
        <w:gridCol w:w="1672"/>
        <w:gridCol w:w="1673"/>
        <w:gridCol w:w="1673"/>
      </w:tblGrid>
      <w:tr w:rsidR="00BC0435" w14:paraId="4E1D48C2" w14:textId="77777777" w:rsidTr="00BF46E4">
        <w:tc>
          <w:tcPr>
            <w:tcW w:w="1672" w:type="dxa"/>
            <w:tcBorders>
              <w:top w:val="single" w:sz="24" w:space="0" w:color="auto"/>
              <w:left w:val="nil"/>
              <w:bottom w:val="single" w:sz="24" w:space="0" w:color="auto"/>
              <w:right w:val="nil"/>
            </w:tcBorders>
            <w:vAlign w:val="center"/>
          </w:tcPr>
          <w:p w14:paraId="71FA85CC" w14:textId="77777777" w:rsidR="00BC0435" w:rsidRDefault="00BC0435" w:rsidP="00BF46E4">
            <w:pPr>
              <w:pStyle w:val="Tablebody"/>
              <w:jc w:val="center"/>
            </w:pPr>
            <w:r>
              <w:t>Samples</w:t>
            </w:r>
          </w:p>
        </w:tc>
        <w:tc>
          <w:tcPr>
            <w:tcW w:w="1673" w:type="dxa"/>
            <w:tcBorders>
              <w:top w:val="single" w:sz="24" w:space="0" w:color="auto"/>
              <w:left w:val="nil"/>
              <w:bottom w:val="single" w:sz="24" w:space="0" w:color="auto"/>
              <w:right w:val="nil"/>
            </w:tcBorders>
            <w:shd w:val="clear" w:color="auto" w:fill="auto"/>
            <w:vAlign w:val="center"/>
          </w:tcPr>
          <w:p w14:paraId="32EBD84C" w14:textId="77777777" w:rsidR="00BC0435" w:rsidRPr="00CC68D6" w:rsidRDefault="00BC0435" w:rsidP="00BF46E4">
            <w:pPr>
              <w:pStyle w:val="Tablebody"/>
              <w:jc w:val="center"/>
            </w:pPr>
            <w:r w:rsidRPr="00CC68D6">
              <w:t>Pt wt% (ICP)</w:t>
            </w:r>
          </w:p>
        </w:tc>
        <w:tc>
          <w:tcPr>
            <w:tcW w:w="1673" w:type="dxa"/>
            <w:tcBorders>
              <w:top w:val="single" w:sz="24" w:space="0" w:color="auto"/>
              <w:left w:val="nil"/>
              <w:bottom w:val="single" w:sz="24" w:space="0" w:color="auto"/>
              <w:right w:val="nil"/>
            </w:tcBorders>
            <w:shd w:val="clear" w:color="auto" w:fill="auto"/>
            <w:vAlign w:val="center"/>
          </w:tcPr>
          <w:p w14:paraId="1CD5B8BF" w14:textId="77777777" w:rsidR="00BC0435" w:rsidRPr="00CC68D6" w:rsidRDefault="00BC0435" w:rsidP="00BF46E4">
            <w:pPr>
              <w:pStyle w:val="Tablebody"/>
              <w:jc w:val="center"/>
            </w:pPr>
            <w:r w:rsidRPr="00CC68D6">
              <w:t>Ni wt% (ICP)</w:t>
            </w:r>
          </w:p>
        </w:tc>
      </w:tr>
      <w:tr w:rsidR="00BC0435" w14:paraId="7932E45A" w14:textId="77777777" w:rsidTr="00BF46E4">
        <w:tc>
          <w:tcPr>
            <w:tcW w:w="1672" w:type="dxa"/>
            <w:tcBorders>
              <w:top w:val="single" w:sz="24" w:space="0" w:color="auto"/>
              <w:left w:val="nil"/>
              <w:bottom w:val="nil"/>
              <w:right w:val="nil"/>
            </w:tcBorders>
            <w:vAlign w:val="center"/>
          </w:tcPr>
          <w:p w14:paraId="547D1E5B" w14:textId="77777777" w:rsidR="00BC0435" w:rsidRDefault="00BC0435" w:rsidP="00BF46E4">
            <w:pPr>
              <w:pStyle w:val="Tablebody"/>
              <w:jc w:val="center"/>
            </w:pPr>
            <w:r w:rsidRPr="0091020B">
              <w:t>Pt/Vul-C</w:t>
            </w:r>
          </w:p>
        </w:tc>
        <w:tc>
          <w:tcPr>
            <w:tcW w:w="1673" w:type="dxa"/>
            <w:tcBorders>
              <w:top w:val="single" w:sz="24" w:space="0" w:color="auto"/>
              <w:left w:val="nil"/>
              <w:bottom w:val="nil"/>
              <w:right w:val="nil"/>
            </w:tcBorders>
            <w:shd w:val="clear" w:color="auto" w:fill="auto"/>
            <w:vAlign w:val="center"/>
          </w:tcPr>
          <w:p w14:paraId="5F0267C4" w14:textId="77777777" w:rsidR="00BC0435" w:rsidRPr="00CC68D6" w:rsidRDefault="00BC0435" w:rsidP="00BF46E4">
            <w:pPr>
              <w:pStyle w:val="Tablebody"/>
              <w:jc w:val="center"/>
            </w:pPr>
            <w:r w:rsidRPr="00CC68D6">
              <w:t>3.01</w:t>
            </w:r>
          </w:p>
        </w:tc>
        <w:tc>
          <w:tcPr>
            <w:tcW w:w="1673" w:type="dxa"/>
            <w:tcBorders>
              <w:top w:val="single" w:sz="24" w:space="0" w:color="auto"/>
              <w:left w:val="nil"/>
              <w:bottom w:val="nil"/>
              <w:right w:val="nil"/>
            </w:tcBorders>
            <w:shd w:val="clear" w:color="auto" w:fill="auto"/>
            <w:vAlign w:val="center"/>
          </w:tcPr>
          <w:p w14:paraId="7A53BAD1" w14:textId="77777777" w:rsidR="00BC0435" w:rsidRPr="00CC68D6" w:rsidRDefault="00BC0435" w:rsidP="00BF46E4">
            <w:pPr>
              <w:pStyle w:val="Tablebody"/>
              <w:jc w:val="center"/>
            </w:pPr>
            <w:r w:rsidRPr="00CC68D6">
              <w:t>NA</w:t>
            </w:r>
          </w:p>
        </w:tc>
      </w:tr>
      <w:tr w:rsidR="00BC0435" w14:paraId="420B650B" w14:textId="77777777" w:rsidTr="00BF46E4">
        <w:tc>
          <w:tcPr>
            <w:tcW w:w="1672" w:type="dxa"/>
            <w:tcBorders>
              <w:top w:val="nil"/>
              <w:left w:val="nil"/>
              <w:bottom w:val="nil"/>
              <w:right w:val="nil"/>
            </w:tcBorders>
            <w:vAlign w:val="center"/>
          </w:tcPr>
          <w:p w14:paraId="306F376C" w14:textId="77777777" w:rsidR="00BC0435" w:rsidRDefault="00BC0435" w:rsidP="00BF46E4">
            <w:pPr>
              <w:pStyle w:val="Tablebody"/>
              <w:jc w:val="center"/>
            </w:pPr>
            <w:r w:rsidRPr="00DB03F7">
              <w:t>Pt/NiNC</w:t>
            </w:r>
          </w:p>
        </w:tc>
        <w:tc>
          <w:tcPr>
            <w:tcW w:w="1673" w:type="dxa"/>
            <w:tcBorders>
              <w:top w:val="nil"/>
              <w:left w:val="nil"/>
              <w:bottom w:val="nil"/>
              <w:right w:val="nil"/>
            </w:tcBorders>
            <w:shd w:val="clear" w:color="auto" w:fill="auto"/>
            <w:vAlign w:val="center"/>
          </w:tcPr>
          <w:p w14:paraId="35AE0546" w14:textId="77777777" w:rsidR="00BC0435" w:rsidRPr="00CC68D6" w:rsidRDefault="00BC0435" w:rsidP="00BF46E4">
            <w:pPr>
              <w:pStyle w:val="Tablebody"/>
              <w:jc w:val="center"/>
            </w:pPr>
            <w:r w:rsidRPr="00CC68D6">
              <w:t>3.14</w:t>
            </w:r>
          </w:p>
        </w:tc>
        <w:tc>
          <w:tcPr>
            <w:tcW w:w="1673" w:type="dxa"/>
            <w:tcBorders>
              <w:top w:val="nil"/>
              <w:left w:val="nil"/>
              <w:bottom w:val="nil"/>
              <w:right w:val="nil"/>
            </w:tcBorders>
            <w:shd w:val="clear" w:color="auto" w:fill="auto"/>
            <w:vAlign w:val="center"/>
          </w:tcPr>
          <w:p w14:paraId="700D1C81" w14:textId="77777777" w:rsidR="00BC0435" w:rsidRPr="00CC68D6" w:rsidRDefault="00BC0435" w:rsidP="00BF46E4">
            <w:pPr>
              <w:pStyle w:val="Tablebody"/>
              <w:jc w:val="center"/>
            </w:pPr>
            <w:r w:rsidRPr="00CC68D6">
              <w:t>6.91</w:t>
            </w:r>
          </w:p>
        </w:tc>
      </w:tr>
      <w:tr w:rsidR="00BC0435" w14:paraId="439830C6" w14:textId="77777777" w:rsidTr="00BF46E4">
        <w:tc>
          <w:tcPr>
            <w:tcW w:w="1672" w:type="dxa"/>
            <w:tcBorders>
              <w:top w:val="nil"/>
              <w:left w:val="nil"/>
              <w:bottom w:val="nil"/>
              <w:right w:val="nil"/>
            </w:tcBorders>
            <w:vAlign w:val="center"/>
          </w:tcPr>
          <w:p w14:paraId="4A302B4A" w14:textId="77777777" w:rsidR="00BC0435" w:rsidRDefault="00BC0435" w:rsidP="00BF46E4">
            <w:pPr>
              <w:pStyle w:val="Tablebody"/>
              <w:jc w:val="center"/>
            </w:pPr>
            <w:r w:rsidRPr="00DB03F7">
              <w:t>AT = 1 h</w:t>
            </w:r>
          </w:p>
        </w:tc>
        <w:tc>
          <w:tcPr>
            <w:tcW w:w="1673" w:type="dxa"/>
            <w:tcBorders>
              <w:top w:val="nil"/>
              <w:left w:val="nil"/>
              <w:bottom w:val="nil"/>
              <w:right w:val="nil"/>
            </w:tcBorders>
            <w:shd w:val="clear" w:color="auto" w:fill="auto"/>
            <w:vAlign w:val="center"/>
          </w:tcPr>
          <w:p w14:paraId="34F99CFC" w14:textId="77777777" w:rsidR="00BC0435" w:rsidRPr="00CC68D6" w:rsidRDefault="00BC0435" w:rsidP="00BF46E4">
            <w:pPr>
              <w:pStyle w:val="Tablebody"/>
              <w:jc w:val="center"/>
            </w:pPr>
            <w:r w:rsidRPr="00CC68D6">
              <w:t>2.96</w:t>
            </w:r>
          </w:p>
        </w:tc>
        <w:tc>
          <w:tcPr>
            <w:tcW w:w="1673" w:type="dxa"/>
            <w:tcBorders>
              <w:top w:val="nil"/>
              <w:left w:val="nil"/>
              <w:bottom w:val="nil"/>
              <w:right w:val="nil"/>
            </w:tcBorders>
            <w:shd w:val="clear" w:color="auto" w:fill="auto"/>
            <w:vAlign w:val="center"/>
          </w:tcPr>
          <w:p w14:paraId="670846FC" w14:textId="77777777" w:rsidR="00BC0435" w:rsidRPr="00CC68D6" w:rsidRDefault="00BC0435" w:rsidP="00BF46E4">
            <w:pPr>
              <w:pStyle w:val="Tablebody"/>
              <w:jc w:val="center"/>
            </w:pPr>
            <w:r w:rsidRPr="00CC68D6">
              <w:t>6.57</w:t>
            </w:r>
          </w:p>
        </w:tc>
      </w:tr>
      <w:tr w:rsidR="00BC0435" w14:paraId="4D6E3CA6" w14:textId="77777777" w:rsidTr="00BF46E4">
        <w:tc>
          <w:tcPr>
            <w:tcW w:w="1672" w:type="dxa"/>
            <w:tcBorders>
              <w:top w:val="nil"/>
              <w:left w:val="nil"/>
              <w:bottom w:val="nil"/>
              <w:right w:val="nil"/>
            </w:tcBorders>
            <w:vAlign w:val="center"/>
          </w:tcPr>
          <w:p w14:paraId="4094061A" w14:textId="77777777" w:rsidR="00BC0435" w:rsidRDefault="00BC0435" w:rsidP="00BF46E4">
            <w:pPr>
              <w:pStyle w:val="Tablebody"/>
              <w:jc w:val="center"/>
            </w:pPr>
            <w:r w:rsidRPr="00DB03F7">
              <w:t xml:space="preserve">AT = </w:t>
            </w:r>
            <w:r>
              <w:t>3</w:t>
            </w:r>
            <w:r w:rsidRPr="00DB03F7">
              <w:t xml:space="preserve"> h</w:t>
            </w:r>
          </w:p>
        </w:tc>
        <w:tc>
          <w:tcPr>
            <w:tcW w:w="1673" w:type="dxa"/>
            <w:tcBorders>
              <w:top w:val="nil"/>
              <w:left w:val="nil"/>
              <w:bottom w:val="nil"/>
              <w:right w:val="nil"/>
            </w:tcBorders>
            <w:shd w:val="clear" w:color="auto" w:fill="auto"/>
            <w:vAlign w:val="center"/>
          </w:tcPr>
          <w:p w14:paraId="09BAFC0D" w14:textId="77777777" w:rsidR="00BC0435" w:rsidRPr="00CC68D6" w:rsidRDefault="00BC0435" w:rsidP="00BF46E4">
            <w:pPr>
              <w:pStyle w:val="Tablebody"/>
              <w:jc w:val="center"/>
            </w:pPr>
            <w:r w:rsidRPr="00CC68D6">
              <w:t>3.32</w:t>
            </w:r>
          </w:p>
        </w:tc>
        <w:tc>
          <w:tcPr>
            <w:tcW w:w="1673" w:type="dxa"/>
            <w:tcBorders>
              <w:top w:val="nil"/>
              <w:left w:val="nil"/>
              <w:bottom w:val="nil"/>
              <w:right w:val="nil"/>
            </w:tcBorders>
            <w:shd w:val="clear" w:color="auto" w:fill="auto"/>
            <w:vAlign w:val="center"/>
          </w:tcPr>
          <w:p w14:paraId="656421B6" w14:textId="77777777" w:rsidR="00BC0435" w:rsidRPr="00CC68D6" w:rsidRDefault="00BC0435" w:rsidP="00BF46E4">
            <w:pPr>
              <w:pStyle w:val="Tablebody"/>
              <w:jc w:val="center"/>
            </w:pPr>
            <w:r w:rsidRPr="00CC68D6">
              <w:t>7.56</w:t>
            </w:r>
          </w:p>
        </w:tc>
      </w:tr>
      <w:tr w:rsidR="00BC0435" w14:paraId="29C462CE" w14:textId="77777777" w:rsidTr="00BF46E4">
        <w:tc>
          <w:tcPr>
            <w:tcW w:w="1672" w:type="dxa"/>
            <w:tcBorders>
              <w:top w:val="nil"/>
              <w:left w:val="nil"/>
              <w:bottom w:val="single" w:sz="24" w:space="0" w:color="auto"/>
              <w:right w:val="nil"/>
            </w:tcBorders>
            <w:vAlign w:val="center"/>
          </w:tcPr>
          <w:p w14:paraId="19199DF9" w14:textId="77777777" w:rsidR="00BC0435" w:rsidRDefault="00BC0435" w:rsidP="00BF46E4">
            <w:pPr>
              <w:pStyle w:val="Tablebody"/>
              <w:jc w:val="center"/>
            </w:pPr>
            <w:r w:rsidRPr="00DB03F7">
              <w:t>PtNi</w:t>
            </w:r>
            <w:r w:rsidRPr="00DB03F7">
              <w:rPr>
                <w:vertAlign w:val="subscript"/>
              </w:rPr>
              <w:t>x</w:t>
            </w:r>
            <w:r w:rsidRPr="00DB03F7">
              <w:t>/NiNC</w:t>
            </w:r>
          </w:p>
        </w:tc>
        <w:tc>
          <w:tcPr>
            <w:tcW w:w="1673" w:type="dxa"/>
            <w:tcBorders>
              <w:top w:val="nil"/>
              <w:left w:val="nil"/>
              <w:bottom w:val="single" w:sz="24" w:space="0" w:color="auto"/>
              <w:right w:val="nil"/>
            </w:tcBorders>
            <w:shd w:val="clear" w:color="auto" w:fill="auto"/>
            <w:vAlign w:val="center"/>
          </w:tcPr>
          <w:p w14:paraId="06CE21FE" w14:textId="77777777" w:rsidR="00BC0435" w:rsidRPr="00CC68D6" w:rsidRDefault="00BC0435" w:rsidP="00BF46E4">
            <w:pPr>
              <w:pStyle w:val="Tablebody"/>
              <w:jc w:val="center"/>
            </w:pPr>
            <w:r w:rsidRPr="00CC68D6">
              <w:t>3.23</w:t>
            </w:r>
            <w:r>
              <w:t xml:space="preserve"> </w:t>
            </w:r>
            <w:r>
              <w:rPr>
                <w:rFonts w:cs="Arial"/>
              </w:rPr>
              <w:t>↑</w:t>
            </w:r>
          </w:p>
        </w:tc>
        <w:tc>
          <w:tcPr>
            <w:tcW w:w="1673" w:type="dxa"/>
            <w:tcBorders>
              <w:top w:val="nil"/>
              <w:left w:val="nil"/>
              <w:bottom w:val="single" w:sz="24" w:space="0" w:color="auto"/>
              <w:right w:val="nil"/>
            </w:tcBorders>
            <w:shd w:val="clear" w:color="auto" w:fill="auto"/>
            <w:vAlign w:val="center"/>
          </w:tcPr>
          <w:p w14:paraId="2CFABA28" w14:textId="77777777" w:rsidR="00BC0435" w:rsidRPr="00CC68D6" w:rsidRDefault="00BC0435" w:rsidP="00BF46E4">
            <w:pPr>
              <w:pStyle w:val="Tablebody"/>
              <w:jc w:val="center"/>
            </w:pPr>
            <w:r w:rsidRPr="00CC68D6">
              <w:t>7.42</w:t>
            </w:r>
            <w:r>
              <w:t xml:space="preserve"> </w:t>
            </w:r>
            <w:r>
              <w:rPr>
                <w:rFonts w:cs="Arial"/>
              </w:rPr>
              <w:t>↑</w:t>
            </w:r>
          </w:p>
        </w:tc>
      </w:tr>
    </w:tbl>
    <w:p w14:paraId="6E0F3D3E" w14:textId="77777777" w:rsidR="00BC0435" w:rsidRDefault="00BC0435" w:rsidP="00BC0435">
      <w:pPr>
        <w:ind w:firstLine="0"/>
      </w:pPr>
    </w:p>
    <w:p w14:paraId="21FB887D" w14:textId="77777777" w:rsidR="00115538" w:rsidRDefault="000F0277" w:rsidP="00115538">
      <w:pPr>
        <w:keepNext/>
        <w:ind w:firstLine="0"/>
      </w:pPr>
      <w:r>
        <w:rPr>
          <w:noProof/>
        </w:rPr>
        <w:lastRenderedPageBreak/>
        <w:drawing>
          <wp:inline distT="0" distB="0" distL="0" distR="0" wp14:anchorId="30B65550" wp14:editId="7845BD16">
            <wp:extent cx="4320000" cy="4291283"/>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0" cy="4291283"/>
                    </a:xfrm>
                    <a:prstGeom prst="rect">
                      <a:avLst/>
                    </a:prstGeom>
                    <a:noFill/>
                    <a:ln>
                      <a:noFill/>
                    </a:ln>
                  </pic:spPr>
                </pic:pic>
              </a:graphicData>
            </a:graphic>
          </wp:inline>
        </w:drawing>
      </w:r>
    </w:p>
    <w:p w14:paraId="205B9C25" w14:textId="29AE37C8" w:rsidR="00633AAB" w:rsidRDefault="00115538" w:rsidP="00EB3117">
      <w:pPr>
        <w:pStyle w:val="Caption"/>
      </w:pPr>
      <w:r w:rsidRPr="00C86B2B">
        <w:rPr>
          <w:b/>
          <w:bCs/>
        </w:rPr>
        <w:t xml:space="preserve">Supplementary Fig. </w:t>
      </w:r>
      <w:r w:rsidRPr="00C86B2B">
        <w:rPr>
          <w:b/>
          <w:bCs/>
        </w:rPr>
        <w:fldChar w:fldCharType="begin"/>
      </w:r>
      <w:r w:rsidRPr="00C86B2B">
        <w:rPr>
          <w:b/>
          <w:bCs/>
        </w:rPr>
        <w:instrText xml:space="preserve"> SEQ Supplementary_Fig. \* ARABIC </w:instrText>
      </w:r>
      <w:r w:rsidRPr="00C86B2B">
        <w:rPr>
          <w:b/>
          <w:bCs/>
        </w:rPr>
        <w:fldChar w:fldCharType="separate"/>
      </w:r>
      <w:r w:rsidR="00C76C3C">
        <w:rPr>
          <w:b/>
          <w:bCs/>
          <w:noProof/>
        </w:rPr>
        <w:t>8</w:t>
      </w:r>
      <w:r w:rsidRPr="00C86B2B">
        <w:rPr>
          <w:b/>
          <w:bCs/>
        </w:rPr>
        <w:fldChar w:fldCharType="end"/>
      </w:r>
      <w:r w:rsidRPr="00C86B2B">
        <w:rPr>
          <w:b/>
          <w:bCs/>
        </w:rPr>
        <w:t xml:space="preserve"> |</w:t>
      </w:r>
      <w:r>
        <w:t xml:space="preserve"> </w:t>
      </w:r>
      <w:r w:rsidR="00BF600A" w:rsidRPr="0052620C">
        <w:rPr>
          <w:i/>
          <w:iCs w:val="0"/>
        </w:rPr>
        <w:t>In situ</w:t>
      </w:r>
      <w:r w:rsidR="00BF600A">
        <w:t xml:space="preserve"> </w:t>
      </w:r>
      <w:r w:rsidR="00633AAB">
        <w:t xml:space="preserve">TEM image series taken below 500 </w:t>
      </w:r>
      <w:r w:rsidR="00633AAB">
        <w:rPr>
          <w:rFonts w:cs="Arial"/>
        </w:rPr>
        <w:t>°</w:t>
      </w:r>
      <w:r w:rsidR="00633AAB">
        <w:t>C</w:t>
      </w:r>
      <w:r w:rsidR="00461A7D">
        <w:t xml:space="preserve">. </w:t>
      </w:r>
      <w:r w:rsidR="00A960E3">
        <w:t xml:space="preserve">At lower temperatures, </w:t>
      </w:r>
      <w:r w:rsidR="006C51C5">
        <w:t>small Pt NPs as marked by yellow circles either agglomerated slightly or become rounded</w:t>
      </w:r>
      <w:r w:rsidR="001428A2">
        <w:t xml:space="preserve"> in shape</w:t>
      </w:r>
      <w:r w:rsidR="004E19CB">
        <w:t>, whereas</w:t>
      </w:r>
      <w:r w:rsidR="006C51C5">
        <w:t xml:space="preserve"> Ni NPs are stable. </w:t>
      </w:r>
      <w:r w:rsidR="00A960E3">
        <w:t xml:space="preserve">Scale bar: 20 nm. </w:t>
      </w:r>
    </w:p>
    <w:p w14:paraId="242FD321" w14:textId="77777777" w:rsidR="00BB7911" w:rsidRDefault="00243539" w:rsidP="005E73B1">
      <w:pPr>
        <w:ind w:firstLine="0"/>
      </w:pPr>
      <w:r>
        <w:rPr>
          <w:noProof/>
        </w:rPr>
        <w:drawing>
          <wp:inline distT="0" distB="0" distL="0" distR="0" wp14:anchorId="5B2C6839" wp14:editId="1757D504">
            <wp:extent cx="5731510" cy="184912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849120"/>
                    </a:xfrm>
                    <a:prstGeom prst="rect">
                      <a:avLst/>
                    </a:prstGeom>
                    <a:noFill/>
                    <a:ln>
                      <a:noFill/>
                    </a:ln>
                  </pic:spPr>
                </pic:pic>
              </a:graphicData>
            </a:graphic>
          </wp:inline>
        </w:drawing>
      </w:r>
    </w:p>
    <w:p w14:paraId="5A96B5F5" w14:textId="153DDD18" w:rsidR="00243539" w:rsidRPr="00243539" w:rsidRDefault="00BB7911" w:rsidP="00D95F68">
      <w:pPr>
        <w:pStyle w:val="Caption"/>
      </w:pPr>
      <w:r w:rsidRPr="00C86B2B">
        <w:rPr>
          <w:b/>
          <w:bCs/>
        </w:rPr>
        <w:t xml:space="preserve">Supplementary Fig. </w:t>
      </w:r>
      <w:r w:rsidRPr="00C86B2B">
        <w:rPr>
          <w:b/>
          <w:bCs/>
        </w:rPr>
        <w:fldChar w:fldCharType="begin"/>
      </w:r>
      <w:r w:rsidRPr="00C86B2B">
        <w:rPr>
          <w:b/>
          <w:bCs/>
        </w:rPr>
        <w:instrText xml:space="preserve"> SEQ Supplementary_Fig. \* ARABIC </w:instrText>
      </w:r>
      <w:r w:rsidRPr="00C86B2B">
        <w:rPr>
          <w:b/>
          <w:bCs/>
        </w:rPr>
        <w:fldChar w:fldCharType="separate"/>
      </w:r>
      <w:r w:rsidR="00C76C3C">
        <w:rPr>
          <w:b/>
          <w:bCs/>
          <w:noProof/>
        </w:rPr>
        <w:t>9</w:t>
      </w:r>
      <w:r w:rsidRPr="00C86B2B">
        <w:rPr>
          <w:b/>
          <w:bCs/>
        </w:rPr>
        <w:fldChar w:fldCharType="end"/>
      </w:r>
      <w:r w:rsidRPr="00C86B2B">
        <w:rPr>
          <w:b/>
          <w:bCs/>
        </w:rPr>
        <w:t xml:space="preserve"> |</w:t>
      </w:r>
      <w:r>
        <w:t xml:space="preserve"> </w:t>
      </w:r>
      <w:r w:rsidR="004501E9">
        <w:t xml:space="preserve">Tracking morphological changes in real time. </w:t>
      </w:r>
      <w:r w:rsidR="00AE7C60" w:rsidRPr="004501E9">
        <w:rPr>
          <w:i/>
          <w:iCs w:val="0"/>
        </w:rPr>
        <w:t>In situ</w:t>
      </w:r>
      <w:r w:rsidR="00AE7C60">
        <w:t xml:space="preserve"> TEM images recorded during </w:t>
      </w:r>
      <w:r w:rsidR="004501E9">
        <w:t>a temperature</w:t>
      </w:r>
      <w:r w:rsidR="00243539">
        <w:t xml:space="preserve"> hold </w:t>
      </w:r>
      <w:r w:rsidR="004501E9">
        <w:t xml:space="preserve">of 15 min </w:t>
      </w:r>
      <w:r w:rsidR="00243539">
        <w:t xml:space="preserve">at 700 </w:t>
      </w:r>
      <w:r w:rsidR="00243539">
        <w:rPr>
          <w:rFonts w:cs="Arial"/>
        </w:rPr>
        <w:t>°</w:t>
      </w:r>
      <w:r w:rsidR="00243539">
        <w:t xml:space="preserve">C </w:t>
      </w:r>
      <w:r w:rsidR="00FE0AE4">
        <w:t>(a, b)</w:t>
      </w:r>
      <w:r w:rsidR="000E1A96">
        <w:t xml:space="preserve"> and </w:t>
      </w:r>
      <w:r w:rsidR="004501E9">
        <w:t xml:space="preserve">after subsequent </w:t>
      </w:r>
      <w:r w:rsidR="000E1A96">
        <w:t xml:space="preserve">cooling to </w:t>
      </w:r>
      <w:r w:rsidR="000E1A96">
        <w:lastRenderedPageBreak/>
        <w:t xml:space="preserve">200 </w:t>
      </w:r>
      <w:r w:rsidR="000E1A96">
        <w:rPr>
          <w:rFonts w:cs="Arial"/>
        </w:rPr>
        <w:t>°</w:t>
      </w:r>
      <w:r w:rsidR="000E1A96">
        <w:t>C</w:t>
      </w:r>
      <w:r w:rsidR="00FE0AE4">
        <w:t xml:space="preserve"> (c)</w:t>
      </w:r>
      <w:r w:rsidR="00243539">
        <w:t xml:space="preserve">. </w:t>
      </w:r>
      <w:r w:rsidR="00A549CF">
        <w:t xml:space="preserve">The numbers in parentheses indicate the holding time in minutes at 700 </w:t>
      </w:r>
      <w:r w:rsidR="00A549CF">
        <w:rPr>
          <w:rFonts w:cs="Arial"/>
        </w:rPr>
        <w:t>°</w:t>
      </w:r>
      <w:r w:rsidR="00A549CF">
        <w:t>C.</w:t>
      </w:r>
      <w:r w:rsidR="00A549CF" w:rsidRPr="00A549CF">
        <w:t xml:space="preserve"> </w:t>
      </w:r>
      <w:r w:rsidR="00A549CF">
        <w:t>Scale bar: 20 nm.</w:t>
      </w:r>
    </w:p>
    <w:p w14:paraId="7F69B7C6" w14:textId="77777777" w:rsidR="006A4099" w:rsidRDefault="005A54B9" w:rsidP="006A4099">
      <w:pPr>
        <w:keepNext/>
        <w:ind w:firstLine="0"/>
      </w:pPr>
      <w:r>
        <w:rPr>
          <w:noProof/>
        </w:rPr>
        <w:drawing>
          <wp:inline distT="0" distB="0" distL="0" distR="0" wp14:anchorId="611CE1F2" wp14:editId="38E76149">
            <wp:extent cx="4320000" cy="4552129"/>
            <wp:effectExtent l="0" t="0" r="444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0000" cy="4552129"/>
                    </a:xfrm>
                    <a:prstGeom prst="rect">
                      <a:avLst/>
                    </a:prstGeom>
                    <a:noFill/>
                    <a:ln>
                      <a:noFill/>
                    </a:ln>
                  </pic:spPr>
                </pic:pic>
              </a:graphicData>
            </a:graphic>
          </wp:inline>
        </w:drawing>
      </w:r>
    </w:p>
    <w:p w14:paraId="48FF28DD" w14:textId="5A5E1551" w:rsidR="00795240" w:rsidRDefault="006A4099" w:rsidP="005A54B9">
      <w:pPr>
        <w:pStyle w:val="Caption"/>
      </w:pPr>
      <w:r w:rsidRPr="00C86B2B">
        <w:rPr>
          <w:b/>
          <w:bCs/>
        </w:rPr>
        <w:t xml:space="preserve">Supplementary Fig. </w:t>
      </w:r>
      <w:r w:rsidRPr="00C86B2B">
        <w:rPr>
          <w:b/>
          <w:bCs/>
        </w:rPr>
        <w:fldChar w:fldCharType="begin"/>
      </w:r>
      <w:r w:rsidRPr="00C86B2B">
        <w:rPr>
          <w:b/>
          <w:bCs/>
        </w:rPr>
        <w:instrText xml:space="preserve"> SEQ Supplementary_Fig. \* ARABIC </w:instrText>
      </w:r>
      <w:r w:rsidRPr="00C86B2B">
        <w:rPr>
          <w:b/>
          <w:bCs/>
        </w:rPr>
        <w:fldChar w:fldCharType="separate"/>
      </w:r>
      <w:r w:rsidR="00C76C3C">
        <w:rPr>
          <w:b/>
          <w:bCs/>
          <w:noProof/>
        </w:rPr>
        <w:t>10</w:t>
      </w:r>
      <w:r w:rsidRPr="00C86B2B">
        <w:rPr>
          <w:b/>
          <w:bCs/>
        </w:rPr>
        <w:fldChar w:fldCharType="end"/>
      </w:r>
      <w:r w:rsidRPr="00C86B2B">
        <w:rPr>
          <w:b/>
          <w:bCs/>
        </w:rPr>
        <w:t xml:space="preserve"> |</w:t>
      </w:r>
      <w:r>
        <w:t xml:space="preserve"> </w:t>
      </w:r>
      <w:r w:rsidR="001B7AD2">
        <w:t xml:space="preserve">Exclusion of beam damage misinterpretations. </w:t>
      </w:r>
      <w:r w:rsidR="001D0121">
        <w:t>Impact of electron beam</w:t>
      </w:r>
      <w:r w:rsidR="0037778F">
        <w:t xml:space="preserve"> during </w:t>
      </w:r>
      <w:r w:rsidR="0037778F" w:rsidRPr="00C82D0A">
        <w:rPr>
          <w:i/>
          <w:iCs w:val="0"/>
        </w:rPr>
        <w:t>in situ</w:t>
      </w:r>
      <w:r w:rsidR="0037778F">
        <w:t xml:space="preserve"> heating</w:t>
      </w:r>
      <w:r w:rsidR="00A02416">
        <w:t xml:space="preserve">. </w:t>
      </w:r>
      <w:r w:rsidR="007C45A7" w:rsidRPr="007C45A7">
        <w:t xml:space="preserve">TEM images taken </w:t>
      </w:r>
      <w:r w:rsidR="00224E3D" w:rsidRPr="007C45A7">
        <w:t xml:space="preserve">(a, c) before and (b, d) after the same heating procedure </w:t>
      </w:r>
      <w:r w:rsidR="007C45A7" w:rsidRPr="007C45A7">
        <w:t xml:space="preserve">from other two regions, which neither were exposed to electron beam during </w:t>
      </w:r>
      <w:r w:rsidR="007C45A7" w:rsidRPr="00C82D0A">
        <w:rPr>
          <w:i/>
          <w:iCs w:val="0"/>
        </w:rPr>
        <w:t>in situ</w:t>
      </w:r>
      <w:r w:rsidR="007C45A7" w:rsidRPr="007C45A7">
        <w:t xml:space="preserve"> heating experiment.</w:t>
      </w:r>
      <w:r w:rsidR="00146B72">
        <w:t xml:space="preserve"> Herein, similar changes are observed as in main text: </w:t>
      </w:r>
      <w:r w:rsidR="00C83068">
        <w:t xml:space="preserve">after heating, </w:t>
      </w:r>
      <w:r w:rsidR="0000248A">
        <w:t xml:space="preserve">these </w:t>
      </w:r>
      <w:r w:rsidR="00146B72">
        <w:t xml:space="preserve">Ni </w:t>
      </w:r>
      <w:r w:rsidR="00C83068">
        <w:t>NPs</w:t>
      </w:r>
      <w:r w:rsidR="00146B72">
        <w:t xml:space="preserve"> marked by red arrows </w:t>
      </w:r>
      <w:r w:rsidR="00E3534B">
        <w:t>disappear completely</w:t>
      </w:r>
      <w:r w:rsidR="00C83068">
        <w:t xml:space="preserve">. </w:t>
      </w:r>
      <w:r w:rsidR="00B3136A">
        <w:t>From this beam control experiment, we could conclude that all changes observed in</w:t>
      </w:r>
      <w:r w:rsidR="00021449">
        <w:t xml:space="preserve"> our</w:t>
      </w:r>
      <w:r w:rsidR="00B3136A">
        <w:t xml:space="preserve"> </w:t>
      </w:r>
      <w:r w:rsidR="00B3136A" w:rsidRPr="00C82D0A">
        <w:rPr>
          <w:i/>
          <w:iCs w:val="0"/>
        </w:rPr>
        <w:t>in situ</w:t>
      </w:r>
      <w:r w:rsidR="00B3136A">
        <w:t xml:space="preserve"> heating experiment </w:t>
      </w:r>
      <w:r w:rsidR="00021449">
        <w:t>result</w:t>
      </w:r>
      <w:r w:rsidR="00B3136A">
        <w:t xml:space="preserve"> from heating, rather than electron beam damage.</w:t>
      </w:r>
    </w:p>
    <w:p w14:paraId="5CDFD01C" w14:textId="4E67A602" w:rsidR="00B76F49" w:rsidRDefault="00D54450" w:rsidP="00D54450">
      <w:pPr>
        <w:pStyle w:val="Caption"/>
      </w:pPr>
      <w:r w:rsidRPr="00C82D0A">
        <w:rPr>
          <w:b/>
          <w:bCs/>
          <w:u w:val="single"/>
        </w:rPr>
        <w:t xml:space="preserve">Supplementary Discussion </w:t>
      </w:r>
      <w:r w:rsidRPr="00C82D0A">
        <w:rPr>
          <w:b/>
          <w:bCs/>
          <w:u w:val="single"/>
        </w:rPr>
        <w:fldChar w:fldCharType="begin"/>
      </w:r>
      <w:r w:rsidRPr="00C82D0A">
        <w:rPr>
          <w:b/>
          <w:bCs/>
          <w:u w:val="single"/>
        </w:rPr>
        <w:instrText xml:space="preserve"> SEQ Supplementary_Discussion \* ARABIC </w:instrText>
      </w:r>
      <w:r w:rsidRPr="00C82D0A">
        <w:rPr>
          <w:b/>
          <w:bCs/>
          <w:u w:val="single"/>
        </w:rPr>
        <w:fldChar w:fldCharType="separate"/>
      </w:r>
      <w:r w:rsidR="00C76C3C">
        <w:rPr>
          <w:b/>
          <w:bCs/>
          <w:noProof/>
          <w:u w:val="single"/>
        </w:rPr>
        <w:t>2</w:t>
      </w:r>
      <w:r w:rsidRPr="00C82D0A">
        <w:rPr>
          <w:b/>
          <w:bCs/>
          <w:u w:val="single"/>
        </w:rPr>
        <w:fldChar w:fldCharType="end"/>
      </w:r>
      <w:r w:rsidRPr="002D368F">
        <w:rPr>
          <w:b/>
          <w:bCs/>
        </w:rPr>
        <w:t xml:space="preserve"> |</w:t>
      </w:r>
      <w:r>
        <w:t xml:space="preserve"> </w:t>
      </w:r>
      <w:r w:rsidR="002D368F">
        <w:t>Experimental verification of absence of beam damage effect</w:t>
      </w:r>
      <w:r w:rsidR="0031346B">
        <w:t xml:space="preserve"> (</w:t>
      </w:r>
      <w:r w:rsidR="0031346B">
        <w:rPr>
          <w:bCs/>
        </w:rPr>
        <w:t xml:space="preserve">relating to </w:t>
      </w:r>
      <w:r w:rsidR="0031346B" w:rsidRPr="00830677">
        <w:rPr>
          <w:b/>
          <w:bCs/>
        </w:rPr>
        <w:t>Supplementary Fig. 10</w:t>
      </w:r>
      <w:r w:rsidR="0031346B">
        <w:t xml:space="preserve"> for Pt/NiNC and </w:t>
      </w:r>
      <w:r w:rsidR="0031346B" w:rsidRPr="00830677">
        <w:rPr>
          <w:b/>
          <w:bCs/>
        </w:rPr>
        <w:t>Supplementary Fig. 18</w:t>
      </w:r>
      <w:r w:rsidR="0031346B">
        <w:t xml:space="preserve"> for Pt/NiNC-1)</w:t>
      </w:r>
    </w:p>
    <w:p w14:paraId="09932FC9" w14:textId="34D86718" w:rsidR="00D54450" w:rsidRPr="00B76F49" w:rsidRDefault="00D54450" w:rsidP="00B76F49">
      <w:pPr>
        <w:ind w:firstLine="0"/>
      </w:pPr>
      <w:r>
        <w:lastRenderedPageBreak/>
        <w:t xml:space="preserve">In order to check for the influence of electron beam damage, we recorded TEM images of two other catalyst regions only briefly before and after completion of our </w:t>
      </w:r>
      <w:r w:rsidRPr="00C82D0A">
        <w:rPr>
          <w:i/>
          <w:iCs/>
        </w:rPr>
        <w:t>in</w:t>
      </w:r>
      <w:r w:rsidR="00C82D0A" w:rsidRPr="00C82D0A">
        <w:rPr>
          <w:i/>
          <w:iCs/>
        </w:rPr>
        <w:t xml:space="preserve"> </w:t>
      </w:r>
      <w:r w:rsidRPr="00C82D0A">
        <w:rPr>
          <w:i/>
          <w:iCs/>
        </w:rPr>
        <w:t>situ</w:t>
      </w:r>
      <w:r>
        <w:t xml:space="preserve"> heating experiment (</w:t>
      </w:r>
      <w:r w:rsidRPr="00830677">
        <w:rPr>
          <w:b/>
          <w:bCs/>
        </w:rPr>
        <w:t>Supplementary Fig. 10</w:t>
      </w:r>
      <w:r>
        <w:t xml:space="preserve"> for Pt/NiNC and </w:t>
      </w:r>
      <w:r w:rsidRPr="00830677">
        <w:rPr>
          <w:b/>
          <w:bCs/>
        </w:rPr>
        <w:t>Supplementary Fig. 18</w:t>
      </w:r>
      <w:r>
        <w:t xml:space="preserve"> for Pt/NiNC-1). As very similar morphological changes to Pt and Ni NPs were observed on the non-irradiated regions, we are confident that the diffusion and shrinkage of Ni atoms and subsequent alloy formation originate from the thermal treatment rather than from beam effects.</w:t>
      </w:r>
    </w:p>
    <w:p w14:paraId="5A74C074" w14:textId="0FEC50E3" w:rsidR="006E5F7D" w:rsidRDefault="006E5F7D" w:rsidP="006E5F7D">
      <w:pPr>
        <w:pStyle w:val="Caption"/>
        <w:rPr>
          <w:bCs/>
        </w:rPr>
      </w:pPr>
      <w:r w:rsidRPr="00A2584C">
        <w:rPr>
          <w:b/>
          <w:bCs/>
          <w:u w:val="single"/>
        </w:rPr>
        <w:t xml:space="preserve">Supplementary Discussion </w:t>
      </w:r>
      <w:r w:rsidRPr="00A2584C">
        <w:rPr>
          <w:b/>
          <w:bCs/>
          <w:u w:val="single"/>
        </w:rPr>
        <w:fldChar w:fldCharType="begin"/>
      </w:r>
      <w:r w:rsidRPr="00A2584C">
        <w:rPr>
          <w:b/>
          <w:bCs/>
          <w:u w:val="single"/>
        </w:rPr>
        <w:instrText xml:space="preserve"> SEQ Supplementary_Discussion \* ARABIC </w:instrText>
      </w:r>
      <w:r w:rsidRPr="00A2584C">
        <w:rPr>
          <w:b/>
          <w:bCs/>
          <w:u w:val="single"/>
        </w:rPr>
        <w:fldChar w:fldCharType="separate"/>
      </w:r>
      <w:r w:rsidR="00C76C3C">
        <w:rPr>
          <w:b/>
          <w:bCs/>
          <w:noProof/>
          <w:u w:val="single"/>
        </w:rPr>
        <w:t>3</w:t>
      </w:r>
      <w:r w:rsidRPr="00A2584C">
        <w:rPr>
          <w:b/>
          <w:bCs/>
          <w:u w:val="single"/>
        </w:rPr>
        <w:fldChar w:fldCharType="end"/>
      </w:r>
      <w:r w:rsidRPr="00DB33B7">
        <w:rPr>
          <w:b/>
          <w:bCs/>
        </w:rPr>
        <w:t xml:space="preserve"> |</w:t>
      </w:r>
      <w:r>
        <w:t xml:space="preserve"> </w:t>
      </w:r>
      <w:r w:rsidRPr="00687CC1">
        <w:rPr>
          <w:bCs/>
        </w:rPr>
        <w:t>Thermal annealing of Pt/NiNC-1 in absence of C-encapsulated Ni NPs</w:t>
      </w:r>
      <w:r>
        <w:rPr>
          <w:bCs/>
        </w:rPr>
        <w:t xml:space="preserve"> (relating to </w:t>
      </w:r>
      <w:r w:rsidRPr="00830677">
        <w:rPr>
          <w:b/>
        </w:rPr>
        <w:t xml:space="preserve">Supplementary Figs. </w:t>
      </w:r>
      <w:r w:rsidR="00B76F49" w:rsidRPr="00830677">
        <w:rPr>
          <w:b/>
        </w:rPr>
        <w:t>11</w:t>
      </w:r>
      <w:r w:rsidRPr="00830677">
        <w:rPr>
          <w:b/>
        </w:rPr>
        <w:t>–1</w:t>
      </w:r>
      <w:r w:rsidR="00B76F49" w:rsidRPr="00830677">
        <w:rPr>
          <w:b/>
        </w:rPr>
        <w:t>9</w:t>
      </w:r>
      <w:r>
        <w:rPr>
          <w:bCs/>
        </w:rPr>
        <w:t>)</w:t>
      </w:r>
    </w:p>
    <w:p w14:paraId="4C081528" w14:textId="1EABE727" w:rsidR="006E5F7D" w:rsidRDefault="006E5F7D" w:rsidP="006E5F7D">
      <w:pPr>
        <w:ind w:firstLine="0"/>
      </w:pPr>
      <w:r>
        <w:t>To verify</w:t>
      </w:r>
      <w:r w:rsidRPr="00B0374F">
        <w:t xml:space="preserve"> the </w:t>
      </w:r>
      <w:r>
        <w:t>dominant</w:t>
      </w:r>
      <w:r w:rsidRPr="00B0374F">
        <w:t xml:space="preserve"> role of </w:t>
      </w:r>
      <w:r>
        <w:t xml:space="preserve">metallic </w:t>
      </w:r>
      <w:r w:rsidRPr="00B0374F">
        <w:t>Ni NPs</w:t>
      </w:r>
      <w:r>
        <w:t xml:space="preserve"> as the source of mobile Ni atoms alloying with Pt particles during</w:t>
      </w:r>
      <w:r w:rsidRPr="00B0374F">
        <w:t xml:space="preserve"> the </w:t>
      </w:r>
      <w:r>
        <w:t xml:space="preserve">thermal </w:t>
      </w:r>
      <w:r w:rsidRPr="00B0374F">
        <w:t xml:space="preserve">formation of PtNi </w:t>
      </w:r>
      <w:r>
        <w:t>nano</w:t>
      </w:r>
      <w:r w:rsidRPr="00B0374F">
        <w:t>alloy</w:t>
      </w:r>
      <w:r>
        <w:t xml:space="preserve"> </w:t>
      </w:r>
      <w:r w:rsidR="00C15996">
        <w:t>NPs</w:t>
      </w:r>
      <w:r w:rsidRPr="00B0374F">
        <w:t>, we prepare</w:t>
      </w:r>
      <w:r>
        <w:t>d</w:t>
      </w:r>
      <w:r w:rsidRPr="00B0374F">
        <w:t xml:space="preserve"> </w:t>
      </w:r>
      <w:r>
        <w:t xml:space="preserve">a </w:t>
      </w:r>
      <w:r w:rsidRPr="00B0374F">
        <w:t xml:space="preserve">reference </w:t>
      </w:r>
      <w:r>
        <w:t>material</w:t>
      </w:r>
      <w:r w:rsidRPr="00B0374F">
        <w:t xml:space="preserve"> </w:t>
      </w:r>
      <w:r>
        <w:t xml:space="preserve">in analogy to Pt/NiNC (synthetic process see </w:t>
      </w:r>
      <w:r w:rsidR="00680607">
        <w:rPr>
          <w:b/>
          <w:bCs/>
        </w:rPr>
        <w:t>S</w:t>
      </w:r>
      <w:r w:rsidRPr="00680607">
        <w:rPr>
          <w:b/>
          <w:bCs/>
        </w:rPr>
        <w:t xml:space="preserve">upplementary </w:t>
      </w:r>
      <w:r w:rsidRPr="00680607">
        <w:rPr>
          <w:rFonts w:hint="eastAsia"/>
          <w:b/>
          <w:bCs/>
        </w:rPr>
        <w:t>F</w:t>
      </w:r>
      <w:r w:rsidRPr="00680607">
        <w:rPr>
          <w:b/>
          <w:bCs/>
        </w:rPr>
        <w:t xml:space="preserve">igs. </w:t>
      </w:r>
      <w:r w:rsidR="00C15996" w:rsidRPr="00680607">
        <w:rPr>
          <w:b/>
          <w:bCs/>
        </w:rPr>
        <w:t>11</w:t>
      </w:r>
      <w:r w:rsidRPr="00680607">
        <w:rPr>
          <w:b/>
          <w:bCs/>
        </w:rPr>
        <w:t xml:space="preserve">, </w:t>
      </w:r>
      <w:r w:rsidR="00C15996" w:rsidRPr="00680607">
        <w:rPr>
          <w:b/>
          <w:bCs/>
        </w:rPr>
        <w:t>12</w:t>
      </w:r>
      <w:r>
        <w:t>)</w:t>
      </w:r>
      <w:r w:rsidRPr="00B0374F">
        <w:t xml:space="preserve">, denoted as </w:t>
      </w:r>
      <w:r>
        <w:t>“</w:t>
      </w:r>
      <w:r w:rsidRPr="00B0374F">
        <w:t>Pt/NiNC-1</w:t>
      </w:r>
      <w:r>
        <w:t>”</w:t>
      </w:r>
      <w:r w:rsidRPr="00B0374F">
        <w:t>,</w:t>
      </w:r>
      <w:r>
        <w:t xml:space="preserve"> which</w:t>
      </w:r>
      <w:r w:rsidRPr="00B0374F">
        <w:t xml:space="preserve"> ha</w:t>
      </w:r>
      <w:r>
        <w:t>d</w:t>
      </w:r>
      <w:r w:rsidRPr="00B0374F">
        <w:t xml:space="preserve"> a lower Ni content of </w:t>
      </w:r>
      <w:r>
        <w:t xml:space="preserve">only </w:t>
      </w:r>
      <w:r w:rsidRPr="00B0374F">
        <w:t xml:space="preserve">1 </w:t>
      </w:r>
      <w:r>
        <w:t>wt</w:t>
      </w:r>
      <w:r w:rsidRPr="00B0374F">
        <w:t xml:space="preserve">% and </w:t>
      </w:r>
      <w:r>
        <w:t>contained no</w:t>
      </w:r>
      <w:r w:rsidRPr="00B0374F">
        <w:t xml:space="preserve"> </w:t>
      </w:r>
      <w:r>
        <w:t xml:space="preserve">metallic </w:t>
      </w:r>
      <w:r w:rsidRPr="00B0374F">
        <w:t>Ni NPs present</w:t>
      </w:r>
      <w:r>
        <w:t xml:space="preserve"> (</w:t>
      </w:r>
      <w:r w:rsidRPr="00680607">
        <w:rPr>
          <w:b/>
          <w:bCs/>
        </w:rPr>
        <w:t xml:space="preserve">Supplementary </w:t>
      </w:r>
      <w:r w:rsidRPr="00680607">
        <w:rPr>
          <w:rFonts w:hint="eastAsia"/>
          <w:b/>
          <w:bCs/>
        </w:rPr>
        <w:t>F</w:t>
      </w:r>
      <w:r w:rsidRPr="00680607">
        <w:rPr>
          <w:b/>
          <w:bCs/>
        </w:rPr>
        <w:t xml:space="preserve">ig. </w:t>
      </w:r>
      <w:r w:rsidR="00C15996" w:rsidRPr="00680607">
        <w:rPr>
          <w:b/>
          <w:bCs/>
        </w:rPr>
        <w:t>11b</w:t>
      </w:r>
      <w:r>
        <w:t>)</w:t>
      </w:r>
      <w:r w:rsidRPr="00B0374F">
        <w:t>.</w:t>
      </w:r>
      <w:r>
        <w:t xml:space="preserve"> Key difference compared to the synthesis of Fig. 1 was the preparation and use of the lower Ni-wt% support, NiNC-1. Pt deposition on NiNC-1 and </w:t>
      </w:r>
      <w:r w:rsidR="00425D83">
        <w:t xml:space="preserve">further </w:t>
      </w:r>
      <w:r>
        <w:t>thermal annealing of Pt/NiNC-1 was identical.</w:t>
      </w:r>
    </w:p>
    <w:p w14:paraId="77DFE28A" w14:textId="5E7F752B" w:rsidR="00524EDD" w:rsidRDefault="006E5F7D" w:rsidP="006E5F7D">
      <w:pPr>
        <w:ind w:firstLine="0"/>
      </w:pPr>
      <w:r>
        <w:t xml:space="preserve">After thermal annealing of the Pt/NiNC-1 catalyst, the right shift of the Pt(111) reflection in </w:t>
      </w:r>
      <w:r w:rsidRPr="00DD3964">
        <w:rPr>
          <w:b/>
          <w:bCs/>
        </w:rPr>
        <w:t xml:space="preserve">Supplementary </w:t>
      </w:r>
      <w:r w:rsidRPr="00DD3964">
        <w:rPr>
          <w:rFonts w:hint="eastAsia"/>
          <w:b/>
          <w:bCs/>
        </w:rPr>
        <w:t>F</w:t>
      </w:r>
      <w:r w:rsidRPr="00DD3964">
        <w:rPr>
          <w:b/>
          <w:bCs/>
        </w:rPr>
        <w:t>ig. 1</w:t>
      </w:r>
      <w:r w:rsidR="00DD3964" w:rsidRPr="00DD3964">
        <w:rPr>
          <w:b/>
          <w:bCs/>
        </w:rPr>
        <w:t>3</w:t>
      </w:r>
      <w:r>
        <w:t xml:space="preserve"> suggested the formation of a bimetallic PtM alloy phase with a second metallic component “M”. But due to the fact that both Zn (3.6 wt%) and Ni (1.2 wt%) coexist in the pyrolyzed “</w:t>
      </w:r>
      <w:r w:rsidRPr="007E79CC">
        <w:t>NiNC-1</w:t>
      </w:r>
      <w:r>
        <w:t>” support material, it is unclear which metal element took part in the alloy formation and at what proportions if both do. This is the reason why we denote the annealed catalyst as “</w:t>
      </w:r>
      <w:r w:rsidRPr="007E79CC">
        <w:t>Pt</w:t>
      </w:r>
      <w:r>
        <w:t>M</w:t>
      </w:r>
      <w:r w:rsidRPr="007E79CC">
        <w:rPr>
          <w:vertAlign w:val="subscript"/>
        </w:rPr>
        <w:t>x</w:t>
      </w:r>
      <w:r w:rsidRPr="007E79CC">
        <w:t>/NiNC-1</w:t>
      </w:r>
      <w:r>
        <w:t>”, in which M represents either Zn or Ni. Importantly, the voltammetric CO stripping and associated CV measurements in alkaline electrolyte (</w:t>
      </w:r>
      <w:r w:rsidRPr="00DD3964">
        <w:rPr>
          <w:b/>
          <w:bCs/>
        </w:rPr>
        <w:t xml:space="preserve">Supplementary </w:t>
      </w:r>
      <w:r w:rsidRPr="00DD3964">
        <w:rPr>
          <w:rFonts w:hint="eastAsia"/>
          <w:b/>
          <w:bCs/>
        </w:rPr>
        <w:t>F</w:t>
      </w:r>
      <w:r w:rsidRPr="00DD3964">
        <w:rPr>
          <w:b/>
          <w:bCs/>
        </w:rPr>
        <w:t>ig. 1</w:t>
      </w:r>
      <w:r w:rsidR="00DD3964">
        <w:rPr>
          <w:b/>
          <w:bCs/>
        </w:rPr>
        <w:t>9</w:t>
      </w:r>
      <w:r w:rsidRPr="00DD3964">
        <w:rPr>
          <w:b/>
          <w:bCs/>
        </w:rPr>
        <w:t>a and b</w:t>
      </w:r>
      <w:r>
        <w:t>) unambiguously indicate the absence of “Ni”-type CO stripping peaks and Ni</w:t>
      </w:r>
      <w:r w:rsidRPr="00814643">
        <w:rPr>
          <w:vertAlign w:val="superscript"/>
        </w:rPr>
        <w:t>2+</w:t>
      </w:r>
      <w:r>
        <w:t>/Ni</w:t>
      </w:r>
      <w:r>
        <w:rPr>
          <w:vertAlign w:val="superscript"/>
        </w:rPr>
        <w:t>3</w:t>
      </w:r>
      <w:r w:rsidRPr="00814643">
        <w:rPr>
          <w:vertAlign w:val="superscript"/>
        </w:rPr>
        <w:t>+</w:t>
      </w:r>
      <w:r>
        <w:t xml:space="preserve"> redox peaks. This implies that Ni cannot be involved in the formation of the PtM</w:t>
      </w:r>
      <w:r w:rsidRPr="00256384">
        <w:rPr>
          <w:vertAlign w:val="subscript"/>
        </w:rPr>
        <w:t>x</w:t>
      </w:r>
      <w:r>
        <w:t xml:space="preserve"> </w:t>
      </w:r>
      <w:r>
        <w:rPr>
          <w:rFonts w:hint="eastAsia"/>
        </w:rPr>
        <w:t>alloy</w:t>
      </w:r>
      <w:r>
        <w:t xml:space="preserve"> phase. Overall, this control experiment confirms that Ni NPs act as the main source of Ni species in the process of alloy formation.</w:t>
      </w:r>
    </w:p>
    <w:p w14:paraId="39587BAB" w14:textId="3091C023" w:rsidR="005008E6" w:rsidRDefault="005008E6" w:rsidP="005008E6">
      <w:pPr>
        <w:pStyle w:val="Caption"/>
        <w:keepNext/>
      </w:pPr>
      <w:r w:rsidRPr="0092216D">
        <w:rPr>
          <w:b/>
          <w:bCs/>
        </w:rPr>
        <w:lastRenderedPageBreak/>
        <w:t xml:space="preserve">Supplementary Table </w:t>
      </w:r>
      <w:r w:rsidRPr="0092216D">
        <w:rPr>
          <w:b/>
          <w:bCs/>
        </w:rPr>
        <w:fldChar w:fldCharType="begin"/>
      </w:r>
      <w:r w:rsidRPr="0092216D">
        <w:rPr>
          <w:b/>
          <w:bCs/>
        </w:rPr>
        <w:instrText xml:space="preserve"> SEQ Supplementary_Table \* ARABIC </w:instrText>
      </w:r>
      <w:r w:rsidRPr="0092216D">
        <w:rPr>
          <w:b/>
          <w:bCs/>
        </w:rPr>
        <w:fldChar w:fldCharType="separate"/>
      </w:r>
      <w:r w:rsidR="00C76C3C">
        <w:rPr>
          <w:b/>
          <w:bCs/>
          <w:noProof/>
        </w:rPr>
        <w:t>5</w:t>
      </w:r>
      <w:r w:rsidRPr="0092216D">
        <w:rPr>
          <w:b/>
          <w:bCs/>
          <w:noProof/>
        </w:rPr>
        <w:fldChar w:fldCharType="end"/>
      </w:r>
      <w:r w:rsidRPr="0092216D">
        <w:rPr>
          <w:b/>
          <w:bCs/>
        </w:rPr>
        <w:t xml:space="preserve"> |</w:t>
      </w:r>
      <w:r>
        <w:t xml:space="preserve"> Metal contents in </w:t>
      </w:r>
      <w:r w:rsidR="00DD3964">
        <w:t>wt%</w:t>
      </w:r>
      <w:r>
        <w:t xml:space="preserve"> determined by ICP for catalyst materials derived from NiNC-1 support.</w:t>
      </w:r>
    </w:p>
    <w:tbl>
      <w:tblPr>
        <w:tblStyle w:val="TableGrid"/>
        <w:tblW w:w="0" w:type="auto"/>
        <w:tblLayout w:type="fixed"/>
        <w:tblLook w:val="04A0" w:firstRow="1" w:lastRow="0" w:firstColumn="1" w:lastColumn="0" w:noHBand="0" w:noVBand="1"/>
      </w:tblPr>
      <w:tblGrid>
        <w:gridCol w:w="1672"/>
        <w:gridCol w:w="1673"/>
        <w:gridCol w:w="1673"/>
        <w:gridCol w:w="1673"/>
      </w:tblGrid>
      <w:tr w:rsidR="005008E6" w14:paraId="5AC38131" w14:textId="77777777" w:rsidTr="00BF46E4">
        <w:tc>
          <w:tcPr>
            <w:tcW w:w="1672" w:type="dxa"/>
            <w:tcBorders>
              <w:top w:val="single" w:sz="24" w:space="0" w:color="auto"/>
              <w:left w:val="nil"/>
              <w:bottom w:val="single" w:sz="24" w:space="0" w:color="auto"/>
              <w:right w:val="nil"/>
            </w:tcBorders>
            <w:vAlign w:val="center"/>
          </w:tcPr>
          <w:p w14:paraId="128D3374" w14:textId="77777777" w:rsidR="005008E6" w:rsidRDefault="005008E6" w:rsidP="00BF46E4">
            <w:pPr>
              <w:pStyle w:val="Tablebody"/>
              <w:jc w:val="center"/>
            </w:pPr>
            <w:r>
              <w:t>Samples</w:t>
            </w:r>
          </w:p>
        </w:tc>
        <w:tc>
          <w:tcPr>
            <w:tcW w:w="1673" w:type="dxa"/>
            <w:tcBorders>
              <w:top w:val="single" w:sz="24" w:space="0" w:color="auto"/>
              <w:left w:val="nil"/>
              <w:bottom w:val="single" w:sz="24" w:space="0" w:color="auto"/>
              <w:right w:val="nil"/>
            </w:tcBorders>
            <w:shd w:val="clear" w:color="auto" w:fill="auto"/>
            <w:vAlign w:val="center"/>
          </w:tcPr>
          <w:p w14:paraId="4DFBA4EF" w14:textId="77777777" w:rsidR="005008E6" w:rsidRPr="00CC68D6" w:rsidRDefault="005008E6" w:rsidP="00BF46E4">
            <w:pPr>
              <w:pStyle w:val="Tablebody"/>
              <w:jc w:val="center"/>
            </w:pPr>
            <w:r w:rsidRPr="00CC68D6">
              <w:t>Pt wt% (ICP)</w:t>
            </w:r>
          </w:p>
        </w:tc>
        <w:tc>
          <w:tcPr>
            <w:tcW w:w="1673" w:type="dxa"/>
            <w:tcBorders>
              <w:top w:val="single" w:sz="24" w:space="0" w:color="auto"/>
              <w:left w:val="nil"/>
              <w:bottom w:val="single" w:sz="24" w:space="0" w:color="auto"/>
              <w:right w:val="nil"/>
            </w:tcBorders>
            <w:shd w:val="clear" w:color="auto" w:fill="auto"/>
            <w:vAlign w:val="center"/>
          </w:tcPr>
          <w:p w14:paraId="49F33CB7" w14:textId="77777777" w:rsidR="005008E6" w:rsidRPr="00CC68D6" w:rsidRDefault="005008E6" w:rsidP="00BF46E4">
            <w:pPr>
              <w:pStyle w:val="Tablebody"/>
              <w:jc w:val="center"/>
            </w:pPr>
            <w:r w:rsidRPr="00CC68D6">
              <w:t>Ni wt% (ICP)</w:t>
            </w:r>
          </w:p>
        </w:tc>
        <w:tc>
          <w:tcPr>
            <w:tcW w:w="1673" w:type="dxa"/>
            <w:tcBorders>
              <w:top w:val="single" w:sz="24" w:space="0" w:color="auto"/>
              <w:left w:val="nil"/>
              <w:bottom w:val="single" w:sz="24" w:space="0" w:color="auto"/>
              <w:right w:val="nil"/>
            </w:tcBorders>
          </w:tcPr>
          <w:p w14:paraId="136D14CC" w14:textId="77777777" w:rsidR="005008E6" w:rsidRPr="00CC68D6" w:rsidRDefault="005008E6" w:rsidP="00BF46E4">
            <w:pPr>
              <w:pStyle w:val="Tablebody"/>
              <w:jc w:val="center"/>
            </w:pPr>
            <w:r>
              <w:t>Zn</w:t>
            </w:r>
            <w:r w:rsidRPr="00CC68D6">
              <w:t xml:space="preserve"> wt% (ICP)</w:t>
            </w:r>
          </w:p>
        </w:tc>
      </w:tr>
      <w:tr w:rsidR="005008E6" w14:paraId="6AA33759" w14:textId="77777777" w:rsidTr="00BF46E4">
        <w:tc>
          <w:tcPr>
            <w:tcW w:w="1672" w:type="dxa"/>
            <w:tcBorders>
              <w:top w:val="nil"/>
              <w:left w:val="nil"/>
              <w:bottom w:val="nil"/>
              <w:right w:val="nil"/>
            </w:tcBorders>
            <w:vAlign w:val="center"/>
          </w:tcPr>
          <w:p w14:paraId="19401FA7" w14:textId="77777777" w:rsidR="005008E6" w:rsidRDefault="005008E6" w:rsidP="00BF46E4">
            <w:pPr>
              <w:pStyle w:val="Tablebody"/>
              <w:jc w:val="center"/>
            </w:pPr>
            <w:r w:rsidRPr="00DB03F7">
              <w:t>NiNC</w:t>
            </w:r>
            <w:r>
              <w:t>-1</w:t>
            </w:r>
          </w:p>
        </w:tc>
        <w:tc>
          <w:tcPr>
            <w:tcW w:w="1673" w:type="dxa"/>
            <w:tcBorders>
              <w:top w:val="nil"/>
              <w:left w:val="nil"/>
              <w:bottom w:val="nil"/>
              <w:right w:val="nil"/>
            </w:tcBorders>
            <w:shd w:val="clear" w:color="auto" w:fill="auto"/>
            <w:vAlign w:val="center"/>
          </w:tcPr>
          <w:p w14:paraId="4C0AFDE5" w14:textId="77777777" w:rsidR="005008E6" w:rsidRPr="00CC68D6" w:rsidRDefault="005008E6" w:rsidP="00BF46E4">
            <w:pPr>
              <w:pStyle w:val="Tablebody"/>
              <w:jc w:val="center"/>
            </w:pPr>
            <w:r>
              <w:t>NA</w:t>
            </w:r>
          </w:p>
        </w:tc>
        <w:tc>
          <w:tcPr>
            <w:tcW w:w="1673" w:type="dxa"/>
            <w:tcBorders>
              <w:top w:val="nil"/>
              <w:left w:val="nil"/>
              <w:bottom w:val="nil"/>
              <w:right w:val="nil"/>
            </w:tcBorders>
            <w:shd w:val="clear" w:color="auto" w:fill="auto"/>
            <w:vAlign w:val="center"/>
          </w:tcPr>
          <w:p w14:paraId="5CBB04D2" w14:textId="77777777" w:rsidR="005008E6" w:rsidRPr="00CC68D6" w:rsidRDefault="005008E6" w:rsidP="00BF46E4">
            <w:pPr>
              <w:pStyle w:val="Tablebody"/>
              <w:jc w:val="center"/>
            </w:pPr>
            <w:r>
              <w:t>1.20</w:t>
            </w:r>
          </w:p>
        </w:tc>
        <w:tc>
          <w:tcPr>
            <w:tcW w:w="1673" w:type="dxa"/>
            <w:tcBorders>
              <w:top w:val="nil"/>
              <w:left w:val="nil"/>
              <w:bottom w:val="nil"/>
              <w:right w:val="nil"/>
            </w:tcBorders>
          </w:tcPr>
          <w:p w14:paraId="0DB4C2D6" w14:textId="77777777" w:rsidR="005008E6" w:rsidRPr="00CC68D6" w:rsidRDefault="005008E6" w:rsidP="00BF46E4">
            <w:pPr>
              <w:pStyle w:val="Tablebody"/>
              <w:jc w:val="center"/>
            </w:pPr>
            <w:r>
              <w:t>3.60</w:t>
            </w:r>
          </w:p>
        </w:tc>
      </w:tr>
      <w:tr w:rsidR="005008E6" w14:paraId="77092AAB" w14:textId="77777777" w:rsidTr="00BF46E4">
        <w:tc>
          <w:tcPr>
            <w:tcW w:w="1672" w:type="dxa"/>
            <w:tcBorders>
              <w:top w:val="nil"/>
              <w:left w:val="nil"/>
              <w:bottom w:val="nil"/>
              <w:right w:val="nil"/>
            </w:tcBorders>
            <w:vAlign w:val="center"/>
          </w:tcPr>
          <w:p w14:paraId="128F4699" w14:textId="77777777" w:rsidR="005008E6" w:rsidRDefault="005008E6" w:rsidP="00BF46E4">
            <w:pPr>
              <w:pStyle w:val="Tablebody"/>
              <w:jc w:val="center"/>
            </w:pPr>
            <w:r w:rsidRPr="00DB03F7">
              <w:t>Pt/NiNC</w:t>
            </w:r>
            <w:r>
              <w:t>-1</w:t>
            </w:r>
          </w:p>
        </w:tc>
        <w:tc>
          <w:tcPr>
            <w:tcW w:w="1673" w:type="dxa"/>
            <w:tcBorders>
              <w:top w:val="nil"/>
              <w:left w:val="nil"/>
              <w:bottom w:val="nil"/>
              <w:right w:val="nil"/>
            </w:tcBorders>
            <w:shd w:val="clear" w:color="auto" w:fill="auto"/>
            <w:vAlign w:val="center"/>
          </w:tcPr>
          <w:p w14:paraId="1D941953" w14:textId="77777777" w:rsidR="005008E6" w:rsidRPr="00CC68D6" w:rsidRDefault="005008E6" w:rsidP="00BF46E4">
            <w:pPr>
              <w:pStyle w:val="Tablebody"/>
              <w:jc w:val="center"/>
            </w:pPr>
            <w:r>
              <w:t>2.76</w:t>
            </w:r>
          </w:p>
        </w:tc>
        <w:tc>
          <w:tcPr>
            <w:tcW w:w="1673" w:type="dxa"/>
            <w:tcBorders>
              <w:top w:val="nil"/>
              <w:left w:val="nil"/>
              <w:bottom w:val="nil"/>
              <w:right w:val="nil"/>
            </w:tcBorders>
            <w:shd w:val="clear" w:color="auto" w:fill="auto"/>
            <w:vAlign w:val="center"/>
          </w:tcPr>
          <w:p w14:paraId="559C5267" w14:textId="77777777" w:rsidR="005008E6" w:rsidRPr="00CC68D6" w:rsidRDefault="005008E6" w:rsidP="00BF46E4">
            <w:pPr>
              <w:pStyle w:val="Tablebody"/>
              <w:jc w:val="center"/>
            </w:pPr>
            <w:r>
              <w:t>1.09</w:t>
            </w:r>
          </w:p>
        </w:tc>
        <w:tc>
          <w:tcPr>
            <w:tcW w:w="1673" w:type="dxa"/>
            <w:tcBorders>
              <w:top w:val="nil"/>
              <w:left w:val="nil"/>
              <w:bottom w:val="nil"/>
              <w:right w:val="nil"/>
            </w:tcBorders>
          </w:tcPr>
          <w:p w14:paraId="69121DAB" w14:textId="77777777" w:rsidR="005008E6" w:rsidRPr="00CC68D6" w:rsidRDefault="005008E6" w:rsidP="00BF46E4">
            <w:pPr>
              <w:pStyle w:val="Tablebody"/>
              <w:jc w:val="center"/>
            </w:pPr>
            <w:r>
              <w:t>2.70</w:t>
            </w:r>
          </w:p>
        </w:tc>
      </w:tr>
      <w:tr w:rsidR="005008E6" w14:paraId="0BCADF2A" w14:textId="77777777" w:rsidTr="00BF46E4">
        <w:tc>
          <w:tcPr>
            <w:tcW w:w="1672" w:type="dxa"/>
            <w:tcBorders>
              <w:top w:val="nil"/>
              <w:left w:val="nil"/>
              <w:bottom w:val="single" w:sz="24" w:space="0" w:color="auto"/>
              <w:right w:val="nil"/>
            </w:tcBorders>
            <w:vAlign w:val="center"/>
          </w:tcPr>
          <w:p w14:paraId="35B6E47F" w14:textId="77777777" w:rsidR="005008E6" w:rsidRDefault="005008E6" w:rsidP="00BF46E4">
            <w:pPr>
              <w:pStyle w:val="Tablebody"/>
              <w:jc w:val="center"/>
            </w:pPr>
            <w:r w:rsidRPr="00DB03F7">
              <w:t>Pt</w:t>
            </w:r>
            <w:r>
              <w:t>M</w:t>
            </w:r>
            <w:r w:rsidRPr="00DB03F7">
              <w:rPr>
                <w:vertAlign w:val="subscript"/>
              </w:rPr>
              <w:t>x</w:t>
            </w:r>
            <w:r w:rsidRPr="00DB03F7">
              <w:t>/NiNC</w:t>
            </w:r>
            <w:r>
              <w:t>-1</w:t>
            </w:r>
          </w:p>
        </w:tc>
        <w:tc>
          <w:tcPr>
            <w:tcW w:w="1673" w:type="dxa"/>
            <w:tcBorders>
              <w:top w:val="nil"/>
              <w:left w:val="nil"/>
              <w:bottom w:val="single" w:sz="24" w:space="0" w:color="auto"/>
              <w:right w:val="nil"/>
            </w:tcBorders>
            <w:shd w:val="clear" w:color="auto" w:fill="auto"/>
            <w:vAlign w:val="center"/>
          </w:tcPr>
          <w:p w14:paraId="4468B813" w14:textId="77777777" w:rsidR="005008E6" w:rsidRPr="00CC68D6" w:rsidRDefault="005008E6" w:rsidP="00BF46E4">
            <w:pPr>
              <w:pStyle w:val="Tablebody"/>
              <w:jc w:val="center"/>
            </w:pPr>
            <w:r>
              <w:t xml:space="preserve">3.17 </w:t>
            </w:r>
            <w:r>
              <w:rPr>
                <w:rFonts w:cs="Arial"/>
              </w:rPr>
              <w:t>↑</w:t>
            </w:r>
          </w:p>
        </w:tc>
        <w:tc>
          <w:tcPr>
            <w:tcW w:w="1673" w:type="dxa"/>
            <w:tcBorders>
              <w:top w:val="nil"/>
              <w:left w:val="nil"/>
              <w:bottom w:val="single" w:sz="24" w:space="0" w:color="auto"/>
              <w:right w:val="nil"/>
            </w:tcBorders>
            <w:shd w:val="clear" w:color="auto" w:fill="auto"/>
            <w:vAlign w:val="center"/>
          </w:tcPr>
          <w:p w14:paraId="006A85E0" w14:textId="77777777" w:rsidR="005008E6" w:rsidRPr="00CC68D6" w:rsidRDefault="005008E6" w:rsidP="00BF46E4">
            <w:pPr>
              <w:pStyle w:val="Tablebody"/>
              <w:jc w:val="center"/>
            </w:pPr>
            <w:r>
              <w:t xml:space="preserve">1.26 </w:t>
            </w:r>
            <w:r>
              <w:rPr>
                <w:rFonts w:cs="Arial"/>
              </w:rPr>
              <w:t>↑</w:t>
            </w:r>
          </w:p>
        </w:tc>
        <w:tc>
          <w:tcPr>
            <w:tcW w:w="1673" w:type="dxa"/>
            <w:tcBorders>
              <w:top w:val="nil"/>
              <w:left w:val="nil"/>
              <w:bottom w:val="single" w:sz="24" w:space="0" w:color="auto"/>
              <w:right w:val="nil"/>
            </w:tcBorders>
          </w:tcPr>
          <w:p w14:paraId="119E951B" w14:textId="77777777" w:rsidR="005008E6" w:rsidRPr="00CC68D6" w:rsidRDefault="005008E6" w:rsidP="00BF46E4">
            <w:pPr>
              <w:pStyle w:val="Tablebody"/>
              <w:jc w:val="center"/>
            </w:pPr>
            <w:r>
              <w:t>2.70</w:t>
            </w:r>
          </w:p>
        </w:tc>
      </w:tr>
    </w:tbl>
    <w:p w14:paraId="00E00FA3" w14:textId="77777777" w:rsidR="005008E6" w:rsidRDefault="005008E6" w:rsidP="005008E6">
      <w:pPr>
        <w:ind w:firstLine="0"/>
      </w:pPr>
      <w:r>
        <w:t xml:space="preserve">Owing to a mass loss caused by unstable volatile species during the annealing process, the contents of Pt and Ni in as-annealed samples are slightly increased. </w:t>
      </w:r>
    </w:p>
    <w:p w14:paraId="74353C55" w14:textId="77777777" w:rsidR="005008E6" w:rsidRPr="00524EDD" w:rsidRDefault="005008E6" w:rsidP="006E5F7D">
      <w:pPr>
        <w:ind w:firstLine="0"/>
      </w:pPr>
    </w:p>
    <w:p w14:paraId="2DC5D64C" w14:textId="77777777" w:rsidR="00D32877" w:rsidRDefault="007043C9" w:rsidP="00D32877">
      <w:pPr>
        <w:keepNext/>
        <w:ind w:firstLine="0"/>
      </w:pPr>
      <w:r>
        <w:rPr>
          <w:noProof/>
        </w:rPr>
        <w:drawing>
          <wp:inline distT="0" distB="0" distL="0" distR="0" wp14:anchorId="4E01D723" wp14:editId="2B8B89AC">
            <wp:extent cx="5040000" cy="23882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0000" cy="2388221"/>
                    </a:xfrm>
                    <a:prstGeom prst="rect">
                      <a:avLst/>
                    </a:prstGeom>
                    <a:noFill/>
                    <a:ln>
                      <a:noFill/>
                    </a:ln>
                  </pic:spPr>
                </pic:pic>
              </a:graphicData>
            </a:graphic>
          </wp:inline>
        </w:drawing>
      </w:r>
    </w:p>
    <w:p w14:paraId="48BC5601" w14:textId="5751B8FD" w:rsidR="009015F1" w:rsidRPr="00D32877" w:rsidRDefault="00D32877" w:rsidP="00E060A8">
      <w:pPr>
        <w:pStyle w:val="Caption"/>
      </w:pPr>
      <w:r w:rsidRPr="00C86B2B">
        <w:rPr>
          <w:b/>
          <w:bCs/>
        </w:rPr>
        <w:t xml:space="preserve">Supplementary Fig. </w:t>
      </w:r>
      <w:r w:rsidRPr="00C86B2B">
        <w:rPr>
          <w:b/>
          <w:bCs/>
        </w:rPr>
        <w:fldChar w:fldCharType="begin"/>
      </w:r>
      <w:r w:rsidRPr="00C86B2B">
        <w:rPr>
          <w:b/>
          <w:bCs/>
        </w:rPr>
        <w:instrText xml:space="preserve"> SEQ Supplementary_Fig. \* ARABIC </w:instrText>
      </w:r>
      <w:r w:rsidRPr="00C86B2B">
        <w:rPr>
          <w:b/>
          <w:bCs/>
        </w:rPr>
        <w:fldChar w:fldCharType="separate"/>
      </w:r>
      <w:r w:rsidR="00C76C3C">
        <w:rPr>
          <w:b/>
          <w:bCs/>
          <w:noProof/>
        </w:rPr>
        <w:t>11</w:t>
      </w:r>
      <w:r w:rsidRPr="00C86B2B">
        <w:rPr>
          <w:b/>
          <w:bCs/>
        </w:rPr>
        <w:fldChar w:fldCharType="end"/>
      </w:r>
      <w:r w:rsidRPr="00C86B2B">
        <w:rPr>
          <w:b/>
          <w:bCs/>
        </w:rPr>
        <w:t xml:space="preserve"> |</w:t>
      </w:r>
      <w:r>
        <w:t xml:space="preserve"> </w:t>
      </w:r>
      <w:r w:rsidR="00B722A1" w:rsidRPr="007E79CC">
        <w:t>Synthetic scheme and TEM images of the NiNC-1 support-based materials at three different st</w:t>
      </w:r>
      <w:r w:rsidR="00960D61">
        <w:t>ep</w:t>
      </w:r>
      <w:r w:rsidR="00B722A1" w:rsidRPr="007E79CC">
        <w:t>s. (</w:t>
      </w:r>
      <w:r w:rsidR="009974E5">
        <w:rPr>
          <w:b/>
          <w:bCs/>
        </w:rPr>
        <w:t>a</w:t>
      </w:r>
      <w:r w:rsidR="00B722A1" w:rsidRPr="007E79CC">
        <w:t>) Synthetic route of the blank NiNC-1 support material. (</w:t>
      </w:r>
      <w:r w:rsidR="009974E5">
        <w:rPr>
          <w:b/>
          <w:bCs/>
        </w:rPr>
        <w:t>b</w:t>
      </w:r>
      <w:r w:rsidR="00B722A1" w:rsidRPr="007E79CC">
        <w:t>) Initial NiNC-1 support material, showing no presence of Ni NPs. (</w:t>
      </w:r>
      <w:r w:rsidR="009974E5">
        <w:rPr>
          <w:b/>
          <w:bCs/>
        </w:rPr>
        <w:t>c</w:t>
      </w:r>
      <w:r w:rsidR="00B722A1" w:rsidRPr="007E79CC">
        <w:t>) In situ growth of 3 wt% Pt NPs on NiNC-1 support through polyol process. (</w:t>
      </w:r>
      <w:r w:rsidR="009974E5">
        <w:rPr>
          <w:b/>
          <w:bCs/>
        </w:rPr>
        <w:t>d</w:t>
      </w:r>
      <w:r w:rsidR="00B722A1" w:rsidRPr="007E79CC">
        <w:t>) Formation of Pt</w:t>
      </w:r>
      <w:r w:rsidR="0072119A">
        <w:t>M</w:t>
      </w:r>
      <w:r w:rsidR="00B722A1" w:rsidRPr="007E79CC">
        <w:rPr>
          <w:vertAlign w:val="subscript"/>
        </w:rPr>
        <w:t>x</w:t>
      </w:r>
      <w:r w:rsidR="00B722A1" w:rsidRPr="007E79CC">
        <w:t>/NiNC</w:t>
      </w:r>
      <w:r w:rsidR="009B0D89">
        <w:t>-1</w:t>
      </w:r>
      <w:r w:rsidR="0072119A">
        <w:t xml:space="preserve"> </w:t>
      </w:r>
      <w:r w:rsidR="00B722A1" w:rsidRPr="007E79CC">
        <w:t xml:space="preserve">after </w:t>
      </w:r>
      <w:r w:rsidR="00CC0263">
        <w:t>annealing</w:t>
      </w:r>
      <w:r w:rsidR="00B722A1" w:rsidRPr="007E79CC">
        <w:t xml:space="preserve"> treatment.</w:t>
      </w:r>
      <w:r w:rsidR="000810D5">
        <w:t xml:space="preserve"> Scale bar: 20 nm.</w:t>
      </w:r>
    </w:p>
    <w:p w14:paraId="1A8FF352" w14:textId="052F196E" w:rsidR="009015F1" w:rsidRDefault="007F5572" w:rsidP="009015F1">
      <w:pPr>
        <w:pStyle w:val="Caption"/>
        <w:keepNext/>
      </w:pPr>
      <w:r>
        <w:rPr>
          <w:noProof/>
        </w:rPr>
        <w:lastRenderedPageBreak/>
        <w:drawing>
          <wp:inline distT="0" distB="0" distL="0" distR="0" wp14:anchorId="76B59C25" wp14:editId="7FF3A3F5">
            <wp:extent cx="5731510" cy="207645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076450"/>
                    </a:xfrm>
                    <a:prstGeom prst="rect">
                      <a:avLst/>
                    </a:prstGeom>
                    <a:noFill/>
                    <a:ln>
                      <a:noFill/>
                    </a:ln>
                  </pic:spPr>
                </pic:pic>
              </a:graphicData>
            </a:graphic>
          </wp:inline>
        </w:drawing>
      </w:r>
    </w:p>
    <w:p w14:paraId="0C46EAEA" w14:textId="189F2E22" w:rsidR="005F7352" w:rsidRPr="00C86B2B" w:rsidRDefault="009015F1" w:rsidP="009015F1">
      <w:pPr>
        <w:pStyle w:val="Caption"/>
        <w:rPr>
          <w:b/>
          <w:bCs/>
        </w:rPr>
      </w:pPr>
      <w:bookmarkStart w:id="0" w:name="_Ref75870362"/>
      <w:r w:rsidRPr="00C86B2B">
        <w:rPr>
          <w:b/>
          <w:bCs/>
        </w:rPr>
        <w:t xml:space="preserve">Supplementary Fig. </w:t>
      </w:r>
      <w:r w:rsidRPr="00C86B2B">
        <w:rPr>
          <w:b/>
          <w:bCs/>
        </w:rPr>
        <w:fldChar w:fldCharType="begin"/>
      </w:r>
      <w:r w:rsidRPr="00C86B2B">
        <w:rPr>
          <w:b/>
          <w:bCs/>
        </w:rPr>
        <w:instrText xml:space="preserve"> SEQ Supplementary_Fig. \* ARABIC </w:instrText>
      </w:r>
      <w:r w:rsidRPr="00C86B2B">
        <w:rPr>
          <w:b/>
          <w:bCs/>
        </w:rPr>
        <w:fldChar w:fldCharType="separate"/>
      </w:r>
      <w:r w:rsidR="00C76C3C">
        <w:rPr>
          <w:b/>
          <w:bCs/>
          <w:noProof/>
        </w:rPr>
        <w:t>12</w:t>
      </w:r>
      <w:r w:rsidRPr="00C86B2B">
        <w:rPr>
          <w:b/>
          <w:bCs/>
        </w:rPr>
        <w:fldChar w:fldCharType="end"/>
      </w:r>
      <w:bookmarkEnd w:id="0"/>
      <w:r w:rsidRPr="00C86B2B">
        <w:rPr>
          <w:b/>
          <w:bCs/>
        </w:rPr>
        <w:t xml:space="preserve"> | </w:t>
      </w:r>
      <w:r w:rsidR="007F5572" w:rsidRPr="00893D4D">
        <w:t>Complet</w:t>
      </w:r>
      <w:r w:rsidR="007F5572">
        <w:t xml:space="preserve">e synthetic route toward </w:t>
      </w:r>
      <w:r w:rsidR="007F5572" w:rsidRPr="00CC55B1">
        <w:rPr>
          <w:lang w:val="en-US"/>
        </w:rPr>
        <w:t>Pt</w:t>
      </w:r>
      <w:r w:rsidR="007F5572">
        <w:rPr>
          <w:lang w:val="en-US"/>
        </w:rPr>
        <w:t>M</w:t>
      </w:r>
      <w:r w:rsidR="007F5572" w:rsidRPr="00CC55B1">
        <w:rPr>
          <w:vertAlign w:val="subscript"/>
          <w:lang w:val="en-US"/>
        </w:rPr>
        <w:t>x</w:t>
      </w:r>
      <w:r w:rsidR="007F5572" w:rsidRPr="00CC55B1">
        <w:rPr>
          <w:lang w:val="en-US"/>
        </w:rPr>
        <w:t>/NiNC</w:t>
      </w:r>
      <w:r w:rsidR="007F5572">
        <w:rPr>
          <w:lang w:val="en-US"/>
        </w:rPr>
        <w:t>-1 catalyst material.</w:t>
      </w:r>
    </w:p>
    <w:p w14:paraId="14AEC306" w14:textId="77777777" w:rsidR="000969A8" w:rsidRDefault="00451574" w:rsidP="000969A8">
      <w:pPr>
        <w:keepNext/>
        <w:ind w:firstLine="0"/>
      </w:pPr>
      <w:r>
        <w:rPr>
          <w:noProof/>
        </w:rPr>
        <w:drawing>
          <wp:inline distT="0" distB="0" distL="0" distR="0" wp14:anchorId="30EA0110" wp14:editId="222AA78E">
            <wp:extent cx="2880000" cy="288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45AC95D6" w14:textId="3F3C347F" w:rsidR="00B33100" w:rsidRDefault="000969A8" w:rsidP="00451574">
      <w:pPr>
        <w:pStyle w:val="Caption"/>
      </w:pPr>
      <w:r w:rsidRPr="00C86B2B">
        <w:rPr>
          <w:b/>
          <w:bCs/>
        </w:rPr>
        <w:t xml:space="preserve">Supplementary Fig. </w:t>
      </w:r>
      <w:r w:rsidRPr="00C86B2B">
        <w:rPr>
          <w:b/>
          <w:bCs/>
        </w:rPr>
        <w:fldChar w:fldCharType="begin"/>
      </w:r>
      <w:r w:rsidRPr="00C86B2B">
        <w:rPr>
          <w:b/>
          <w:bCs/>
        </w:rPr>
        <w:instrText xml:space="preserve"> SEQ Supplementary_Fig. \* ARABIC </w:instrText>
      </w:r>
      <w:r w:rsidRPr="00C86B2B">
        <w:rPr>
          <w:b/>
          <w:bCs/>
        </w:rPr>
        <w:fldChar w:fldCharType="separate"/>
      </w:r>
      <w:r w:rsidR="00C76C3C">
        <w:rPr>
          <w:b/>
          <w:bCs/>
          <w:noProof/>
        </w:rPr>
        <w:t>13</w:t>
      </w:r>
      <w:r w:rsidRPr="00C86B2B">
        <w:rPr>
          <w:b/>
          <w:bCs/>
        </w:rPr>
        <w:fldChar w:fldCharType="end"/>
      </w:r>
      <w:r w:rsidRPr="00C86B2B">
        <w:rPr>
          <w:b/>
          <w:bCs/>
        </w:rPr>
        <w:t xml:space="preserve"> |</w:t>
      </w:r>
      <w:r>
        <w:t xml:space="preserve"> </w:t>
      </w:r>
      <w:r w:rsidR="00CF7634" w:rsidRPr="007E79CC">
        <w:t xml:space="preserve">XRD patterns of </w:t>
      </w:r>
      <w:r w:rsidR="0073727F">
        <w:t xml:space="preserve">the as-prepared Ni NP-free </w:t>
      </w:r>
      <w:r w:rsidR="00B85DAF">
        <w:t xml:space="preserve">NiNC-1 support, pristine Pt/NiNC-1 </w:t>
      </w:r>
      <w:r w:rsidR="0073727F">
        <w:t xml:space="preserve">material obtained after deposition of Pt NPs, </w:t>
      </w:r>
      <w:r w:rsidR="00B85DAF">
        <w:t>and</w:t>
      </w:r>
      <w:r w:rsidR="0073727F">
        <w:t xml:space="preserve"> the final</w:t>
      </w:r>
      <w:r w:rsidR="00B85DAF">
        <w:t xml:space="preserve"> as-annealed </w:t>
      </w:r>
      <w:r w:rsidR="00B85DAF" w:rsidRPr="007E79CC">
        <w:t>Pt</w:t>
      </w:r>
      <w:r w:rsidR="00B85DAF">
        <w:t>M</w:t>
      </w:r>
      <w:r w:rsidR="00B85DAF" w:rsidRPr="007E79CC">
        <w:rPr>
          <w:vertAlign w:val="subscript"/>
        </w:rPr>
        <w:t>x</w:t>
      </w:r>
      <w:r w:rsidR="00B85DAF">
        <w:t>/</w:t>
      </w:r>
      <w:r w:rsidR="00B85DAF" w:rsidRPr="00B85DAF">
        <w:t xml:space="preserve"> </w:t>
      </w:r>
      <w:r w:rsidR="00B85DAF">
        <w:t>NiNC-1 samples</w:t>
      </w:r>
      <w:r w:rsidR="00CF7634" w:rsidRPr="007E79CC">
        <w:t>. Blue arrows clearly show the successful growth of Pt NPs on NiNC-1 support and the evolution from pure Pt NPs to Pt</w:t>
      </w:r>
      <w:r w:rsidR="00E47C3F">
        <w:t>M</w:t>
      </w:r>
      <w:r w:rsidR="00CF7634" w:rsidRPr="007E79CC">
        <w:rPr>
          <w:vertAlign w:val="subscript"/>
        </w:rPr>
        <w:t>x</w:t>
      </w:r>
      <w:r w:rsidR="00CF7634" w:rsidRPr="007E79CC">
        <w:t xml:space="preserve"> allo</w:t>
      </w:r>
      <w:r w:rsidR="00B93CA0">
        <w:t>y</w:t>
      </w:r>
      <w:r w:rsidR="00C7502D">
        <w:t xml:space="preserve"> phase</w:t>
      </w:r>
      <w:r w:rsidR="00CF7634" w:rsidRPr="007E79CC">
        <w:t>.</w:t>
      </w:r>
    </w:p>
    <w:p w14:paraId="7A04E4B2" w14:textId="77777777" w:rsidR="009E627B" w:rsidRDefault="005D4331" w:rsidP="009E627B">
      <w:pPr>
        <w:keepNext/>
        <w:ind w:firstLine="0"/>
      </w:pPr>
      <w:r>
        <w:rPr>
          <w:noProof/>
        </w:rPr>
        <w:lastRenderedPageBreak/>
        <w:drawing>
          <wp:inline distT="0" distB="0" distL="0" distR="0" wp14:anchorId="3FBF2D35" wp14:editId="1ED9D60C">
            <wp:extent cx="5731510" cy="3008630"/>
            <wp:effectExtent l="0" t="0" r="254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008630"/>
                    </a:xfrm>
                    <a:prstGeom prst="rect">
                      <a:avLst/>
                    </a:prstGeom>
                    <a:noFill/>
                    <a:ln>
                      <a:noFill/>
                    </a:ln>
                  </pic:spPr>
                </pic:pic>
              </a:graphicData>
            </a:graphic>
          </wp:inline>
        </w:drawing>
      </w:r>
    </w:p>
    <w:p w14:paraId="2299BE43" w14:textId="77520ECA" w:rsidR="005D4331" w:rsidRDefault="009E627B" w:rsidP="005D4331">
      <w:pPr>
        <w:pStyle w:val="Caption"/>
      </w:pPr>
      <w:r w:rsidRPr="00476FC5">
        <w:rPr>
          <w:b/>
          <w:bCs/>
        </w:rPr>
        <w:t xml:space="preserve">Supplementary Fig. </w:t>
      </w:r>
      <w:r w:rsidRPr="00476FC5">
        <w:rPr>
          <w:b/>
          <w:bCs/>
        </w:rPr>
        <w:fldChar w:fldCharType="begin"/>
      </w:r>
      <w:r w:rsidRPr="00476FC5">
        <w:rPr>
          <w:b/>
          <w:bCs/>
        </w:rPr>
        <w:instrText xml:space="preserve"> SEQ Supplementary_Fig. \* ARABIC </w:instrText>
      </w:r>
      <w:r w:rsidRPr="00476FC5">
        <w:rPr>
          <w:b/>
          <w:bCs/>
        </w:rPr>
        <w:fldChar w:fldCharType="separate"/>
      </w:r>
      <w:r w:rsidR="00C76C3C">
        <w:rPr>
          <w:b/>
          <w:bCs/>
          <w:noProof/>
        </w:rPr>
        <w:t>14</w:t>
      </w:r>
      <w:r w:rsidRPr="00476FC5">
        <w:rPr>
          <w:b/>
          <w:bCs/>
        </w:rPr>
        <w:fldChar w:fldCharType="end"/>
      </w:r>
      <w:r w:rsidRPr="00476FC5">
        <w:rPr>
          <w:b/>
          <w:bCs/>
        </w:rPr>
        <w:t xml:space="preserve"> |</w:t>
      </w:r>
      <w:r>
        <w:t xml:space="preserve"> </w:t>
      </w:r>
      <w:r w:rsidR="005D4331" w:rsidRPr="005D4331">
        <w:t>HRTEM image</w:t>
      </w:r>
      <w:r w:rsidR="007D622D">
        <w:t>s</w:t>
      </w:r>
      <w:r w:rsidR="00023652">
        <w:t xml:space="preserve"> of</w:t>
      </w:r>
      <w:r w:rsidR="007D622D">
        <w:t xml:space="preserve"> </w:t>
      </w:r>
      <w:r w:rsidR="004E57C4">
        <w:t xml:space="preserve">pristine </w:t>
      </w:r>
      <w:r w:rsidR="00023652">
        <w:t xml:space="preserve">Pt/NiNC-1 catalyst </w:t>
      </w:r>
      <w:r w:rsidR="007D622D">
        <w:t>at lower</w:t>
      </w:r>
      <w:r w:rsidR="00C3000C">
        <w:t xml:space="preserve"> (a) </w:t>
      </w:r>
      <w:r w:rsidR="007D622D">
        <w:t>and higher</w:t>
      </w:r>
      <w:r w:rsidR="00C3000C">
        <w:t xml:space="preserve"> (b)</w:t>
      </w:r>
      <w:r w:rsidR="007D622D">
        <w:t xml:space="preserve"> magnifications.</w:t>
      </w:r>
      <w:r w:rsidR="008233F0">
        <w:t xml:space="preserve"> </w:t>
      </w:r>
      <w:r w:rsidR="00A73FDF" w:rsidRPr="004C7BB5">
        <w:t>HAADF STEM</w:t>
      </w:r>
      <w:r w:rsidR="00A73FDF">
        <w:t xml:space="preserve"> images at both (c) bright field (BF) and (d) dark field (DF). </w:t>
      </w:r>
      <w:r w:rsidR="00E03866">
        <w:t xml:space="preserve">STEM-EDX compositional mapping profiles of the same area as in (c and d): </w:t>
      </w:r>
      <w:r w:rsidR="003A4EAA">
        <w:t xml:space="preserve">(e) </w:t>
      </w:r>
      <w:r w:rsidR="00E03866">
        <w:t>s</w:t>
      </w:r>
      <w:r w:rsidR="00340D89">
        <w:t xml:space="preserve">ingle </w:t>
      </w:r>
      <w:r w:rsidR="00C526C0">
        <w:t>Pt</w:t>
      </w:r>
      <w:r w:rsidR="003A4EAA">
        <w:t xml:space="preserve">, </w:t>
      </w:r>
      <w:r w:rsidR="00C3000C">
        <w:t>(f)</w:t>
      </w:r>
      <w:r w:rsidR="00C526C0">
        <w:t xml:space="preserve"> </w:t>
      </w:r>
      <w:r w:rsidR="003A4EAA">
        <w:t xml:space="preserve">single </w:t>
      </w:r>
      <w:r w:rsidR="00C526C0">
        <w:t>Ni</w:t>
      </w:r>
      <w:r w:rsidR="004F0F7A">
        <w:t>,</w:t>
      </w:r>
      <w:r w:rsidR="00C526C0">
        <w:t xml:space="preserve"> </w:t>
      </w:r>
      <w:r w:rsidR="004F0F7A">
        <w:t xml:space="preserve">and (g) </w:t>
      </w:r>
      <w:r w:rsidR="007C1965">
        <w:t>overlapping</w:t>
      </w:r>
      <w:r w:rsidR="003A4EAA">
        <w:t xml:space="preserve"> of </w:t>
      </w:r>
      <w:r w:rsidR="004F0F7A">
        <w:t>Pt (red) and Ni (green)</w:t>
      </w:r>
      <w:r w:rsidR="007C1965">
        <w:t>.</w:t>
      </w:r>
    </w:p>
    <w:p w14:paraId="30FB6DDB" w14:textId="77777777" w:rsidR="00E52749" w:rsidRDefault="00476ED9" w:rsidP="00E52749">
      <w:pPr>
        <w:keepNext/>
        <w:ind w:firstLine="0"/>
      </w:pPr>
      <w:r>
        <w:rPr>
          <w:noProof/>
        </w:rPr>
        <w:drawing>
          <wp:inline distT="0" distB="0" distL="0" distR="0" wp14:anchorId="1AAB752B" wp14:editId="4FB3C3CC">
            <wp:extent cx="5040000" cy="3392759"/>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0" cy="3392759"/>
                    </a:xfrm>
                    <a:prstGeom prst="rect">
                      <a:avLst/>
                    </a:prstGeom>
                    <a:noFill/>
                    <a:ln>
                      <a:noFill/>
                    </a:ln>
                  </pic:spPr>
                </pic:pic>
              </a:graphicData>
            </a:graphic>
          </wp:inline>
        </w:drawing>
      </w:r>
    </w:p>
    <w:p w14:paraId="7CC41BAB" w14:textId="779144A7" w:rsidR="005D4331" w:rsidRDefault="00E52749" w:rsidP="00145A5A">
      <w:pPr>
        <w:pStyle w:val="Caption"/>
      </w:pPr>
      <w:r w:rsidRPr="002D531D">
        <w:rPr>
          <w:b/>
          <w:bCs/>
        </w:rPr>
        <w:t xml:space="preserve">Supplementary Fig. </w:t>
      </w:r>
      <w:r w:rsidRPr="002D531D">
        <w:rPr>
          <w:b/>
          <w:bCs/>
        </w:rPr>
        <w:fldChar w:fldCharType="begin"/>
      </w:r>
      <w:r w:rsidRPr="002D531D">
        <w:rPr>
          <w:b/>
          <w:bCs/>
        </w:rPr>
        <w:instrText xml:space="preserve"> SEQ Supplementary_Fig. \* ARABIC </w:instrText>
      </w:r>
      <w:r w:rsidRPr="002D531D">
        <w:rPr>
          <w:b/>
          <w:bCs/>
        </w:rPr>
        <w:fldChar w:fldCharType="separate"/>
      </w:r>
      <w:r w:rsidR="00C76C3C">
        <w:rPr>
          <w:b/>
          <w:bCs/>
          <w:noProof/>
        </w:rPr>
        <w:t>15</w:t>
      </w:r>
      <w:r w:rsidRPr="002D531D">
        <w:rPr>
          <w:b/>
          <w:bCs/>
        </w:rPr>
        <w:fldChar w:fldCharType="end"/>
      </w:r>
      <w:r w:rsidRPr="002D531D">
        <w:rPr>
          <w:b/>
          <w:bCs/>
        </w:rPr>
        <w:t xml:space="preserve"> |</w:t>
      </w:r>
      <w:r>
        <w:t xml:space="preserve"> </w:t>
      </w:r>
      <w:r w:rsidR="007C1965" w:rsidRPr="005D4331">
        <w:t>HRTEM image</w:t>
      </w:r>
      <w:r w:rsidR="007C1965">
        <w:t>s of as-annealed PtM</w:t>
      </w:r>
      <w:r w:rsidR="007C1965" w:rsidRPr="003C6512">
        <w:rPr>
          <w:vertAlign w:val="subscript"/>
        </w:rPr>
        <w:t>x</w:t>
      </w:r>
      <w:r w:rsidR="007C1965">
        <w:t xml:space="preserve">/NiNC-1 catalyst at lower (a) and higher (b) magnifications. </w:t>
      </w:r>
      <w:r w:rsidR="007C1965" w:rsidRPr="004C7BB5">
        <w:t>HAADF STEM</w:t>
      </w:r>
      <w:r w:rsidR="007C1965">
        <w:t xml:space="preserve"> images at both (c) bright field (BF) and (d) dark </w:t>
      </w:r>
      <w:r w:rsidR="007C1965">
        <w:lastRenderedPageBreak/>
        <w:t>field (DF). STEM-EDX compositional mapping profiles of the same area as in (c and d): (e) single Pt, (f) single Ni, and (g) overlapping of Pt (red) and Ni (green).</w:t>
      </w:r>
    </w:p>
    <w:p w14:paraId="6A144B27" w14:textId="77777777" w:rsidR="002D531D" w:rsidRDefault="00D53C71" w:rsidP="002D531D">
      <w:pPr>
        <w:keepNext/>
        <w:ind w:firstLine="0"/>
      </w:pPr>
      <w:r>
        <w:rPr>
          <w:noProof/>
        </w:rPr>
        <w:drawing>
          <wp:inline distT="0" distB="0" distL="0" distR="0" wp14:anchorId="23DA92FD" wp14:editId="63B105DE">
            <wp:extent cx="4680000" cy="6147361"/>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0000" cy="6147361"/>
                    </a:xfrm>
                    <a:prstGeom prst="rect">
                      <a:avLst/>
                    </a:prstGeom>
                    <a:noFill/>
                    <a:ln>
                      <a:noFill/>
                    </a:ln>
                  </pic:spPr>
                </pic:pic>
              </a:graphicData>
            </a:graphic>
          </wp:inline>
        </w:drawing>
      </w:r>
    </w:p>
    <w:p w14:paraId="15A99892" w14:textId="2B60912B" w:rsidR="00556987" w:rsidRDefault="002D531D" w:rsidP="00D53C71">
      <w:pPr>
        <w:pStyle w:val="Caption"/>
      </w:pPr>
      <w:r w:rsidRPr="00476FC5">
        <w:rPr>
          <w:b/>
          <w:bCs/>
        </w:rPr>
        <w:t xml:space="preserve">Supplementary Fig. </w:t>
      </w:r>
      <w:r w:rsidRPr="00476FC5">
        <w:rPr>
          <w:b/>
          <w:bCs/>
        </w:rPr>
        <w:fldChar w:fldCharType="begin"/>
      </w:r>
      <w:r w:rsidRPr="00476FC5">
        <w:rPr>
          <w:b/>
          <w:bCs/>
        </w:rPr>
        <w:instrText xml:space="preserve"> SEQ Supplementary_Fig. \* ARABIC </w:instrText>
      </w:r>
      <w:r w:rsidRPr="00476FC5">
        <w:rPr>
          <w:b/>
          <w:bCs/>
        </w:rPr>
        <w:fldChar w:fldCharType="separate"/>
      </w:r>
      <w:r w:rsidR="00C76C3C">
        <w:rPr>
          <w:b/>
          <w:bCs/>
          <w:noProof/>
        </w:rPr>
        <w:t>16</w:t>
      </w:r>
      <w:r w:rsidRPr="00476FC5">
        <w:rPr>
          <w:b/>
          <w:bCs/>
        </w:rPr>
        <w:fldChar w:fldCharType="end"/>
      </w:r>
      <w:r w:rsidRPr="00476FC5">
        <w:rPr>
          <w:b/>
          <w:bCs/>
        </w:rPr>
        <w:t xml:space="preserve"> |</w:t>
      </w:r>
      <w:r>
        <w:t xml:space="preserve"> </w:t>
      </w:r>
      <w:r w:rsidR="005B651C" w:rsidRPr="00416D1C">
        <w:rPr>
          <w:i/>
          <w:iCs w:val="0"/>
        </w:rPr>
        <w:t>In situ</w:t>
      </w:r>
      <w:r w:rsidR="005B651C">
        <w:t xml:space="preserve"> TEM imaging of the catalyst during heating from 25 </w:t>
      </w:r>
      <w:r w:rsidR="005B651C">
        <w:rPr>
          <w:rFonts w:cs="Arial"/>
        </w:rPr>
        <w:t>°</w:t>
      </w:r>
      <w:r w:rsidR="005B651C">
        <w:t xml:space="preserve">C (RT) to 700 </w:t>
      </w:r>
      <w:r w:rsidR="005B651C">
        <w:rPr>
          <w:rFonts w:cs="Arial"/>
        </w:rPr>
        <w:t>°</w:t>
      </w:r>
      <w:r w:rsidR="005B651C">
        <w:t>C under vacuum condition. (a) Temperature profile over time with marked points corresponding to the images in (b</w:t>
      </w:r>
      <w:r w:rsidR="005B651C">
        <w:rPr>
          <w:rFonts w:cs="Arial"/>
        </w:rPr>
        <w:t>–</w:t>
      </w:r>
      <w:r w:rsidR="005B651C">
        <w:t xml:space="preserve">g). Starting from 200 </w:t>
      </w:r>
      <w:r w:rsidR="005B651C">
        <w:rPr>
          <w:rFonts w:cs="Arial"/>
        </w:rPr>
        <w:t>°</w:t>
      </w:r>
      <w:r w:rsidR="005B651C">
        <w:t xml:space="preserve">C, temperature was </w:t>
      </w:r>
      <w:r w:rsidR="00A64056">
        <w:t>increased</w:t>
      </w:r>
      <w:r w:rsidR="005B651C">
        <w:t xml:space="preserve"> in step of 100 </w:t>
      </w:r>
      <w:r w:rsidR="005B651C">
        <w:rPr>
          <w:rFonts w:cs="Arial"/>
        </w:rPr>
        <w:t>°</w:t>
      </w:r>
      <w:r w:rsidR="005B651C">
        <w:t xml:space="preserve">C (5 K/min). The specimen was annealed for 2 min at each step below </w:t>
      </w:r>
      <w:r w:rsidR="00A512A6">
        <w:t>6</w:t>
      </w:r>
      <w:r w:rsidR="005B651C">
        <w:t xml:space="preserve">00 </w:t>
      </w:r>
      <w:r w:rsidR="005B651C">
        <w:rPr>
          <w:rFonts w:cs="Arial"/>
        </w:rPr>
        <w:t>°</w:t>
      </w:r>
      <w:r w:rsidR="005B651C">
        <w:t>C</w:t>
      </w:r>
      <w:r w:rsidR="00A512A6">
        <w:t xml:space="preserve">. Between 600 and 700 </w:t>
      </w:r>
      <w:r w:rsidR="00A512A6">
        <w:rPr>
          <w:rFonts w:cs="Arial"/>
        </w:rPr>
        <w:t>°</w:t>
      </w:r>
      <w:r w:rsidR="00A512A6">
        <w:t xml:space="preserve">C, temperature was </w:t>
      </w:r>
      <w:r w:rsidR="00A64056">
        <w:t>increased</w:t>
      </w:r>
      <w:r w:rsidR="00A512A6">
        <w:t xml:space="preserve"> in step of 25 </w:t>
      </w:r>
      <w:r w:rsidR="00A512A6">
        <w:rPr>
          <w:rFonts w:cs="Arial"/>
        </w:rPr>
        <w:t>°</w:t>
      </w:r>
      <w:r w:rsidR="00A512A6">
        <w:t>C and kept constant</w:t>
      </w:r>
      <w:r w:rsidR="005B651C">
        <w:t xml:space="preserve"> </w:t>
      </w:r>
      <w:r w:rsidR="00A512A6">
        <w:t xml:space="preserve">at </w:t>
      </w:r>
      <w:r w:rsidR="00A512A6">
        <w:lastRenderedPageBreak/>
        <w:t xml:space="preserve">each step for 2 min. </w:t>
      </w:r>
      <w:r w:rsidR="008F6983">
        <w:t>And sample t</w:t>
      </w:r>
      <w:r w:rsidR="00A512A6">
        <w:t xml:space="preserve">emperature was kept </w:t>
      </w:r>
      <w:r w:rsidR="005B651C">
        <w:t>at</w:t>
      </w:r>
      <w:r w:rsidR="00741FC5">
        <w:t xml:space="preserve"> final</w:t>
      </w:r>
      <w:r w:rsidR="005B651C">
        <w:t xml:space="preserve"> 700 </w:t>
      </w:r>
      <w:r w:rsidR="005B651C">
        <w:rPr>
          <w:rFonts w:cs="Arial"/>
        </w:rPr>
        <w:t>°</w:t>
      </w:r>
      <w:r w:rsidR="005B651C">
        <w:t>C</w:t>
      </w:r>
      <w:r w:rsidR="00A512A6">
        <w:t xml:space="preserve"> for 11 min</w:t>
      </w:r>
      <w:r w:rsidR="005B651C">
        <w:t xml:space="preserve">. </w:t>
      </w:r>
      <w:r w:rsidR="00CD0F19">
        <w:t>Red</w:t>
      </w:r>
      <w:r w:rsidR="005B651C">
        <w:t xml:space="preserve"> circles in b</w:t>
      </w:r>
      <w:r w:rsidR="005B651C">
        <w:rPr>
          <w:rFonts w:cs="Arial"/>
        </w:rPr>
        <w:t>–</w:t>
      </w:r>
      <w:r w:rsidR="00CD0F19">
        <w:t>j</w:t>
      </w:r>
      <w:r w:rsidR="005B651C">
        <w:t xml:space="preserve"> mark the Pt NPs </w:t>
      </w:r>
      <w:r w:rsidR="00CD0F19">
        <w:t xml:space="preserve">slightly </w:t>
      </w:r>
      <w:r w:rsidR="005B651C">
        <w:t>agglomerated</w:t>
      </w:r>
      <w:r w:rsidR="00C46632">
        <w:t xml:space="preserve"> during </w:t>
      </w:r>
      <w:r w:rsidR="001A5F4B">
        <w:t>thermal annealing</w:t>
      </w:r>
      <w:r w:rsidR="005B651C">
        <w:t xml:space="preserve">. Scale bar: 20 nm. </w:t>
      </w:r>
    </w:p>
    <w:p w14:paraId="5BDEEA96" w14:textId="77777777" w:rsidR="00112FC9" w:rsidRDefault="001B2608" w:rsidP="00112FC9">
      <w:pPr>
        <w:keepNext/>
        <w:ind w:firstLine="0"/>
      </w:pPr>
      <w:r>
        <w:rPr>
          <w:noProof/>
        </w:rPr>
        <w:drawing>
          <wp:inline distT="0" distB="0" distL="0" distR="0" wp14:anchorId="72C212DA" wp14:editId="751D76F8">
            <wp:extent cx="4680000" cy="3066421"/>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80000" cy="3066421"/>
                    </a:xfrm>
                    <a:prstGeom prst="rect">
                      <a:avLst/>
                    </a:prstGeom>
                    <a:noFill/>
                    <a:ln>
                      <a:noFill/>
                    </a:ln>
                  </pic:spPr>
                </pic:pic>
              </a:graphicData>
            </a:graphic>
          </wp:inline>
        </w:drawing>
      </w:r>
    </w:p>
    <w:p w14:paraId="394D27A3" w14:textId="5B22EBE5" w:rsidR="0030666C" w:rsidRPr="0030666C" w:rsidRDefault="00112FC9" w:rsidP="00517600">
      <w:pPr>
        <w:pStyle w:val="Caption"/>
      </w:pPr>
      <w:r w:rsidRPr="00476FC5">
        <w:rPr>
          <w:b/>
          <w:bCs/>
        </w:rPr>
        <w:t xml:space="preserve">Supplementary Fig. </w:t>
      </w:r>
      <w:r w:rsidRPr="00476FC5">
        <w:rPr>
          <w:b/>
          <w:bCs/>
        </w:rPr>
        <w:fldChar w:fldCharType="begin"/>
      </w:r>
      <w:r w:rsidRPr="00476FC5">
        <w:rPr>
          <w:b/>
          <w:bCs/>
        </w:rPr>
        <w:instrText xml:space="preserve"> SEQ Supplementary_Fig. \* ARABIC </w:instrText>
      </w:r>
      <w:r w:rsidRPr="00476FC5">
        <w:rPr>
          <w:b/>
          <w:bCs/>
        </w:rPr>
        <w:fldChar w:fldCharType="separate"/>
      </w:r>
      <w:r w:rsidR="00C76C3C">
        <w:rPr>
          <w:b/>
          <w:bCs/>
          <w:noProof/>
        </w:rPr>
        <w:t>17</w:t>
      </w:r>
      <w:r w:rsidRPr="00476FC5">
        <w:rPr>
          <w:b/>
          <w:bCs/>
        </w:rPr>
        <w:fldChar w:fldCharType="end"/>
      </w:r>
      <w:r w:rsidRPr="00476FC5">
        <w:rPr>
          <w:b/>
          <w:bCs/>
        </w:rPr>
        <w:t xml:space="preserve"> |</w:t>
      </w:r>
      <w:r>
        <w:t xml:space="preserve"> </w:t>
      </w:r>
      <w:r w:rsidR="00F65116" w:rsidRPr="00416D1C">
        <w:rPr>
          <w:i/>
          <w:iCs w:val="0"/>
        </w:rPr>
        <w:t>In situ</w:t>
      </w:r>
      <w:r w:rsidR="00F65116">
        <w:t xml:space="preserve"> TEM images recorded during </w:t>
      </w:r>
      <w:r w:rsidR="00416D1C">
        <w:t>a temperature</w:t>
      </w:r>
      <w:r w:rsidR="00F65116">
        <w:t xml:space="preserve"> hold </w:t>
      </w:r>
      <w:r w:rsidR="00416D1C">
        <w:t xml:space="preserve">of 11 min </w:t>
      </w:r>
      <w:r w:rsidR="00F65116">
        <w:t xml:space="preserve">at 700 </w:t>
      </w:r>
      <w:r w:rsidR="00F65116">
        <w:rPr>
          <w:rFonts w:cs="Arial"/>
        </w:rPr>
        <w:t>°</w:t>
      </w:r>
      <w:r w:rsidR="00F65116">
        <w:t>C (a</w:t>
      </w:r>
      <w:r w:rsidR="00A64438">
        <w:rPr>
          <w:rFonts w:cs="Times New Roman"/>
        </w:rPr>
        <w:t>–</w:t>
      </w:r>
      <w:r w:rsidR="00A64438">
        <w:t>e</w:t>
      </w:r>
      <w:r w:rsidR="00F65116">
        <w:t xml:space="preserve">) and </w:t>
      </w:r>
      <w:r w:rsidR="00A64056">
        <w:t>after subsequent</w:t>
      </w:r>
      <w:r w:rsidR="00F65116">
        <w:t xml:space="preserve"> cooling to 200 </w:t>
      </w:r>
      <w:r w:rsidR="00F65116">
        <w:rPr>
          <w:rFonts w:cs="Arial"/>
        </w:rPr>
        <w:t>°</w:t>
      </w:r>
      <w:r w:rsidR="00F65116">
        <w:t>C (</w:t>
      </w:r>
      <w:r w:rsidR="00A64438">
        <w:t>f</w:t>
      </w:r>
      <w:r w:rsidR="00F65116">
        <w:t xml:space="preserve">). The numbers in parentheses indicate the holding time in minutes at 700 </w:t>
      </w:r>
      <w:r w:rsidR="00F65116">
        <w:rPr>
          <w:rFonts w:cs="Arial"/>
        </w:rPr>
        <w:t>°</w:t>
      </w:r>
      <w:r w:rsidR="00F65116">
        <w:t>C.</w:t>
      </w:r>
      <w:r w:rsidR="00F65116" w:rsidRPr="00A549CF">
        <w:t xml:space="preserve"> </w:t>
      </w:r>
      <w:r w:rsidR="00F65116">
        <w:t>Scale bar: 20 nm.</w:t>
      </w:r>
    </w:p>
    <w:p w14:paraId="5D064027" w14:textId="77777777" w:rsidR="00112FC9" w:rsidRDefault="004E2E28" w:rsidP="00112FC9">
      <w:pPr>
        <w:keepNext/>
        <w:ind w:firstLine="0"/>
      </w:pPr>
      <w:r>
        <w:rPr>
          <w:noProof/>
        </w:rPr>
        <w:lastRenderedPageBreak/>
        <w:drawing>
          <wp:inline distT="0" distB="0" distL="0" distR="0" wp14:anchorId="5F2F0C49" wp14:editId="6DF33FB1">
            <wp:extent cx="4320000" cy="4572121"/>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0000" cy="4572121"/>
                    </a:xfrm>
                    <a:prstGeom prst="rect">
                      <a:avLst/>
                    </a:prstGeom>
                    <a:noFill/>
                    <a:ln>
                      <a:noFill/>
                    </a:ln>
                  </pic:spPr>
                </pic:pic>
              </a:graphicData>
            </a:graphic>
          </wp:inline>
        </w:drawing>
      </w:r>
    </w:p>
    <w:p w14:paraId="55381D7A" w14:textId="4D886C27" w:rsidR="004E2E28" w:rsidRDefault="00112FC9" w:rsidP="004E2E28">
      <w:pPr>
        <w:pStyle w:val="Caption"/>
      </w:pPr>
      <w:r w:rsidRPr="00407F19">
        <w:rPr>
          <w:b/>
          <w:bCs/>
        </w:rPr>
        <w:t xml:space="preserve">Supplementary Fig. </w:t>
      </w:r>
      <w:r w:rsidRPr="00407F19">
        <w:rPr>
          <w:b/>
          <w:bCs/>
        </w:rPr>
        <w:fldChar w:fldCharType="begin"/>
      </w:r>
      <w:r w:rsidRPr="00407F19">
        <w:rPr>
          <w:b/>
          <w:bCs/>
        </w:rPr>
        <w:instrText xml:space="preserve"> SEQ Supplementary_Fig. \* ARABIC </w:instrText>
      </w:r>
      <w:r w:rsidRPr="00407F19">
        <w:rPr>
          <w:b/>
          <w:bCs/>
        </w:rPr>
        <w:fldChar w:fldCharType="separate"/>
      </w:r>
      <w:r w:rsidR="00C76C3C">
        <w:rPr>
          <w:b/>
          <w:bCs/>
          <w:noProof/>
        </w:rPr>
        <w:t>18</w:t>
      </w:r>
      <w:r w:rsidRPr="00407F19">
        <w:rPr>
          <w:b/>
          <w:bCs/>
        </w:rPr>
        <w:fldChar w:fldCharType="end"/>
      </w:r>
      <w:r w:rsidRPr="00407F19">
        <w:rPr>
          <w:b/>
          <w:bCs/>
        </w:rPr>
        <w:t xml:space="preserve"> | </w:t>
      </w:r>
      <w:r w:rsidR="003C2F07">
        <w:t>Impact of electron beam during in situ heating</w:t>
      </w:r>
      <w:r w:rsidR="00A64056">
        <w:t xml:space="preserve"> and exclusion of beam damage misinterpretations</w:t>
      </w:r>
      <w:r w:rsidR="003C2F07">
        <w:t xml:space="preserve">. </w:t>
      </w:r>
      <w:r w:rsidR="003C2F07" w:rsidRPr="007C45A7">
        <w:t xml:space="preserve">TEM images taken (a, c) before and (b, d) after the same heating procedure from other two regions, which neither were exposed to electron beam during </w:t>
      </w:r>
      <w:r w:rsidR="003C2F07" w:rsidRPr="00861ADC">
        <w:rPr>
          <w:i/>
          <w:iCs w:val="0"/>
        </w:rPr>
        <w:t>in situ</w:t>
      </w:r>
      <w:r w:rsidR="003C2F07" w:rsidRPr="007C45A7">
        <w:t xml:space="preserve"> heating experiment.</w:t>
      </w:r>
      <w:r w:rsidR="003C2F07">
        <w:t xml:space="preserve"> Herein, similar changes are observed as in </w:t>
      </w:r>
      <w:r w:rsidR="003861D8" w:rsidRPr="00861ADC">
        <w:rPr>
          <w:b/>
          <w:bCs/>
        </w:rPr>
        <w:t>Supplementary Fig. 1</w:t>
      </w:r>
      <w:r w:rsidR="00861ADC" w:rsidRPr="00861ADC">
        <w:rPr>
          <w:b/>
          <w:bCs/>
        </w:rPr>
        <w:t>6</w:t>
      </w:r>
      <w:r w:rsidR="003C2F07">
        <w:t xml:space="preserve">. From this beam control experiment, we could conclude that all changes observed in our </w:t>
      </w:r>
      <w:r w:rsidR="003C2F07" w:rsidRPr="00B410BF">
        <w:rPr>
          <w:i/>
          <w:iCs w:val="0"/>
        </w:rPr>
        <w:t>in situ</w:t>
      </w:r>
      <w:r w:rsidR="003C2F07">
        <w:t xml:space="preserve"> heating experiment result from heating, rather than electron beam damage.</w:t>
      </w:r>
    </w:p>
    <w:p w14:paraId="6CB494B4" w14:textId="77777777" w:rsidR="007E3A06" w:rsidRDefault="00BE757B" w:rsidP="007E3A06">
      <w:pPr>
        <w:keepNext/>
        <w:ind w:firstLine="0"/>
      </w:pPr>
      <w:r>
        <w:rPr>
          <w:noProof/>
        </w:rPr>
        <w:lastRenderedPageBreak/>
        <w:drawing>
          <wp:inline distT="0" distB="0" distL="0" distR="0" wp14:anchorId="3DFA287E" wp14:editId="3031E78C">
            <wp:extent cx="4680000" cy="3708846"/>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0000" cy="3708846"/>
                    </a:xfrm>
                    <a:prstGeom prst="rect">
                      <a:avLst/>
                    </a:prstGeom>
                    <a:noFill/>
                    <a:ln>
                      <a:noFill/>
                    </a:ln>
                  </pic:spPr>
                </pic:pic>
              </a:graphicData>
            </a:graphic>
          </wp:inline>
        </w:drawing>
      </w:r>
    </w:p>
    <w:p w14:paraId="7A05EB32" w14:textId="3AACED9A" w:rsidR="00BE757B" w:rsidRDefault="007E3A06" w:rsidP="00B45C41">
      <w:pPr>
        <w:pStyle w:val="Caption"/>
      </w:pPr>
      <w:r w:rsidRPr="00407F19">
        <w:rPr>
          <w:b/>
          <w:bCs/>
        </w:rPr>
        <w:t xml:space="preserve">Supplementary Fig. </w:t>
      </w:r>
      <w:r w:rsidRPr="00407F19">
        <w:rPr>
          <w:b/>
          <w:bCs/>
        </w:rPr>
        <w:fldChar w:fldCharType="begin"/>
      </w:r>
      <w:r w:rsidRPr="00407F19">
        <w:rPr>
          <w:b/>
          <w:bCs/>
        </w:rPr>
        <w:instrText xml:space="preserve"> SEQ Supplementary_Fig. \* ARABIC </w:instrText>
      </w:r>
      <w:r w:rsidRPr="00407F19">
        <w:rPr>
          <w:b/>
          <w:bCs/>
        </w:rPr>
        <w:fldChar w:fldCharType="separate"/>
      </w:r>
      <w:r w:rsidR="00C76C3C">
        <w:rPr>
          <w:b/>
          <w:bCs/>
          <w:noProof/>
        </w:rPr>
        <w:t>19</w:t>
      </w:r>
      <w:r w:rsidRPr="00407F19">
        <w:rPr>
          <w:b/>
          <w:bCs/>
        </w:rPr>
        <w:fldChar w:fldCharType="end"/>
      </w:r>
      <w:r w:rsidRPr="00407F19">
        <w:rPr>
          <w:b/>
          <w:bCs/>
        </w:rPr>
        <w:t xml:space="preserve"> |</w:t>
      </w:r>
      <w:r w:rsidR="00B45C41">
        <w:t xml:space="preserve"> </w:t>
      </w:r>
      <w:r w:rsidR="006C0593">
        <w:t xml:space="preserve">(a, c) Pt surface area-normalized </w:t>
      </w:r>
      <w:r w:rsidR="00B410BF">
        <w:t xml:space="preserve">and </w:t>
      </w:r>
      <w:r w:rsidR="006C0593">
        <w:t>background-subtracted CO stripping voltammetry and (b, d) CV curves in 0.1 M KOH solution for a series of catalyst films undergoing pre</w:t>
      </w:r>
      <w:r w:rsidR="00B410BF">
        <w:t>-</w:t>
      </w:r>
      <w:r w:rsidR="006C0593">
        <w:t xml:space="preserve">treatment in acidic solution with different potential cycling numbers: (a, b) </w:t>
      </w:r>
      <w:r w:rsidR="00B410BF">
        <w:t xml:space="preserve">as-annealed </w:t>
      </w:r>
      <w:r w:rsidR="009C16C7">
        <w:t>PtM</w:t>
      </w:r>
      <w:r w:rsidR="009C16C7" w:rsidRPr="004C1231">
        <w:rPr>
          <w:vertAlign w:val="subscript"/>
        </w:rPr>
        <w:t>x</w:t>
      </w:r>
      <w:r w:rsidR="009C16C7">
        <w:t xml:space="preserve">/NiNC-1 </w:t>
      </w:r>
      <w:r w:rsidR="006C0593">
        <w:t xml:space="preserve">and (c, d) </w:t>
      </w:r>
      <w:r w:rsidR="00B410BF">
        <w:t xml:space="preserve">pristine </w:t>
      </w:r>
      <w:r w:rsidR="009C16C7">
        <w:t xml:space="preserve">Pt/NiNC-1 </w:t>
      </w:r>
      <w:r w:rsidR="006C0593">
        <w:t>samples, respectively.</w:t>
      </w:r>
    </w:p>
    <w:p w14:paraId="2755DBDF" w14:textId="77777777" w:rsidR="00E7761A" w:rsidRDefault="00E7761A" w:rsidP="00E7761A">
      <w:pPr>
        <w:keepNext/>
        <w:ind w:firstLine="0"/>
      </w:pPr>
      <w:r w:rsidRPr="003962F0">
        <w:rPr>
          <w:noProof/>
          <w:lang w:val="de-DE"/>
        </w:rPr>
        <w:lastRenderedPageBreak/>
        <w:drawing>
          <wp:inline distT="0" distB="0" distL="0" distR="0" wp14:anchorId="7F01B3D8" wp14:editId="7F5D5F99">
            <wp:extent cx="3283570" cy="3986784"/>
            <wp:effectExtent l="0" t="0" r="0" b="0"/>
            <wp:docPr id="5" name="Picture 5" descr="W:\Project folder Pt on NiNC\Folder for Figure preparation\images of the product and their weight at each step 5-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roject folder Pt on NiNC\Folder for Figure preparation\images of the product and their weight at each step 5-Pt.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83570" cy="3986784"/>
                    </a:xfrm>
                    <a:prstGeom prst="rect">
                      <a:avLst/>
                    </a:prstGeom>
                    <a:noFill/>
                    <a:ln>
                      <a:noFill/>
                    </a:ln>
                  </pic:spPr>
                </pic:pic>
              </a:graphicData>
            </a:graphic>
          </wp:inline>
        </w:drawing>
      </w:r>
    </w:p>
    <w:p w14:paraId="1AB945F6" w14:textId="60F02C08" w:rsidR="00107528" w:rsidRDefault="00E7761A" w:rsidP="005A3EA0">
      <w:pPr>
        <w:pStyle w:val="Caption"/>
      </w:pPr>
      <w:r w:rsidRPr="00FF0AA8">
        <w:rPr>
          <w:b/>
          <w:bCs/>
        </w:rPr>
        <w:t xml:space="preserve">Supplementary Fig. </w:t>
      </w:r>
      <w:r w:rsidRPr="00FF0AA8">
        <w:rPr>
          <w:b/>
          <w:bCs/>
        </w:rPr>
        <w:fldChar w:fldCharType="begin"/>
      </w:r>
      <w:r w:rsidRPr="00FF0AA8">
        <w:rPr>
          <w:b/>
          <w:bCs/>
        </w:rPr>
        <w:instrText xml:space="preserve"> SEQ Supplementary_Fig. \* ARABIC </w:instrText>
      </w:r>
      <w:r w:rsidRPr="00FF0AA8">
        <w:rPr>
          <w:b/>
          <w:bCs/>
        </w:rPr>
        <w:fldChar w:fldCharType="separate"/>
      </w:r>
      <w:r w:rsidR="00C76C3C">
        <w:rPr>
          <w:b/>
          <w:bCs/>
          <w:noProof/>
        </w:rPr>
        <w:t>20</w:t>
      </w:r>
      <w:r w:rsidRPr="00FF0AA8">
        <w:rPr>
          <w:b/>
          <w:bCs/>
        </w:rPr>
        <w:fldChar w:fldCharType="end"/>
      </w:r>
      <w:r w:rsidRPr="00FF0AA8">
        <w:rPr>
          <w:b/>
          <w:bCs/>
        </w:rPr>
        <w:t xml:space="preserve"> |</w:t>
      </w:r>
      <w:r>
        <w:t xml:space="preserve"> Images of the product and its weight at each intermediate step: (a) the starting material, homogeneous mixture of </w:t>
      </w:r>
      <w:r>
        <w:rPr>
          <w:rFonts w:cs="Times New Roman"/>
        </w:rPr>
        <w:t>α</w:t>
      </w:r>
      <w:r>
        <w:t>-Ni(Im)</w:t>
      </w:r>
      <w:r>
        <w:rPr>
          <w:vertAlign w:val="subscript"/>
        </w:rPr>
        <w:t>2</w:t>
      </w:r>
      <w:r>
        <w:t xml:space="preserve"> precursor and Vulcan carbon in a weight ratio of 10:1; (b) after pyrolysis; (c) after acid </w:t>
      </w:r>
      <w:r w:rsidR="005E042C">
        <w:t>washing</w:t>
      </w:r>
      <w:r>
        <w:t xml:space="preserve"> and (d) after 5 wt% Pt deposition via polyol process.</w:t>
      </w:r>
    </w:p>
    <w:p w14:paraId="594A7A7F" w14:textId="7F9A37CB" w:rsidR="00E7761A" w:rsidRPr="00107528" w:rsidRDefault="007F3DEE" w:rsidP="00107528">
      <w:pPr>
        <w:keepNext/>
        <w:ind w:firstLine="0"/>
      </w:pPr>
      <w:r>
        <w:rPr>
          <w:noProof/>
        </w:rPr>
        <w:lastRenderedPageBreak/>
        <w:drawing>
          <wp:inline distT="0" distB="0" distL="0" distR="0" wp14:anchorId="48C48EE5" wp14:editId="3FB29F3B">
            <wp:extent cx="3600000" cy="3600000"/>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28459E39" w14:textId="7F4B9D3A" w:rsidR="00107528" w:rsidRDefault="00107528" w:rsidP="00107528">
      <w:pPr>
        <w:pStyle w:val="Caption"/>
      </w:pPr>
      <w:r w:rsidRPr="003C7EC9">
        <w:rPr>
          <w:b/>
          <w:bCs/>
        </w:rPr>
        <w:t xml:space="preserve">Supplementary Fig. </w:t>
      </w:r>
      <w:r w:rsidRPr="003C7EC9">
        <w:rPr>
          <w:b/>
          <w:bCs/>
        </w:rPr>
        <w:fldChar w:fldCharType="begin"/>
      </w:r>
      <w:r w:rsidRPr="003C7EC9">
        <w:rPr>
          <w:b/>
          <w:bCs/>
        </w:rPr>
        <w:instrText xml:space="preserve"> SEQ Supplementary_Fig. \* ARABIC </w:instrText>
      </w:r>
      <w:r w:rsidRPr="003C7EC9">
        <w:rPr>
          <w:b/>
          <w:bCs/>
        </w:rPr>
        <w:fldChar w:fldCharType="separate"/>
      </w:r>
      <w:r w:rsidR="00C76C3C">
        <w:rPr>
          <w:b/>
          <w:bCs/>
          <w:noProof/>
        </w:rPr>
        <w:t>21</w:t>
      </w:r>
      <w:r w:rsidRPr="003C7EC9">
        <w:rPr>
          <w:b/>
          <w:bCs/>
        </w:rPr>
        <w:fldChar w:fldCharType="end"/>
      </w:r>
      <w:r w:rsidRPr="003C7EC9">
        <w:rPr>
          <w:b/>
          <w:bCs/>
        </w:rPr>
        <w:t xml:space="preserve"> |</w:t>
      </w:r>
      <w:r>
        <w:t xml:space="preserve"> </w:t>
      </w:r>
      <w:r w:rsidR="00C77DCF">
        <w:t xml:space="preserve">XRD pattern of </w:t>
      </w:r>
      <w:r w:rsidR="00567010">
        <w:t xml:space="preserve">blank NiNC support, </w:t>
      </w:r>
      <w:r w:rsidR="00C77DCF">
        <w:t>pristine 5-Pt/NiNC and as-annealed 5-PtNi/NiNC catalyst materials.</w:t>
      </w:r>
    </w:p>
    <w:p w14:paraId="46D29DBA" w14:textId="77777777" w:rsidR="00DB6C6C" w:rsidRDefault="00DB6C6C" w:rsidP="00DB6C6C">
      <w:pPr>
        <w:keepNext/>
        <w:ind w:firstLine="0"/>
      </w:pPr>
      <w:r>
        <w:rPr>
          <w:noProof/>
        </w:rPr>
        <w:lastRenderedPageBreak/>
        <w:drawing>
          <wp:inline distT="0" distB="0" distL="0" distR="0" wp14:anchorId="4389A673" wp14:editId="12C36E1C">
            <wp:extent cx="4680000" cy="3745141"/>
            <wp:effectExtent l="0" t="0" r="635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0000" cy="3745141"/>
                    </a:xfrm>
                    <a:prstGeom prst="rect">
                      <a:avLst/>
                    </a:prstGeom>
                    <a:noFill/>
                    <a:ln>
                      <a:noFill/>
                    </a:ln>
                  </pic:spPr>
                </pic:pic>
              </a:graphicData>
            </a:graphic>
          </wp:inline>
        </w:drawing>
      </w:r>
    </w:p>
    <w:p w14:paraId="38788716" w14:textId="0C44D86B" w:rsidR="00DB6C6C" w:rsidRDefault="00DB6C6C" w:rsidP="00DB6C6C">
      <w:pPr>
        <w:ind w:firstLine="0"/>
      </w:pPr>
      <w:r w:rsidRPr="00D47372">
        <w:rPr>
          <w:b/>
          <w:bCs/>
        </w:rPr>
        <w:t xml:space="preserve">Supplementary Fig. </w:t>
      </w:r>
      <w:r w:rsidRPr="00D47372">
        <w:rPr>
          <w:b/>
          <w:bCs/>
        </w:rPr>
        <w:fldChar w:fldCharType="begin"/>
      </w:r>
      <w:r w:rsidRPr="00D47372">
        <w:rPr>
          <w:b/>
          <w:bCs/>
        </w:rPr>
        <w:instrText xml:space="preserve"> SEQ Supplementary_Fig. \* ARABIC </w:instrText>
      </w:r>
      <w:r w:rsidRPr="00D47372">
        <w:rPr>
          <w:b/>
          <w:bCs/>
        </w:rPr>
        <w:fldChar w:fldCharType="separate"/>
      </w:r>
      <w:r w:rsidR="00C76C3C">
        <w:rPr>
          <w:b/>
          <w:bCs/>
          <w:noProof/>
        </w:rPr>
        <w:t>22</w:t>
      </w:r>
      <w:r w:rsidRPr="00D47372">
        <w:rPr>
          <w:b/>
          <w:bCs/>
        </w:rPr>
        <w:fldChar w:fldCharType="end"/>
      </w:r>
      <w:r w:rsidRPr="00D47372">
        <w:rPr>
          <w:b/>
          <w:bCs/>
        </w:rPr>
        <w:t xml:space="preserve"> |</w:t>
      </w:r>
      <w:r>
        <w:t xml:space="preserve"> (a, c) Pt surface area-normalized</w:t>
      </w:r>
      <w:r w:rsidR="00545038">
        <w:t xml:space="preserve"> and</w:t>
      </w:r>
      <w:r>
        <w:t xml:space="preserve"> background-subtracted CO stripping voltammetry and (b, d) CV curves in 0.1 M KOH solution for a series of catalyst films undergoing pre</w:t>
      </w:r>
      <w:r w:rsidR="008D5699">
        <w:t>-</w:t>
      </w:r>
      <w:r>
        <w:t xml:space="preserve">treatment in acidic solution with different potential cycling numbers: (a, b) </w:t>
      </w:r>
      <w:r w:rsidR="00545038">
        <w:t xml:space="preserve">as-annealed </w:t>
      </w:r>
      <w:r>
        <w:t>5-PtNi</w:t>
      </w:r>
      <w:r w:rsidRPr="00556F5F">
        <w:rPr>
          <w:vertAlign w:val="subscript"/>
        </w:rPr>
        <w:t>x</w:t>
      </w:r>
      <w:r>
        <w:t xml:space="preserve">/NiNC and (c, d) </w:t>
      </w:r>
      <w:r w:rsidR="00545038">
        <w:t xml:space="preserve">pristine </w:t>
      </w:r>
      <w:r>
        <w:t>5-Pt/NiNC samples, respectively.</w:t>
      </w:r>
    </w:p>
    <w:p w14:paraId="343F2EFD" w14:textId="77777777" w:rsidR="000C7E4F" w:rsidRDefault="000C7E4F" w:rsidP="000C7E4F">
      <w:pPr>
        <w:keepNext/>
        <w:ind w:firstLine="0"/>
      </w:pPr>
      <w:r>
        <w:rPr>
          <w:noProof/>
        </w:rPr>
        <w:lastRenderedPageBreak/>
        <w:drawing>
          <wp:inline distT="0" distB="0" distL="0" distR="0" wp14:anchorId="7FB66818" wp14:editId="13C46006">
            <wp:extent cx="2880000" cy="288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4CDF7959" w14:textId="1EBABB9C" w:rsidR="000C7E4F" w:rsidRPr="00DB6C6C" w:rsidRDefault="000C7E4F" w:rsidP="00770AE2">
      <w:pPr>
        <w:pStyle w:val="Caption"/>
      </w:pPr>
      <w:r w:rsidRPr="00DD5704">
        <w:rPr>
          <w:b/>
          <w:bCs/>
        </w:rPr>
        <w:t xml:space="preserve">Supplementary Fig. </w:t>
      </w:r>
      <w:r w:rsidRPr="00DD5704">
        <w:rPr>
          <w:b/>
          <w:bCs/>
        </w:rPr>
        <w:fldChar w:fldCharType="begin"/>
      </w:r>
      <w:r w:rsidRPr="00DD5704">
        <w:rPr>
          <w:b/>
          <w:bCs/>
        </w:rPr>
        <w:instrText xml:space="preserve"> SEQ Supplementary_Fig. \* ARABIC </w:instrText>
      </w:r>
      <w:r w:rsidRPr="00DD5704">
        <w:rPr>
          <w:b/>
          <w:bCs/>
        </w:rPr>
        <w:fldChar w:fldCharType="separate"/>
      </w:r>
      <w:r w:rsidR="00C76C3C">
        <w:rPr>
          <w:b/>
          <w:bCs/>
          <w:noProof/>
        </w:rPr>
        <w:t>23</w:t>
      </w:r>
      <w:r w:rsidRPr="00DD5704">
        <w:rPr>
          <w:b/>
          <w:bCs/>
        </w:rPr>
        <w:fldChar w:fldCharType="end"/>
      </w:r>
      <w:r w:rsidRPr="00DD5704">
        <w:rPr>
          <w:b/>
          <w:bCs/>
        </w:rPr>
        <w:t xml:space="preserve"> |</w:t>
      </w:r>
      <w:r>
        <w:t xml:space="preserve"> XRD patterns of two d-PtNi reference samples from JMFC and Umicore, respectively. For d-PtNi</w:t>
      </w:r>
      <w:r w:rsidR="00863881">
        <w:t>_</w:t>
      </w:r>
      <w:r>
        <w:t>JMFC sample, Pt content is 28.6 wt%, and Ni content is 4.7 wt%, with a Pt/Ni atomic ratio of Pt</w:t>
      </w:r>
      <w:r w:rsidRPr="0091393F">
        <w:rPr>
          <w:vertAlign w:val="subscript"/>
        </w:rPr>
        <w:t>1.83</w:t>
      </w:r>
      <w:r>
        <w:t>Ni. For d-PtNi</w:t>
      </w:r>
      <w:r w:rsidR="00863881">
        <w:t>_</w:t>
      </w:r>
      <w:r>
        <w:t>Umicore sample, Pt content is 28.13 wt%, and Ni content is 3.02 wt%, with a Pt/Ni atomic ratio of Pt</w:t>
      </w:r>
      <w:r>
        <w:rPr>
          <w:vertAlign w:val="subscript"/>
        </w:rPr>
        <w:t>2</w:t>
      </w:r>
      <w:r w:rsidRPr="0091393F">
        <w:rPr>
          <w:vertAlign w:val="subscript"/>
        </w:rPr>
        <w:t>.8</w:t>
      </w:r>
      <w:r>
        <w:rPr>
          <w:vertAlign w:val="subscript"/>
        </w:rPr>
        <w:t>0</w:t>
      </w:r>
      <w:r>
        <w:t>Ni. Duo to its higher Ni content in d-PtNi</w:t>
      </w:r>
      <w:r w:rsidR="00863881">
        <w:t>_</w:t>
      </w:r>
      <w:r>
        <w:t xml:space="preserve">JMFC, according to Vegard’s </w:t>
      </w:r>
      <w:r w:rsidR="00967A56">
        <w:t>rule (</w:t>
      </w:r>
      <w:r w:rsidR="00967A56" w:rsidRPr="00DD5704">
        <w:rPr>
          <w:b/>
          <w:bCs/>
        </w:rPr>
        <w:t>Supplementary Fig.</w:t>
      </w:r>
      <w:r w:rsidR="00967A56">
        <w:rPr>
          <w:b/>
          <w:bCs/>
        </w:rPr>
        <w:t xml:space="preserve"> 3</w:t>
      </w:r>
      <w:r w:rsidR="00967A56">
        <w:t>)</w:t>
      </w:r>
      <w:r>
        <w:t>, it is expected that Pt(111) diffraction peak of d-PtNi</w:t>
      </w:r>
      <w:r w:rsidR="00863881">
        <w:t>_</w:t>
      </w:r>
      <w:r>
        <w:t>JMFC would shift to higher 2theta degree. Then</w:t>
      </w:r>
      <w:r w:rsidRPr="0085063B">
        <w:t xml:space="preserve"> this is further confirmed by our XRD results.</w:t>
      </w:r>
      <w:r>
        <w:t xml:space="preserve"> </w:t>
      </w:r>
      <w:r w:rsidR="00A51A66">
        <w:t xml:space="preserve">The vertical dashed line </w:t>
      </w:r>
      <w:r w:rsidR="00046EC5">
        <w:t>is</w:t>
      </w:r>
      <w:r w:rsidR="00A51A66">
        <w:t xml:space="preserve"> present as a guide for eyes.</w:t>
      </w:r>
    </w:p>
    <w:p w14:paraId="533C6BF7" w14:textId="77777777" w:rsidR="002C44EB" w:rsidRDefault="004C1231" w:rsidP="002C44EB">
      <w:pPr>
        <w:keepNext/>
        <w:ind w:firstLine="0"/>
      </w:pPr>
      <w:r>
        <w:rPr>
          <w:noProof/>
        </w:rPr>
        <w:lastRenderedPageBreak/>
        <w:drawing>
          <wp:inline distT="0" distB="0" distL="0" distR="0" wp14:anchorId="5D85D550" wp14:editId="2374ECE4">
            <wp:extent cx="4680000" cy="3744104"/>
            <wp:effectExtent l="0" t="0" r="635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80000" cy="3744104"/>
                    </a:xfrm>
                    <a:prstGeom prst="rect">
                      <a:avLst/>
                    </a:prstGeom>
                    <a:noFill/>
                    <a:ln>
                      <a:noFill/>
                    </a:ln>
                  </pic:spPr>
                </pic:pic>
              </a:graphicData>
            </a:graphic>
          </wp:inline>
        </w:drawing>
      </w:r>
    </w:p>
    <w:p w14:paraId="2392EBD8" w14:textId="551C67EA" w:rsidR="00FD4E2B" w:rsidRPr="00FD4E2B" w:rsidRDefault="002C44EB" w:rsidP="00FD4E2B">
      <w:pPr>
        <w:pStyle w:val="Caption"/>
      </w:pPr>
      <w:r w:rsidRPr="00C10D8F">
        <w:rPr>
          <w:b/>
          <w:bCs/>
        </w:rPr>
        <w:t xml:space="preserve">Supplementary Fig. </w:t>
      </w:r>
      <w:r w:rsidRPr="00C10D8F">
        <w:rPr>
          <w:b/>
          <w:bCs/>
        </w:rPr>
        <w:fldChar w:fldCharType="begin"/>
      </w:r>
      <w:r w:rsidRPr="00C10D8F">
        <w:rPr>
          <w:b/>
          <w:bCs/>
        </w:rPr>
        <w:instrText xml:space="preserve"> SEQ Supplementary_Fig. \* ARABIC </w:instrText>
      </w:r>
      <w:r w:rsidRPr="00C10D8F">
        <w:rPr>
          <w:b/>
          <w:bCs/>
        </w:rPr>
        <w:fldChar w:fldCharType="separate"/>
      </w:r>
      <w:r w:rsidR="00C76C3C">
        <w:rPr>
          <w:b/>
          <w:bCs/>
          <w:noProof/>
        </w:rPr>
        <w:t>24</w:t>
      </w:r>
      <w:r w:rsidRPr="00C10D8F">
        <w:rPr>
          <w:b/>
          <w:bCs/>
        </w:rPr>
        <w:fldChar w:fldCharType="end"/>
      </w:r>
      <w:r w:rsidRPr="00C10D8F">
        <w:rPr>
          <w:b/>
          <w:bCs/>
        </w:rPr>
        <w:t xml:space="preserve"> |</w:t>
      </w:r>
      <w:r w:rsidR="004C1231">
        <w:t xml:space="preserve"> </w:t>
      </w:r>
      <w:r w:rsidR="006C77DD">
        <w:t>(a, c) Pt surface area-normalized</w:t>
      </w:r>
      <w:r w:rsidR="00D25DE7">
        <w:t xml:space="preserve"> and</w:t>
      </w:r>
      <w:r w:rsidR="006C77DD">
        <w:t xml:space="preserve"> background-subtracted CO stripping voltammetry and (b, d) CV curves in 0.1 M KOH solution for a series of catalyst films undergoing pre</w:t>
      </w:r>
      <w:r w:rsidR="00F33A8E">
        <w:t>-</w:t>
      </w:r>
      <w:r w:rsidR="006C77DD">
        <w:t xml:space="preserve">treatment in acidic solution with different potential cycling numbers: (a, b) </w:t>
      </w:r>
      <w:r w:rsidR="00780CC4">
        <w:t>d-PtNi</w:t>
      </w:r>
      <w:r w:rsidR="00F33A8E">
        <w:t>_</w:t>
      </w:r>
      <w:r w:rsidR="00780CC4">
        <w:t xml:space="preserve">JMFC </w:t>
      </w:r>
      <w:r w:rsidR="006C77DD">
        <w:t xml:space="preserve">and (c, d) </w:t>
      </w:r>
      <w:r w:rsidR="00780CC4">
        <w:t xml:space="preserve">d-PtNi_Umicore </w:t>
      </w:r>
      <w:r w:rsidR="006C77DD">
        <w:t>samples, respectively</w:t>
      </w:r>
      <w:r w:rsidR="004C1231">
        <w:t>.</w:t>
      </w:r>
    </w:p>
    <w:p w14:paraId="32156592" w14:textId="77777777" w:rsidR="0084219B" w:rsidRDefault="0084219B" w:rsidP="0084219B">
      <w:pPr>
        <w:keepNext/>
        <w:ind w:firstLine="0"/>
      </w:pPr>
      <w:r>
        <w:rPr>
          <w:noProof/>
        </w:rPr>
        <w:drawing>
          <wp:inline distT="0" distB="0" distL="0" distR="0" wp14:anchorId="1718F02C" wp14:editId="32C28C3F">
            <wp:extent cx="5731510" cy="2470150"/>
            <wp:effectExtent l="0" t="0" r="254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470150"/>
                    </a:xfrm>
                    <a:prstGeom prst="rect">
                      <a:avLst/>
                    </a:prstGeom>
                    <a:noFill/>
                    <a:ln>
                      <a:noFill/>
                    </a:ln>
                  </pic:spPr>
                </pic:pic>
              </a:graphicData>
            </a:graphic>
          </wp:inline>
        </w:drawing>
      </w:r>
    </w:p>
    <w:p w14:paraId="26361A5C" w14:textId="71210AC1" w:rsidR="00AE6AF8" w:rsidRDefault="0084219B" w:rsidP="003E3EDD">
      <w:pPr>
        <w:pStyle w:val="Caption"/>
        <w:rPr>
          <w:lang w:val="en-US"/>
        </w:rPr>
      </w:pPr>
      <w:r w:rsidRPr="00ED69E9">
        <w:rPr>
          <w:b/>
          <w:bCs/>
        </w:rPr>
        <w:t xml:space="preserve">Supplementary Fig. </w:t>
      </w:r>
      <w:r w:rsidRPr="00ED69E9">
        <w:rPr>
          <w:b/>
          <w:bCs/>
        </w:rPr>
        <w:fldChar w:fldCharType="begin"/>
      </w:r>
      <w:r w:rsidRPr="00ED69E9">
        <w:rPr>
          <w:b/>
          <w:bCs/>
        </w:rPr>
        <w:instrText xml:space="preserve"> SEQ Supplementary_Fig. \* ARABIC </w:instrText>
      </w:r>
      <w:r w:rsidRPr="00ED69E9">
        <w:rPr>
          <w:b/>
          <w:bCs/>
        </w:rPr>
        <w:fldChar w:fldCharType="separate"/>
      </w:r>
      <w:r w:rsidR="00C76C3C">
        <w:rPr>
          <w:b/>
          <w:bCs/>
          <w:noProof/>
        </w:rPr>
        <w:t>25</w:t>
      </w:r>
      <w:r w:rsidRPr="00ED69E9">
        <w:rPr>
          <w:b/>
          <w:bCs/>
        </w:rPr>
        <w:fldChar w:fldCharType="end"/>
      </w:r>
      <w:r w:rsidRPr="00ED69E9">
        <w:rPr>
          <w:b/>
          <w:bCs/>
        </w:rPr>
        <w:t xml:space="preserve"> |</w:t>
      </w:r>
      <w:r>
        <w:t xml:space="preserve"> Colour change of the reaction system during </w:t>
      </w:r>
      <w:r w:rsidR="00BB40D5">
        <w:t xml:space="preserve">reaction </w:t>
      </w:r>
      <w:r>
        <w:t xml:space="preserve">time. Room temperature synthesis of </w:t>
      </w:r>
      <w:r w:rsidRPr="00442FF2">
        <w:rPr>
          <w:lang w:val="en-US"/>
        </w:rPr>
        <w:t>α-Ni(Im)</w:t>
      </w:r>
      <w:r w:rsidRPr="00442FF2">
        <w:rPr>
          <w:vertAlign w:val="subscript"/>
          <w:lang w:val="en-US"/>
        </w:rPr>
        <w:t>2</w:t>
      </w:r>
      <w:r w:rsidRPr="00442FF2">
        <w:rPr>
          <w:lang w:val="en-US"/>
        </w:rPr>
        <w:t xml:space="preserve"> precursor</w:t>
      </w:r>
      <w:r>
        <w:rPr>
          <w:lang w:val="en-US"/>
        </w:rPr>
        <w:t>.</w:t>
      </w:r>
    </w:p>
    <w:p w14:paraId="1C6A2FBD" w14:textId="7B0C5567" w:rsidR="00DC0B5E" w:rsidRDefault="00DC0B5E" w:rsidP="00DC0B5E">
      <w:pPr>
        <w:pStyle w:val="Caption"/>
      </w:pPr>
      <w:r w:rsidRPr="001F1F68">
        <w:rPr>
          <w:b/>
          <w:bCs/>
          <w:u w:val="single"/>
        </w:rPr>
        <w:lastRenderedPageBreak/>
        <w:t xml:space="preserve">Supplementary Discussion </w:t>
      </w:r>
      <w:r w:rsidRPr="001F1F68">
        <w:rPr>
          <w:b/>
          <w:bCs/>
          <w:u w:val="single"/>
        </w:rPr>
        <w:fldChar w:fldCharType="begin"/>
      </w:r>
      <w:r w:rsidRPr="001F1F68">
        <w:rPr>
          <w:b/>
          <w:bCs/>
          <w:u w:val="single"/>
        </w:rPr>
        <w:instrText xml:space="preserve"> SEQ Supplementary_Discussion \* ARABIC </w:instrText>
      </w:r>
      <w:r w:rsidRPr="001F1F68">
        <w:rPr>
          <w:b/>
          <w:bCs/>
          <w:u w:val="single"/>
        </w:rPr>
        <w:fldChar w:fldCharType="separate"/>
      </w:r>
      <w:r w:rsidR="00C76C3C">
        <w:rPr>
          <w:b/>
          <w:bCs/>
          <w:noProof/>
          <w:u w:val="single"/>
        </w:rPr>
        <w:t>4</w:t>
      </w:r>
      <w:r w:rsidRPr="001F1F68">
        <w:rPr>
          <w:b/>
          <w:bCs/>
          <w:u w:val="single"/>
        </w:rPr>
        <w:fldChar w:fldCharType="end"/>
      </w:r>
      <w:r w:rsidRPr="00E90A04">
        <w:rPr>
          <w:b/>
          <w:bCs/>
        </w:rPr>
        <w:t xml:space="preserve"> </w:t>
      </w:r>
      <w:r w:rsidRPr="00E90A04">
        <w:rPr>
          <w:rFonts w:hint="eastAsia"/>
          <w:b/>
          <w:bCs/>
        </w:rPr>
        <w:t>|</w:t>
      </w:r>
      <w:r>
        <w:t xml:space="preserve"> Quantitative estimation of the contribution of accessible NiN</w:t>
      </w:r>
      <w:r w:rsidRPr="00584FD6">
        <w:rPr>
          <w:vertAlign w:val="subscript"/>
        </w:rPr>
        <w:t>x</w:t>
      </w:r>
      <w:r>
        <w:t xml:space="preserve"> sites to the overall activity of Pt/NiNC catalyst.</w:t>
      </w:r>
    </w:p>
    <w:p w14:paraId="30B639E1" w14:textId="77777777" w:rsidR="00DC0B5E" w:rsidRPr="005D3010" w:rsidRDefault="00DC0B5E" w:rsidP="00DC0B5E">
      <w:pPr>
        <w:ind w:firstLine="0"/>
      </w:pPr>
      <w:r>
        <w:t>First of all, from a qualitative standpoint, due to the much lower intrinsic ORR activity of NiN</w:t>
      </w:r>
      <w:r w:rsidRPr="00584FD6">
        <w:rPr>
          <w:vertAlign w:val="subscript"/>
        </w:rPr>
        <w:t>x</w:t>
      </w:r>
      <w:r>
        <w:t xml:space="preserve"> sites than</w:t>
      </w:r>
      <w:r w:rsidRPr="008E3E53">
        <w:t xml:space="preserve"> </w:t>
      </w:r>
      <w:r>
        <w:t>Pt, it is expected that these ORR-inactive NiNC sites barely contribute to the overall activity of the Pt/NiNC catalyst. Previous DFT studies suggest that this poor ORR activity results from the weak O* adsorption energy on Ni site.</w:t>
      </w:r>
      <w:r>
        <w:fldChar w:fldCharType="begin">
          <w:fldData xml:space="preserve">PEVuZE5vdGU+PENpdGU+PEF1dGhvcj5DYWxsZS1WYWxsZWpvPC9BdXRob3I+PFllYXI+MjAxMTwv
WWVhcj48UmVjTnVtPjQwODY8L1JlY051bT48RGlzcGxheVRleHQ+PHN0eWxlIGZhY2U9InN1cGVy
c2NyaXB0Ij4xMywxNDwvc3R5bGU+PC9EaXNwbGF5VGV4dD48cmVjb3JkPjxyZWMtbnVtYmVyPjQw
ODY8L3JlYy1udW1iZXI+PGZvcmVpZ24ta2V5cz48a2V5IGFwcD0iRU4iIGRiLWlkPSJyZDlhMnNh
Zjl2eHZzeGVhdHJweGFyczg5MHJzYXBzZXA5cjkiIHRpbWVzdGFtcD0iMTYyNzQ4ODA1MSI+NDA4
Njwva2V5PjwvZm9yZWlnbi1rZXlzPjxyZWYtdHlwZSBuYW1lPSJKb3VybmFsIEFydGljbGUiPjE3
PC9yZWYtdHlwZT48Y29udHJpYnV0b3JzPjxhdXRob3JzPjxhdXRob3I+Q2FsbGUtVmFsbGVqbywg
RmVkZXJpY288L2F1dGhvcj48YXV0aG9yPk1hcnTDrW5leiwgSm9zw6kgSWduYWNpbzwvYXV0aG9y
PjxhdXRob3I+Um9zc21laXNsLCBKYW48L2F1dGhvcj48L2F1dGhvcnM+PC9jb250cmlidXRvcnM+
PHRpdGxlcz48dGl0bGU+RGVuc2l0eSBmdW5jdGlvbmFsIHN0dWRpZXMgb2YgZnVuY3Rpb25hbGl6
ZWQgZ3JhcGhpdGljIG1hdGVyaWFscyB3aXRoIGxhdGUgdHJhbnNpdGlvbiBtZXRhbHMgZm9yIG94
eWdlbiByZWR1Y3Rpb24gcmVhY3Rpb25zPC90aXRsZT48c2Vjb25kYXJ5LXRpdGxlPlBoeXNpY2Fs
IENoZW1pc3RyeSBDaGVtaWNhbCBQaHlzaWNzPC9zZWNvbmRhcnktdGl0bGU+PC90aXRsZXM+PHBl
cmlvZGljYWw+PGZ1bGwtdGl0bGU+UGh5c2ljYWwgQ2hlbWlzdHJ5IENoZW1pY2FsIFBoeXNpY3M8
L2Z1bGwtdGl0bGU+PGFiYnItMT5QaHlzLiBDaGVtLiBDaGVtLiBQaHlzLjwvYWJici0xPjwvcGVy
aW9kaWNhbD48cGFnZXM+MTU2MznigJMxNTY0MzwvcGFnZXM+PHZvbHVtZT4xMzwvdm9sdW1lPjxu
dW1iZXI+MzQ8L251bWJlcj48ZGF0ZXM+PHllYXI+MjAxMTwveWVhcj48L2RhdGVzPjxwdWJsaXNo
ZXI+VGhlIFJveWFsIFNvY2lldHkgb2YgQ2hlbWlzdHJ5PC9wdWJsaXNoZXI+PGlzYm4+MTQ2My05
MDc2PC9pc2JuPjx3b3JrLXR5cGU+MTAuMTAzOS9DMUNQMjEyMjhBPC93b3JrLXR5cGU+PHVybHM+
PHJlbGF0ZWQtdXJscz48dXJsPmh0dHA6Ly9keC5kb2kub3JnLzEwLjEwMzkvQzFDUDIxMjI4QTwv
dXJsPjwvcmVsYXRlZC11cmxzPjwvdXJscz48ZWxlY3Ryb25pYy1yZXNvdXJjZS1udW0+MTAuMTAz
OS9DMUNQMjEyMjhBPC9lbGVjdHJvbmljLXJlc291cmNlLW51bT48L3JlY29yZD48L0NpdGU+PENp
dGU+PEF1dGhvcj5MdW88L0F1dGhvcj48WWVhcj4yMDIwPC9ZZWFyPjxSZWNOdW0+Mzk4MjwvUmVj
TnVtPjxyZWNvcmQ+PHJlYy1udW1iZXI+Mzk4MjwvcmVjLW51bWJlcj48Zm9yZWlnbi1rZXlzPjxr
ZXkgYXBwPSJFTiIgZGItaWQ9InJkOWEyc2FmOXZ4dnN4ZWF0cnB4YXJzODkwcnNhcHNlcDlyOSIg
dGltZXN0YW1wPSIxNTk1NTkyMTI0Ij4zOTgyPC9rZXk+PC9mb3JlaWduLWtleXM+PHJlZi10eXBl
IG5hbWU9IkpvdXJuYWwgQXJ0aWNsZSI+MTc8L3JlZi10eXBlPjxjb250cmlidXRvcnM+PGF1dGhv
cnM+PGF1dGhvcj5MdW8sIEZhbmc8L2F1dGhvcj48YXV0aG9yPlJveSwgQWFyb248L2F1dGhvcj48
YXV0aG9yPlNpbHZpb2xpLCBMdWNhPC9hdXRob3I+PGF1dGhvcj5DdWxsZW4sIERhdmlkIEEuPC9h
dXRob3I+PGF1dGhvcj5aaXRvbG8sIEFuZHJlYTwvYXV0aG9yPjxhdXRob3I+U291Z3JhdGksIE1v
dWxheSBUYWhhcjwvYXV0aG9yPjxhdXRob3I+T2d1eiwgSXNtYWlsIENhbjwvYXV0aG9yPjxhdXRo
b3I+TWluZXZhLCBUem9ua2E8L2F1dGhvcj48YXV0aG9yPlRlc2NobmVyLCBEZXRyZTwvYXV0aG9y
PjxhdXRob3I+V2FnbmVyLCBTdGVwaGFuPC9hdXRob3I+PGF1dGhvcj5XZW4sIEp1PC9hdXRob3I+
PGF1dGhvcj5EaW9uaWdpLCBGYWJpbzwvYXV0aG9yPjxhdXRob3I+S3JhbW0sIFVscmlrZSBJLjwv
YXV0aG9yPjxhdXRob3I+Um9zc21laXNsLCBKYW48L2F1dGhvcj48YXV0aG9yPkphb3VlbiwgRnLD
qWTDqXJpYzwvYXV0aG9yPjxhdXRob3I+U3RyYXNzZXIsIFBldGVyPC9hdXRob3I+PC9hdXRob3Jz
PjwvY29udHJpYnV0b3JzPjx0aXRsZXM+PHRpdGxlPlAtYmxvY2sgc2luZ2xlLW1ldGFsLXNpdGUg
dGluL25pdHJvZ2VuLWRvcGVkIGNhcmJvbiBmdWVsIGNlbGwgY2F0aG9kZSBjYXRhbHlzdCBmb3Ig
b3h5Z2VuIHJlZHVjdGlvbiByZWFjdGlvbjwvdGl0bGU+PHNlY29uZGFyeS10aXRsZT5OYXR1cmUg
TWF0ZXJpYWxzPC9zZWNvbmRhcnktdGl0bGU+PC90aXRsZXM+PHBlcmlvZGljYWw+PGZ1bGwtdGl0
bGU+TmF0dXJlIE1hdGVyaWFsczwvZnVsbC10aXRsZT48YWJici0xPk5hdC4gTWF0ZXIuPC9hYmJy
LTE+PC9wZXJpb2RpY2FsPjxwYWdlcz4xMjE14oCTMTIyMzwvcGFnZXM+PHZvbHVtZT4xOTwvdm9s
dW1lPjxkYXRlcz48eWVhcj4yMDIwPC95ZWFyPjxwdWItZGF0ZXM+PGRhdGU+MjAyMC8wNy8xMzwv
ZGF0ZT48L3B1Yi1kYXRlcz48L2RhdGVzPjxpc2JuPjE0NzYtNDY2MDwvaXNibj48dXJscz48cmVs
YXRlZC11cmxzPjx1cmw+aHR0cHM6Ly9kb2kub3JnLzEwLjEwMzgvczQxNTYzLTAyMC0wNzE3LTU8
L3VybD48L3JlbGF0ZWQtdXJscz48L3VybHM+PGVsZWN0cm9uaWMtcmVzb3VyY2UtbnVtPjEwLjEw
MzgvczQxNTYzLTAyMC0wNzE3LTU8L2VsZWN0cm9uaWMtcmVzb3VyY2UtbnVtPjwvcmVjb3JkPjwv
Q2l0ZT48L0VuZE5vdGU+
</w:fldData>
        </w:fldChar>
      </w:r>
      <w:r>
        <w:instrText xml:space="preserve"> ADDIN EN.CITE </w:instrText>
      </w:r>
      <w:r>
        <w:fldChar w:fldCharType="begin">
          <w:fldData xml:space="preserve">PEVuZE5vdGU+PENpdGU+PEF1dGhvcj5DYWxsZS1WYWxsZWpvPC9BdXRob3I+PFllYXI+MjAxMTwv
WWVhcj48UmVjTnVtPjQwODY8L1JlY051bT48RGlzcGxheVRleHQ+PHN0eWxlIGZhY2U9InN1cGVy
c2NyaXB0Ij4xMywxNDwvc3R5bGU+PC9EaXNwbGF5VGV4dD48cmVjb3JkPjxyZWMtbnVtYmVyPjQw
ODY8L3JlYy1udW1iZXI+PGZvcmVpZ24ta2V5cz48a2V5IGFwcD0iRU4iIGRiLWlkPSJyZDlhMnNh
Zjl2eHZzeGVhdHJweGFyczg5MHJzYXBzZXA5cjkiIHRpbWVzdGFtcD0iMTYyNzQ4ODA1MSI+NDA4
Njwva2V5PjwvZm9yZWlnbi1rZXlzPjxyZWYtdHlwZSBuYW1lPSJKb3VybmFsIEFydGljbGUiPjE3
PC9yZWYtdHlwZT48Y29udHJpYnV0b3JzPjxhdXRob3JzPjxhdXRob3I+Q2FsbGUtVmFsbGVqbywg
RmVkZXJpY288L2F1dGhvcj48YXV0aG9yPk1hcnTDrW5leiwgSm9zw6kgSWduYWNpbzwvYXV0aG9y
PjxhdXRob3I+Um9zc21laXNsLCBKYW48L2F1dGhvcj48L2F1dGhvcnM+PC9jb250cmlidXRvcnM+
PHRpdGxlcz48dGl0bGU+RGVuc2l0eSBmdW5jdGlvbmFsIHN0dWRpZXMgb2YgZnVuY3Rpb25hbGl6
ZWQgZ3JhcGhpdGljIG1hdGVyaWFscyB3aXRoIGxhdGUgdHJhbnNpdGlvbiBtZXRhbHMgZm9yIG94
eWdlbiByZWR1Y3Rpb24gcmVhY3Rpb25zPC90aXRsZT48c2Vjb25kYXJ5LXRpdGxlPlBoeXNpY2Fs
IENoZW1pc3RyeSBDaGVtaWNhbCBQaHlzaWNzPC9zZWNvbmRhcnktdGl0bGU+PC90aXRsZXM+PHBl
cmlvZGljYWw+PGZ1bGwtdGl0bGU+UGh5c2ljYWwgQ2hlbWlzdHJ5IENoZW1pY2FsIFBoeXNpY3M8
L2Z1bGwtdGl0bGU+PGFiYnItMT5QaHlzLiBDaGVtLiBDaGVtLiBQaHlzLjwvYWJici0xPjwvcGVy
aW9kaWNhbD48cGFnZXM+MTU2MznigJMxNTY0MzwvcGFnZXM+PHZvbHVtZT4xMzwvdm9sdW1lPjxu
dW1iZXI+MzQ8L251bWJlcj48ZGF0ZXM+PHllYXI+MjAxMTwveWVhcj48L2RhdGVzPjxwdWJsaXNo
ZXI+VGhlIFJveWFsIFNvY2lldHkgb2YgQ2hlbWlzdHJ5PC9wdWJsaXNoZXI+PGlzYm4+MTQ2My05
MDc2PC9pc2JuPjx3b3JrLXR5cGU+MTAuMTAzOS9DMUNQMjEyMjhBPC93b3JrLXR5cGU+PHVybHM+
PHJlbGF0ZWQtdXJscz48dXJsPmh0dHA6Ly9keC5kb2kub3JnLzEwLjEwMzkvQzFDUDIxMjI4QTwv
dXJsPjwvcmVsYXRlZC11cmxzPjwvdXJscz48ZWxlY3Ryb25pYy1yZXNvdXJjZS1udW0+MTAuMTAz
OS9DMUNQMjEyMjhBPC9lbGVjdHJvbmljLXJlc291cmNlLW51bT48L3JlY29yZD48L0NpdGU+PENp
dGU+PEF1dGhvcj5MdW88L0F1dGhvcj48WWVhcj4yMDIwPC9ZZWFyPjxSZWNOdW0+Mzk4MjwvUmVj
TnVtPjxyZWNvcmQ+PHJlYy1udW1iZXI+Mzk4MjwvcmVjLW51bWJlcj48Zm9yZWlnbi1rZXlzPjxr
ZXkgYXBwPSJFTiIgZGItaWQ9InJkOWEyc2FmOXZ4dnN4ZWF0cnB4YXJzODkwcnNhcHNlcDlyOSIg
dGltZXN0YW1wPSIxNTk1NTkyMTI0Ij4zOTgyPC9rZXk+PC9mb3JlaWduLWtleXM+PHJlZi10eXBl
IG5hbWU9IkpvdXJuYWwgQXJ0aWNsZSI+MTc8L3JlZi10eXBlPjxjb250cmlidXRvcnM+PGF1dGhv
cnM+PGF1dGhvcj5MdW8sIEZhbmc8L2F1dGhvcj48YXV0aG9yPlJveSwgQWFyb248L2F1dGhvcj48
YXV0aG9yPlNpbHZpb2xpLCBMdWNhPC9hdXRob3I+PGF1dGhvcj5DdWxsZW4sIERhdmlkIEEuPC9h
dXRob3I+PGF1dGhvcj5aaXRvbG8sIEFuZHJlYTwvYXV0aG9yPjxhdXRob3I+U291Z3JhdGksIE1v
dWxheSBUYWhhcjwvYXV0aG9yPjxhdXRob3I+T2d1eiwgSXNtYWlsIENhbjwvYXV0aG9yPjxhdXRo
b3I+TWluZXZhLCBUem9ua2E8L2F1dGhvcj48YXV0aG9yPlRlc2NobmVyLCBEZXRyZTwvYXV0aG9y
PjxhdXRob3I+V2FnbmVyLCBTdGVwaGFuPC9hdXRob3I+PGF1dGhvcj5XZW4sIEp1PC9hdXRob3I+
PGF1dGhvcj5EaW9uaWdpLCBGYWJpbzwvYXV0aG9yPjxhdXRob3I+S3JhbW0sIFVscmlrZSBJLjwv
YXV0aG9yPjxhdXRob3I+Um9zc21laXNsLCBKYW48L2F1dGhvcj48YXV0aG9yPkphb3VlbiwgRnLD
qWTDqXJpYzwvYXV0aG9yPjxhdXRob3I+U3RyYXNzZXIsIFBldGVyPC9hdXRob3I+PC9hdXRob3Jz
PjwvY29udHJpYnV0b3JzPjx0aXRsZXM+PHRpdGxlPlAtYmxvY2sgc2luZ2xlLW1ldGFsLXNpdGUg
dGluL25pdHJvZ2VuLWRvcGVkIGNhcmJvbiBmdWVsIGNlbGwgY2F0aG9kZSBjYXRhbHlzdCBmb3Ig
b3h5Z2VuIHJlZHVjdGlvbiByZWFjdGlvbjwvdGl0bGU+PHNlY29uZGFyeS10aXRsZT5OYXR1cmUg
TWF0ZXJpYWxzPC9zZWNvbmRhcnktdGl0bGU+PC90aXRsZXM+PHBlcmlvZGljYWw+PGZ1bGwtdGl0
bGU+TmF0dXJlIE1hdGVyaWFsczwvZnVsbC10aXRsZT48YWJici0xPk5hdC4gTWF0ZXIuPC9hYmJy
LTE+PC9wZXJpb2RpY2FsPjxwYWdlcz4xMjE14oCTMTIyMzwvcGFnZXM+PHZvbHVtZT4xOTwvdm9s
dW1lPjxkYXRlcz48eWVhcj4yMDIwPC95ZWFyPjxwdWItZGF0ZXM+PGRhdGU+MjAyMC8wNy8xMzwv
ZGF0ZT48L3B1Yi1kYXRlcz48L2RhdGVzPjxpc2JuPjE0NzYtNDY2MDwvaXNibj48dXJscz48cmVs
YXRlZC11cmxzPjx1cmw+aHR0cHM6Ly9kb2kub3JnLzEwLjEwMzgvczQxNTYzLTAyMC0wNzE3LTU8
L3VybD48L3JlbGF0ZWQtdXJscz48L3VybHM+PGVsZWN0cm9uaWMtcmVzb3VyY2UtbnVtPjEwLjEw
MzgvczQxNTYzLTAyMC0wNzE3LTU8L2VsZWN0cm9uaWMtcmVzb3VyY2UtbnVtPjwvcmVjb3JkPjwv
Q2l0ZT48L0VuZE5vdGU+
</w:fldData>
        </w:fldChar>
      </w:r>
      <w:r>
        <w:instrText xml:space="preserve"> ADDIN EN.CITE.DATA </w:instrText>
      </w:r>
      <w:r>
        <w:fldChar w:fldCharType="end"/>
      </w:r>
      <w:r>
        <w:fldChar w:fldCharType="separate"/>
      </w:r>
      <w:r w:rsidRPr="002E31E9">
        <w:rPr>
          <w:noProof/>
          <w:vertAlign w:val="superscript"/>
        </w:rPr>
        <w:t>13,14</w:t>
      </w:r>
      <w:r>
        <w:fldChar w:fldCharType="end"/>
      </w:r>
      <w:r>
        <w:t xml:space="preserve"> Then such a hypothesis is corroborated by our quantitative estimation result as shown below.</w:t>
      </w:r>
    </w:p>
    <w:p w14:paraId="59D74CDF" w14:textId="77777777" w:rsidR="00DC0B5E" w:rsidRDefault="00DC0B5E" w:rsidP="00DC0B5E">
      <w:pPr>
        <w:ind w:firstLine="0"/>
      </w:pPr>
      <w:r>
        <w:t>The geometric catalyst loading of Pt/NiNC on the GC electrode is</w:t>
      </w:r>
    </w:p>
    <w:p w14:paraId="33ACE293" w14:textId="77777777" w:rsidR="00DC0B5E" w:rsidRPr="00B07DDB" w:rsidRDefault="00ED2BC7" w:rsidP="00DC0B5E">
      <w:pPr>
        <w:ind w:firstLine="0"/>
      </w:pPr>
      <m:oMathPara>
        <m:oMath>
          <m:sSub>
            <m:sSubPr>
              <m:ctrlPr>
                <w:rPr>
                  <w:rFonts w:ascii="Cambria Math" w:hAnsi="Cambria Math"/>
                  <w:i/>
                </w:rPr>
              </m:ctrlPr>
            </m:sSubPr>
            <m:e>
              <m:r>
                <w:rPr>
                  <w:rFonts w:ascii="Cambria Math" w:hAnsi="Cambria Math"/>
                </w:rPr>
                <m:t>L</m:t>
              </m:r>
            </m:e>
            <m:sub>
              <m:r>
                <w:rPr>
                  <w:rFonts w:ascii="Cambria Math" w:hAnsi="Cambria Math"/>
                </w:rPr>
                <m:t>catal</m:t>
              </m:r>
            </m:sub>
          </m:sSub>
          <m: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5.83 mg</m:t>
                  </m:r>
                </m:num>
                <m:den>
                  <m:r>
                    <w:rPr>
                      <w:rFonts w:ascii="Cambria Math" w:hAnsi="Cambria Math"/>
                    </w:rPr>
                    <m:t>4.99 mL</m:t>
                  </m:r>
                </m:den>
              </m:f>
              <m:r>
                <w:rPr>
                  <w:rFonts w:ascii="Cambria Math" w:hAnsi="Cambria Math"/>
                </w:rPr>
                <m:t xml:space="preserve"> ×10 μL</m:t>
              </m:r>
            </m:num>
            <m:den>
              <m:r>
                <w:rPr>
                  <w:rFonts w:ascii="Cambria Math" w:hAnsi="Cambria Math"/>
                </w:rPr>
                <m:t xml:space="preserve">0.19625 </m:t>
              </m:r>
              <m:sSup>
                <m:sSupPr>
                  <m:ctrlPr>
                    <w:rPr>
                      <w:rFonts w:ascii="Cambria Math" w:hAnsi="Cambria Math"/>
                      <w:i/>
                    </w:rPr>
                  </m:ctrlPr>
                </m:sSupPr>
                <m:e>
                  <m:r>
                    <w:rPr>
                      <w:rFonts w:ascii="Cambria Math" w:hAnsi="Cambria Math"/>
                    </w:rPr>
                    <m:t>cm</m:t>
                  </m:r>
                </m:e>
                <m:sup>
                  <m:r>
                    <w:rPr>
                      <w:rFonts w:ascii="Cambria Math" w:hAnsi="Cambria Math"/>
                    </w:rPr>
                    <m:t>2</m:t>
                  </m:r>
                </m:sup>
              </m:sSup>
            </m:den>
          </m:f>
          <m:r>
            <w:rPr>
              <w:rFonts w:ascii="Cambria Math" w:hAnsi="Cambria Math"/>
            </w:rPr>
            <m:t>=59.5 μg/</m:t>
          </m:r>
          <m:sSup>
            <m:sSupPr>
              <m:ctrlPr>
                <w:rPr>
                  <w:rFonts w:ascii="Cambria Math" w:hAnsi="Cambria Math"/>
                  <w:i/>
                </w:rPr>
              </m:ctrlPr>
            </m:sSupPr>
            <m:e>
              <m:r>
                <w:rPr>
                  <w:rFonts w:ascii="Cambria Math" w:hAnsi="Cambria Math"/>
                </w:rPr>
                <m:t>cm</m:t>
              </m:r>
            </m:e>
            <m:sup>
              <m:r>
                <w:rPr>
                  <w:rFonts w:ascii="Cambria Math" w:hAnsi="Cambria Math"/>
                </w:rPr>
                <m:t>2</m:t>
              </m:r>
            </m:sup>
          </m:sSup>
        </m:oMath>
      </m:oMathPara>
    </w:p>
    <w:p w14:paraId="0A7CF9E5" w14:textId="77777777" w:rsidR="00DC0B5E" w:rsidRDefault="00DC0B5E" w:rsidP="00DC0B5E">
      <w:pPr>
        <w:ind w:firstLine="0"/>
      </w:pPr>
      <w:r>
        <w:t>And the geometric mass loading of accessible NiN</w:t>
      </w:r>
      <w:r w:rsidRPr="00584FD6">
        <w:rPr>
          <w:vertAlign w:val="subscript"/>
        </w:rPr>
        <w:t>x</w:t>
      </w:r>
      <w:r>
        <w:t xml:space="preserve"> sites is</w:t>
      </w:r>
    </w:p>
    <w:p w14:paraId="778B8D85" w14:textId="77777777" w:rsidR="00DC0B5E" w:rsidRPr="00E46DE3" w:rsidRDefault="00ED2BC7" w:rsidP="00DC0B5E">
      <w:pPr>
        <w:ind w:firstLine="0"/>
      </w:pPr>
      <m:oMathPara>
        <m:oMath>
          <m:sSub>
            <m:sSubPr>
              <m:ctrlPr>
                <w:rPr>
                  <w:rFonts w:ascii="Cambria Math" w:hAnsi="Cambria Math"/>
                  <w:i/>
                </w:rPr>
              </m:ctrlPr>
            </m:sSubPr>
            <m:e>
              <m:r>
                <w:rPr>
                  <w:rFonts w:ascii="Cambria Math" w:hAnsi="Cambria Math"/>
                </w:rPr>
                <m:t>L</m:t>
              </m:r>
            </m:e>
            <m:sub>
              <m:r>
                <w:rPr>
                  <w:rFonts w:ascii="Cambria Math" w:hAnsi="Cambria Math"/>
                </w:rPr>
                <m:t>Ni site</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catal</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Ni site</m:t>
              </m:r>
            </m:sub>
          </m:sSub>
          <m:r>
            <w:rPr>
              <w:rFonts w:ascii="Cambria Math" w:hAnsi="Cambria Math"/>
            </w:rPr>
            <m:t xml:space="preserve"> =59.5 ×0.53%=0.32 μg/</m:t>
          </m:r>
          <m:sSup>
            <m:sSupPr>
              <m:ctrlPr>
                <w:rPr>
                  <w:rFonts w:ascii="Cambria Math" w:hAnsi="Cambria Math"/>
                  <w:i/>
                </w:rPr>
              </m:ctrlPr>
            </m:sSupPr>
            <m:e>
              <m:r>
                <w:rPr>
                  <w:rFonts w:ascii="Cambria Math" w:hAnsi="Cambria Math"/>
                </w:rPr>
                <m:t>cm</m:t>
              </m:r>
            </m:e>
            <m:sup>
              <m:r>
                <w:rPr>
                  <w:rFonts w:ascii="Cambria Math" w:hAnsi="Cambria Math"/>
                </w:rPr>
                <m:t>2</m:t>
              </m:r>
            </m:sup>
          </m:sSup>
        </m:oMath>
      </m:oMathPara>
    </w:p>
    <w:p w14:paraId="3FC12486" w14:textId="77777777" w:rsidR="00DC0B5E" w:rsidRDefault="00DC0B5E" w:rsidP="00DC0B5E">
      <w:pPr>
        <w:ind w:firstLine="0"/>
      </w:pPr>
      <w:r>
        <w:t xml:space="preserve">Considering that most of Ni in NiNC support is Ni NPs, which are completely encapsulated by thick carbon layer, we prefer to use the Ni content derived from XPS technique, rather than that derived from ICP technique, as accessible Ni site, </w:t>
      </w:r>
      <w:r>
        <w:rPr>
          <w:rFonts w:cs="Arial"/>
        </w:rPr>
        <w:t>ω</w:t>
      </w:r>
      <w:r>
        <w:rPr>
          <w:rFonts w:cs="Arial"/>
          <w:vertAlign w:val="subscript"/>
        </w:rPr>
        <w:t>Ni site</w:t>
      </w:r>
      <w:r>
        <w:rPr>
          <w:rFonts w:cs="Arial"/>
        </w:rPr>
        <w:t>. We would like to point to the difference in the distinct probing characteristics of both techniques: XPS is surface-sensitive with detection depth at specific photo energy, but ICP is a bulk method probing the total content of Ni species both from surface and buried under the thick carbon layer.</w:t>
      </w:r>
    </w:p>
    <w:p w14:paraId="6FA2F03C" w14:textId="77777777" w:rsidR="00DC0B5E" w:rsidRDefault="00DC0B5E" w:rsidP="00DC0B5E">
      <w:pPr>
        <w:ind w:firstLine="0"/>
      </w:pPr>
      <w:r>
        <w:t>And the geometric molar amount of accessible NiN</w:t>
      </w:r>
      <w:r w:rsidRPr="00FD15AE">
        <w:rPr>
          <w:vertAlign w:val="subscript"/>
        </w:rPr>
        <w:t>x</w:t>
      </w:r>
      <w:r>
        <w:t xml:space="preserve"> site is</w:t>
      </w:r>
    </w:p>
    <w:p w14:paraId="58E7198B" w14:textId="77777777" w:rsidR="00DC0B5E" w:rsidRPr="002C4105" w:rsidRDefault="00ED2BC7" w:rsidP="00DC0B5E">
      <w:pPr>
        <w:ind w:firstLine="0"/>
      </w:pPr>
      <m:oMathPara>
        <m:oMath>
          <m:sSub>
            <m:sSubPr>
              <m:ctrlPr>
                <w:rPr>
                  <w:rFonts w:ascii="Cambria Math" w:hAnsi="Cambria Math"/>
                  <w:i/>
                </w:rPr>
              </m:ctrlPr>
            </m:sSubPr>
            <m:e>
              <m:r>
                <w:rPr>
                  <w:rFonts w:ascii="Cambria Math" w:hAnsi="Cambria Math"/>
                </w:rPr>
                <m:t>n</m:t>
              </m:r>
            </m:e>
            <m:sub>
              <m:r>
                <w:rPr>
                  <w:rFonts w:ascii="Cambria Math" w:hAnsi="Cambria Math"/>
                </w:rPr>
                <m:t>Ni site</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Ni site</m:t>
                  </m:r>
                </m:sub>
              </m:sSub>
            </m:num>
            <m:den>
              <m:sSub>
                <m:sSubPr>
                  <m:ctrlPr>
                    <w:rPr>
                      <w:rFonts w:ascii="Cambria Math" w:hAnsi="Cambria Math"/>
                      <w:i/>
                    </w:rPr>
                  </m:ctrlPr>
                </m:sSubPr>
                <m:e>
                  <m:r>
                    <w:rPr>
                      <w:rFonts w:ascii="Cambria Math" w:hAnsi="Cambria Math" w:hint="eastAsia"/>
                    </w:rPr>
                    <m:t>M</m:t>
                  </m:r>
                </m:e>
                <m:sub>
                  <m:r>
                    <w:rPr>
                      <w:rFonts w:ascii="Cambria Math" w:hAnsi="Cambria Math"/>
                    </w:rPr>
                    <m:t>Ni</m:t>
                  </m:r>
                </m:sub>
              </m:sSub>
            </m:den>
          </m:f>
          <m:r>
            <w:rPr>
              <w:rFonts w:ascii="Cambria Math" w:hAnsi="Cambria Math"/>
            </w:rPr>
            <m:t xml:space="preserve"> = </m:t>
          </m:r>
          <m:f>
            <m:fPr>
              <m:ctrlPr>
                <w:rPr>
                  <w:rFonts w:ascii="Cambria Math" w:hAnsi="Cambria Math"/>
                  <w:i/>
                </w:rPr>
              </m:ctrlPr>
            </m:fPr>
            <m:num>
              <m:r>
                <w:rPr>
                  <w:rFonts w:ascii="Cambria Math" w:hAnsi="Cambria Math"/>
                </w:rPr>
                <m:t>0.32 μg/</m:t>
              </m:r>
              <m:sSup>
                <m:sSupPr>
                  <m:ctrlPr>
                    <w:rPr>
                      <w:rFonts w:ascii="Cambria Math" w:hAnsi="Cambria Math"/>
                      <w:i/>
                    </w:rPr>
                  </m:ctrlPr>
                </m:sSupPr>
                <m:e>
                  <m:r>
                    <w:rPr>
                      <w:rFonts w:ascii="Cambria Math" w:hAnsi="Cambria Math"/>
                    </w:rPr>
                    <m:t>cm</m:t>
                  </m:r>
                </m:e>
                <m:sup>
                  <m:r>
                    <w:rPr>
                      <w:rFonts w:ascii="Cambria Math" w:hAnsi="Cambria Math"/>
                    </w:rPr>
                    <m:t>2</m:t>
                  </m:r>
                </m:sup>
              </m:sSup>
            </m:num>
            <m:den>
              <m:r>
                <w:rPr>
                  <w:rFonts w:ascii="Cambria Math" w:hAnsi="Cambria Math"/>
                </w:rPr>
                <m:t xml:space="preserve">58.69 </m:t>
              </m:r>
              <m:f>
                <m:fPr>
                  <m:type m:val="lin"/>
                  <m:ctrlPr>
                    <w:rPr>
                      <w:rFonts w:ascii="Cambria Math" w:hAnsi="Cambria Math"/>
                      <w:i/>
                    </w:rPr>
                  </m:ctrlPr>
                </m:fPr>
                <m:num>
                  <m:r>
                    <w:rPr>
                      <w:rFonts w:ascii="Cambria Math" w:hAnsi="Cambria Math"/>
                    </w:rPr>
                    <m:t>μg</m:t>
                  </m:r>
                </m:num>
                <m:den>
                  <m:r>
                    <w:rPr>
                      <w:rFonts w:ascii="Cambria Math" w:hAnsi="Cambria Math"/>
                    </w:rPr>
                    <m:t>μmol</m:t>
                  </m:r>
                </m:den>
              </m:f>
            </m:den>
          </m:f>
          <m:r>
            <w:rPr>
              <w:rFonts w:ascii="Cambria Math" w:hAnsi="Cambria Math"/>
            </w:rPr>
            <m:t>=5.5×</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t>
          </m:r>
          <m:f>
            <m:fPr>
              <m:type m:val="lin"/>
              <m:ctrlPr>
                <w:rPr>
                  <w:rFonts w:ascii="Cambria Math" w:hAnsi="Cambria Math"/>
                  <w:i/>
                </w:rPr>
              </m:ctrlPr>
            </m:fPr>
            <m:num>
              <m:r>
                <w:rPr>
                  <w:rFonts w:ascii="Cambria Math" w:hAnsi="Cambria Math"/>
                </w:rPr>
                <m:t>μmol</m:t>
              </m:r>
            </m:num>
            <m:den>
              <m:sSup>
                <m:sSupPr>
                  <m:ctrlPr>
                    <w:rPr>
                      <w:rFonts w:ascii="Cambria Math" w:hAnsi="Cambria Math"/>
                      <w:i/>
                    </w:rPr>
                  </m:ctrlPr>
                </m:sSupPr>
                <m:e>
                  <m:r>
                    <w:rPr>
                      <w:rFonts w:ascii="Cambria Math" w:hAnsi="Cambria Math"/>
                    </w:rPr>
                    <m:t>cm</m:t>
                  </m:r>
                </m:e>
                <m:sup>
                  <m:r>
                    <w:rPr>
                      <w:rFonts w:ascii="Cambria Math" w:hAnsi="Cambria Math"/>
                    </w:rPr>
                    <m:t>2</m:t>
                  </m:r>
                </m:sup>
              </m:sSup>
            </m:den>
          </m:f>
          <m:r>
            <w:rPr>
              <w:rFonts w:ascii="Cambria Math" w:hAnsi="Cambria Math"/>
            </w:rPr>
            <m:t>= 5.5×</m:t>
          </m:r>
          <m:sSup>
            <m:sSupPr>
              <m:ctrlPr>
                <w:rPr>
                  <w:rFonts w:ascii="Cambria Math" w:hAnsi="Cambria Math"/>
                  <w:i/>
                </w:rPr>
              </m:ctrlPr>
            </m:sSupPr>
            <m:e>
              <m:r>
                <w:rPr>
                  <w:rFonts w:ascii="Cambria Math" w:hAnsi="Cambria Math"/>
                </w:rPr>
                <m:t>10</m:t>
              </m:r>
            </m:e>
            <m:sup>
              <m:r>
                <w:rPr>
                  <w:rFonts w:ascii="Cambria Math" w:hAnsi="Cambria Math"/>
                </w:rPr>
                <m:t>-9</m:t>
              </m:r>
            </m:sup>
          </m:sSup>
          <m:r>
            <w:rPr>
              <w:rFonts w:ascii="Cambria Math" w:hAnsi="Cambria Math"/>
            </w:rPr>
            <m:t xml:space="preserve"> </m:t>
          </m:r>
          <m:f>
            <m:fPr>
              <m:type m:val="lin"/>
              <m:ctrlPr>
                <w:rPr>
                  <w:rFonts w:ascii="Cambria Math" w:hAnsi="Cambria Math"/>
                  <w:i/>
                </w:rPr>
              </m:ctrlPr>
            </m:fPr>
            <m:num>
              <m:r>
                <w:rPr>
                  <w:rFonts w:ascii="Cambria Math" w:hAnsi="Cambria Math"/>
                </w:rPr>
                <m:t>mol</m:t>
              </m:r>
            </m:num>
            <m:den>
              <m:sSup>
                <m:sSupPr>
                  <m:ctrlPr>
                    <w:rPr>
                      <w:rFonts w:ascii="Cambria Math" w:hAnsi="Cambria Math"/>
                      <w:i/>
                    </w:rPr>
                  </m:ctrlPr>
                </m:sSupPr>
                <m:e>
                  <m:r>
                    <w:rPr>
                      <w:rFonts w:ascii="Cambria Math" w:hAnsi="Cambria Math"/>
                    </w:rPr>
                    <m:t>cm</m:t>
                  </m:r>
                </m:e>
                <m:sup>
                  <m:r>
                    <w:rPr>
                      <w:rFonts w:ascii="Cambria Math" w:hAnsi="Cambria Math"/>
                    </w:rPr>
                    <m:t>2</m:t>
                  </m:r>
                </m:sup>
              </m:sSup>
            </m:den>
          </m:f>
        </m:oMath>
      </m:oMathPara>
    </w:p>
    <w:p w14:paraId="34CBCB21" w14:textId="77777777" w:rsidR="00DC0B5E" w:rsidRPr="002C4105" w:rsidRDefault="00DC0B5E" w:rsidP="00DC0B5E">
      <w:pPr>
        <w:ind w:firstLine="0"/>
      </w:pPr>
      <w:r>
        <w:t>Where M</w:t>
      </w:r>
      <w:r>
        <w:rPr>
          <w:vertAlign w:val="subscript"/>
        </w:rPr>
        <w:t>Ni</w:t>
      </w:r>
      <w:r>
        <w:t xml:space="preserve"> is the molar mass of nickel.</w:t>
      </w:r>
    </w:p>
    <w:p w14:paraId="093C7E78" w14:textId="77777777" w:rsidR="00DC0B5E" w:rsidRDefault="00DC0B5E" w:rsidP="00DC0B5E">
      <w:pPr>
        <w:ind w:firstLine="0"/>
      </w:pPr>
      <w:r>
        <w:t>Thus, the geometric kinetic current density from accessible NiN</w:t>
      </w:r>
      <w:r w:rsidRPr="00FD15AE">
        <w:rPr>
          <w:vertAlign w:val="subscript"/>
        </w:rPr>
        <w:t>x</w:t>
      </w:r>
      <w:r>
        <w:t xml:space="preserve"> sites is</w:t>
      </w:r>
    </w:p>
    <w:p w14:paraId="70CC6E06" w14:textId="77777777" w:rsidR="00DC0B5E" w:rsidRDefault="00ED2BC7" w:rsidP="00DC0B5E">
      <w:pPr>
        <w:ind w:firstLine="0"/>
      </w:pPr>
      <m:oMathPara>
        <m:oMathParaPr>
          <m:jc m:val="center"/>
        </m:oMathParaPr>
        <m:oMath>
          <m:sSub>
            <m:sSubPr>
              <m:ctrlPr>
                <w:rPr>
                  <w:rFonts w:ascii="Cambria Math" w:hAnsi="Cambria Math"/>
                  <w:i/>
                </w:rPr>
              </m:ctrlPr>
            </m:sSubPr>
            <m:e>
              <m:r>
                <w:rPr>
                  <w:rFonts w:ascii="Cambria Math" w:hAnsi="Cambria Math"/>
                </w:rPr>
                <m:t>j</m:t>
              </m:r>
            </m:e>
            <m:sub>
              <m:r>
                <w:rPr>
                  <w:rFonts w:ascii="Cambria Math" w:hAnsi="Cambria Math"/>
                </w:rPr>
                <m:t>Ni site</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Ni site</m:t>
              </m:r>
            </m:sub>
          </m:sSub>
          <m:r>
            <w:rPr>
              <w:rFonts w:ascii="Cambria Math" w:hAnsi="Cambria Math"/>
            </w:rPr>
            <m:t xml:space="preserve"> × </m:t>
          </m:r>
          <m:sSub>
            <m:sSubPr>
              <m:ctrlPr>
                <w:rPr>
                  <w:rFonts w:ascii="Cambria Math" w:hAnsi="Cambria Math"/>
                  <w:i/>
                </w:rPr>
              </m:ctrlPr>
            </m:sSubPr>
            <m:e>
              <m:r>
                <w:rPr>
                  <w:rFonts w:ascii="Cambria Math" w:hAnsi="Cambria Math"/>
                </w:rPr>
                <m:t>N</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TOF</m:t>
              </m:r>
            </m:e>
            <m:sub>
              <m:r>
                <w:rPr>
                  <w:rFonts w:ascii="Cambria Math" w:hAnsi="Cambria Math"/>
                </w:rPr>
                <m:t>Ni site</m:t>
              </m:r>
            </m:sub>
          </m:sSub>
          <m:d>
            <m:dPr>
              <m:begChr m:val="["/>
              <m:endChr m:val="]"/>
              <m:ctrlPr>
                <w:rPr>
                  <w:rFonts w:ascii="Cambria Math" w:hAnsi="Cambria Math"/>
                  <w:i/>
                </w:rPr>
              </m:ctrlPr>
            </m:dPr>
            <m:e>
              <m:r>
                <w:rPr>
                  <w:rFonts w:ascii="Cambria Math" w:hAnsi="Cambria Math"/>
                </w:rPr>
                <m:t xml:space="preserve">e </m:t>
              </m:r>
              <m:sSup>
                <m:sSupPr>
                  <m:ctrlPr>
                    <w:rPr>
                      <w:rFonts w:ascii="Cambria Math" w:hAnsi="Cambria Math"/>
                      <w:i/>
                    </w:rPr>
                  </m:ctrlPr>
                </m:sSupPr>
                <m:e>
                  <m:r>
                    <w:rPr>
                      <w:rFonts w:ascii="Cambria Math" w:hAnsi="Cambria Math"/>
                    </w:rPr>
                    <m:t>site</m:t>
                  </m:r>
                </m:e>
                <m:sup>
                  <m:r>
                    <w:rPr>
                      <w:rFonts w:ascii="Cambria Math" w:hAnsi="Cambria Math"/>
                    </w:rPr>
                    <m:t>-1</m:t>
                  </m:r>
                </m:sup>
              </m:sSup>
              <m:r>
                <w:rPr>
                  <w:rFonts w:ascii="Cambria Math" w:hAnsi="Cambria Math"/>
                </w:rPr>
                <m:t xml:space="preserve"> </m:t>
              </m:r>
              <m:sSup>
                <m:sSupPr>
                  <m:ctrlPr>
                    <w:rPr>
                      <w:rFonts w:ascii="Cambria Math" w:hAnsi="Cambria Math"/>
                      <w:i/>
                    </w:rPr>
                  </m:ctrlPr>
                </m:sSupPr>
                <m:e>
                  <m:r>
                    <w:rPr>
                      <w:rFonts w:ascii="Cambria Math" w:hAnsi="Cambria Math"/>
                    </w:rPr>
                    <m:t>s</m:t>
                  </m:r>
                </m:e>
                <m:sup>
                  <m:r>
                    <w:rPr>
                      <w:rFonts w:ascii="Cambria Math" w:hAnsi="Cambria Math"/>
                    </w:rPr>
                    <m:t>-1</m:t>
                  </m:r>
                </m:sup>
              </m:sSup>
            </m:e>
          </m:d>
          <m:r>
            <w:rPr>
              <w:rFonts w:ascii="Cambria Math" w:hAnsi="Cambria Math"/>
            </w:rPr>
            <m:t>×e= 5.5×</m:t>
          </m:r>
          <m:sSup>
            <m:sSupPr>
              <m:ctrlPr>
                <w:rPr>
                  <w:rFonts w:ascii="Cambria Math" w:hAnsi="Cambria Math"/>
                  <w:i/>
                </w:rPr>
              </m:ctrlPr>
            </m:sSupPr>
            <m:e>
              <m:r>
                <w:rPr>
                  <w:rFonts w:ascii="Cambria Math" w:hAnsi="Cambria Math"/>
                </w:rPr>
                <m:t>10</m:t>
              </m:r>
            </m:e>
            <m:sup>
              <m:r>
                <w:rPr>
                  <w:rFonts w:ascii="Cambria Math" w:hAnsi="Cambria Math"/>
                </w:rPr>
                <m:t>-9</m:t>
              </m:r>
            </m:sup>
          </m:sSup>
          <m:r>
            <w:rPr>
              <w:rFonts w:ascii="Cambria Math" w:hAnsi="Cambria Math"/>
            </w:rPr>
            <m:t xml:space="preserve"> ×6.02 × </m:t>
          </m:r>
          <m:sSup>
            <m:sSupPr>
              <m:ctrlPr>
                <w:rPr>
                  <w:rFonts w:ascii="Cambria Math" w:hAnsi="Cambria Math"/>
                  <w:i/>
                </w:rPr>
              </m:ctrlPr>
            </m:sSupPr>
            <m:e>
              <m:r>
                <w:rPr>
                  <w:rFonts w:ascii="Cambria Math" w:hAnsi="Cambria Math"/>
                </w:rPr>
                <m:t>10</m:t>
              </m:r>
            </m:e>
            <m:sup>
              <m:r>
                <w:rPr>
                  <w:rFonts w:ascii="Cambria Math" w:hAnsi="Cambria Math"/>
                </w:rPr>
                <m:t>23</m:t>
              </m:r>
            </m:sup>
          </m:sSup>
          <m:r>
            <w:rPr>
              <w:rFonts w:ascii="Cambria Math" w:hAnsi="Cambria Math"/>
            </w:rPr>
            <m:t xml:space="preserve"> ×1.6 × </m:t>
          </m:r>
          <m:sSup>
            <m:sSupPr>
              <m:ctrlPr>
                <w:rPr>
                  <w:rFonts w:ascii="Cambria Math" w:hAnsi="Cambria Math"/>
                  <w:i/>
                </w:rPr>
              </m:ctrlPr>
            </m:sSupPr>
            <m:e>
              <m:r>
                <w:rPr>
                  <w:rFonts w:ascii="Cambria Math" w:hAnsi="Cambria Math"/>
                </w:rPr>
                <m:t>10</m:t>
              </m:r>
            </m:e>
            <m:sup>
              <m:r>
                <w:rPr>
                  <w:rFonts w:ascii="Cambria Math" w:hAnsi="Cambria Math"/>
                </w:rPr>
                <m:t>-19</m:t>
              </m:r>
            </m:sup>
          </m:sSup>
          <m:r>
            <w:rPr>
              <w:rFonts w:ascii="Cambria Math" w:hAnsi="Cambria Math"/>
            </w:rPr>
            <m:t xml:space="preserve"> ×TOF </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A</m:t>
                  </m:r>
                </m:num>
                <m:den>
                  <m:sSup>
                    <m:sSupPr>
                      <m:ctrlPr>
                        <w:rPr>
                          <w:rFonts w:ascii="Cambria Math" w:hAnsi="Cambria Math"/>
                          <w:i/>
                        </w:rPr>
                      </m:ctrlPr>
                    </m:sSupPr>
                    <m:e>
                      <m:r>
                        <w:rPr>
                          <w:rFonts w:ascii="Cambria Math" w:hAnsi="Cambria Math"/>
                        </w:rPr>
                        <m:t>cm</m:t>
                      </m:r>
                    </m:e>
                    <m:sup>
                      <m:r>
                        <w:rPr>
                          <w:rFonts w:ascii="Cambria Math" w:hAnsi="Cambria Math"/>
                        </w:rPr>
                        <m:t>2</m:t>
                      </m:r>
                    </m:sup>
                  </m:sSup>
                </m:den>
              </m:f>
            </m:e>
          </m:d>
          <m:r>
            <w:rPr>
              <w:rFonts w:ascii="Cambria Math" w:hAnsi="Cambria Math"/>
            </w:rPr>
            <m:t xml:space="preserve">=53 × </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×TOF </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A</m:t>
                  </m:r>
                </m:num>
                <m:den>
                  <m:sSup>
                    <m:sSupPr>
                      <m:ctrlPr>
                        <w:rPr>
                          <w:rFonts w:ascii="Cambria Math" w:hAnsi="Cambria Math"/>
                          <w:i/>
                        </w:rPr>
                      </m:ctrlPr>
                    </m:sSupPr>
                    <m:e>
                      <m:r>
                        <w:rPr>
                          <w:rFonts w:ascii="Cambria Math" w:hAnsi="Cambria Math"/>
                        </w:rPr>
                        <m:t>cm</m:t>
                      </m:r>
                    </m:e>
                    <m:sup>
                      <m:r>
                        <w:rPr>
                          <w:rFonts w:ascii="Cambria Math" w:hAnsi="Cambria Math"/>
                        </w:rPr>
                        <m:t>2</m:t>
                      </m:r>
                    </m:sup>
                  </m:sSup>
                </m:den>
              </m:f>
            </m:e>
          </m:d>
          <m:r>
            <w:rPr>
              <w:rFonts w:ascii="Cambria Math" w:hAnsi="Cambria Math"/>
            </w:rPr>
            <m:t xml:space="preserve">=0.53 ×TOF </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mA</m:t>
                  </m:r>
                </m:num>
                <m:den>
                  <m:sSup>
                    <m:sSupPr>
                      <m:ctrlPr>
                        <w:rPr>
                          <w:rFonts w:ascii="Cambria Math" w:hAnsi="Cambria Math"/>
                          <w:i/>
                        </w:rPr>
                      </m:ctrlPr>
                    </m:sSupPr>
                    <m:e>
                      <m:r>
                        <w:rPr>
                          <w:rFonts w:ascii="Cambria Math" w:hAnsi="Cambria Math"/>
                        </w:rPr>
                        <m:t>cm</m:t>
                      </m:r>
                    </m:e>
                    <m:sup>
                      <m:r>
                        <w:rPr>
                          <w:rFonts w:ascii="Cambria Math" w:hAnsi="Cambria Math"/>
                        </w:rPr>
                        <m:t>2</m:t>
                      </m:r>
                    </m:sup>
                  </m:sSup>
                </m:den>
              </m:f>
            </m:e>
          </m:d>
          <m:r>
            <m:rPr>
              <m:sty m:val="p"/>
            </m:rPr>
            <w:br/>
          </m:r>
        </m:oMath>
      </m:oMathPara>
      <w:r w:rsidR="00DC0B5E">
        <w:t>Where TOF is the turnover frequency, N</w:t>
      </w:r>
      <w:r w:rsidR="00DC0B5E" w:rsidRPr="0026233E">
        <w:rPr>
          <w:vertAlign w:val="subscript"/>
        </w:rPr>
        <w:t>A</w:t>
      </w:r>
      <w:r w:rsidR="00DC0B5E">
        <w:t xml:space="preserve"> is the </w:t>
      </w:r>
      <w:r w:rsidR="00DC0B5E" w:rsidRPr="0026233E">
        <w:t>Avogadro</w:t>
      </w:r>
      <w:r w:rsidR="00DC0B5E">
        <w:t>’s constant, e is the electric charge of one electron.</w:t>
      </w:r>
    </w:p>
    <w:p w14:paraId="6DA5D15D" w14:textId="77777777" w:rsidR="00DC0B5E" w:rsidRDefault="00DC0B5E" w:rsidP="00DC0B5E">
      <w:pPr>
        <w:ind w:firstLine="0"/>
      </w:pPr>
      <w:r>
        <w:t>The overall kinetic current density, j</w:t>
      </w:r>
      <w:r w:rsidRPr="00621933">
        <w:rPr>
          <w:vertAlign w:val="subscript"/>
        </w:rPr>
        <w:t>K</w:t>
      </w:r>
      <w:r>
        <w:t>, was calculated according to Koutecky-Levich equation:</w:t>
      </w:r>
    </w:p>
    <w:p w14:paraId="0D5DE04A" w14:textId="77777777" w:rsidR="00DC0B5E" w:rsidRPr="00A1024B" w:rsidRDefault="00ED2BC7" w:rsidP="00DC0B5E">
      <w:pPr>
        <w:ind w:firstLine="0"/>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j</m:t>
                  </m:r>
                </m:e>
                <m:sub>
                  <m:r>
                    <w:rPr>
                      <w:rFonts w:ascii="Cambria Math" w:hAnsi="Cambria Math"/>
                    </w:rPr>
                    <m:t>K</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j</m:t>
                  </m:r>
                </m:e>
                <m:sub>
                  <m:r>
                    <w:rPr>
                      <w:rFonts w:ascii="Cambria Math" w:hAnsi="Cambria Math"/>
                    </w:rPr>
                    <m:t>0.8</m:t>
                  </m:r>
                </m:sub>
              </m:sSub>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j</m:t>
                  </m:r>
                </m:e>
                <m:sub>
                  <m:r>
                    <w:rPr>
                      <w:rFonts w:ascii="Cambria Math" w:hAnsi="Cambria Math"/>
                    </w:rPr>
                    <m:t>D</m:t>
                  </m:r>
                </m:sub>
              </m:sSub>
            </m:den>
          </m:f>
          <m:r>
            <w:rPr>
              <w:rFonts w:ascii="Cambria Math" w:hAnsi="Cambria Math"/>
            </w:rPr>
            <m:t xml:space="preserve">= </m:t>
          </m:r>
          <m:f>
            <m:fPr>
              <m:ctrlPr>
                <w:rPr>
                  <w:rFonts w:ascii="Cambria Math" w:hAnsi="Cambria Math"/>
                  <w:i/>
                </w:rPr>
              </m:ctrlPr>
            </m:fPr>
            <m:num>
              <m:r>
                <w:rPr>
                  <w:rFonts w:ascii="Cambria Math" w:hAnsi="Cambria Math"/>
                </w:rPr>
                <m:t>1.74 ×4.82</m:t>
              </m:r>
            </m:num>
            <m:den>
              <m:r>
                <w:rPr>
                  <w:rFonts w:ascii="Cambria Math" w:hAnsi="Cambria Math"/>
                </w:rPr>
                <m:t>4.82 -1.74</m:t>
              </m:r>
            </m:den>
          </m:f>
          <m:r>
            <w:rPr>
              <w:rFonts w:ascii="Cambria Math" w:hAnsi="Cambria Math"/>
            </w:rPr>
            <m:t>=2.74 mA/</m:t>
          </m:r>
          <m:sSup>
            <m:sSupPr>
              <m:ctrlPr>
                <w:rPr>
                  <w:rFonts w:ascii="Cambria Math" w:hAnsi="Cambria Math"/>
                  <w:i/>
                </w:rPr>
              </m:ctrlPr>
            </m:sSupPr>
            <m:e>
              <m:r>
                <w:rPr>
                  <w:rFonts w:ascii="Cambria Math" w:hAnsi="Cambria Math"/>
                </w:rPr>
                <m:t>cm</m:t>
              </m:r>
            </m:e>
            <m:sup>
              <m:r>
                <w:rPr>
                  <w:rFonts w:ascii="Cambria Math" w:hAnsi="Cambria Math"/>
                </w:rPr>
                <m:t>2</m:t>
              </m:r>
            </m:sup>
          </m:sSup>
        </m:oMath>
      </m:oMathPara>
    </w:p>
    <w:p w14:paraId="657221F7" w14:textId="77777777" w:rsidR="00DC0B5E" w:rsidRDefault="00DC0B5E" w:rsidP="00DC0B5E">
      <w:pPr>
        <w:ind w:firstLine="0"/>
      </w:pPr>
      <w:r>
        <w:t>Where j</w:t>
      </w:r>
      <w:r>
        <w:rPr>
          <w:vertAlign w:val="subscript"/>
        </w:rPr>
        <w:t>0.8</w:t>
      </w:r>
      <w:r>
        <w:t xml:space="preserve"> is the current density at 0.8 V</w:t>
      </w:r>
      <w:r w:rsidRPr="001F1F68">
        <w:rPr>
          <w:vertAlign w:val="subscript"/>
        </w:rPr>
        <w:t>RHE</w:t>
      </w:r>
      <w:r>
        <w:t>, and j</w:t>
      </w:r>
      <w:r>
        <w:rPr>
          <w:vertAlign w:val="subscript"/>
        </w:rPr>
        <w:t>D</w:t>
      </w:r>
      <w:r>
        <w:t xml:space="preserve"> is the diffusion current density.</w:t>
      </w:r>
    </w:p>
    <w:p w14:paraId="668DEB94" w14:textId="77777777" w:rsidR="00DC0B5E" w:rsidRDefault="00DC0B5E" w:rsidP="00DC0B5E">
      <w:pPr>
        <w:ind w:firstLine="0"/>
      </w:pPr>
      <w:r>
        <w:t>Finally, the percentage contribution of accessible NiN</w:t>
      </w:r>
      <w:r w:rsidRPr="00FD15AE">
        <w:rPr>
          <w:vertAlign w:val="subscript"/>
        </w:rPr>
        <w:t>x</w:t>
      </w:r>
      <w:r>
        <w:t xml:space="preserve"> sites to the overall activity can be calculated as:</w:t>
      </w:r>
    </w:p>
    <w:p w14:paraId="6D93675A" w14:textId="77777777" w:rsidR="00DC0B5E" w:rsidRDefault="00DC0B5E" w:rsidP="00DC0B5E">
      <w:pPr>
        <w:ind w:firstLine="0"/>
      </w:pPr>
      <m:oMathPara>
        <m:oMath>
          <m:r>
            <w:rPr>
              <w:rFonts w:ascii="Cambria Math" w:hAnsi="Cambria Math"/>
            </w:rPr>
            <m:t xml:space="preserve"> </m:t>
          </m:r>
          <m:r>
            <w:rPr>
              <w:rFonts w:ascii="Cambria Math" w:hAnsi="Cambria Math" w:hint="eastAsia"/>
            </w:rPr>
            <m:t>=</m:t>
          </m:r>
          <m:r>
            <w:rPr>
              <w:rFonts w:ascii="Cambria Math" w:hAnsi="Cambria Math"/>
            </w:rPr>
            <m:t xml:space="preserve"> 100% × </m:t>
          </m:r>
          <m:f>
            <m:fPr>
              <m:ctrlPr>
                <w:rPr>
                  <w:rFonts w:ascii="Cambria Math" w:hAnsi="Cambria Math"/>
                  <w:i/>
                </w:rPr>
              </m:ctrlPr>
            </m:fPr>
            <m:num>
              <m:sSub>
                <m:sSubPr>
                  <m:ctrlPr>
                    <w:rPr>
                      <w:rFonts w:ascii="Cambria Math" w:hAnsi="Cambria Math"/>
                      <w:i/>
                    </w:rPr>
                  </m:ctrlPr>
                </m:sSubPr>
                <m:e>
                  <m:r>
                    <w:rPr>
                      <w:rFonts w:ascii="Cambria Math" w:hAnsi="Cambria Math"/>
                    </w:rPr>
                    <m:t>j</m:t>
                  </m:r>
                </m:e>
                <m:sub>
                  <m:r>
                    <w:rPr>
                      <w:rFonts w:ascii="Cambria Math" w:hAnsi="Cambria Math"/>
                    </w:rPr>
                    <m:t>Ni site</m:t>
                  </m:r>
                </m:sub>
              </m:sSub>
            </m:num>
            <m:den>
              <m:sSub>
                <m:sSubPr>
                  <m:ctrlPr>
                    <w:rPr>
                      <w:rFonts w:ascii="Cambria Math" w:hAnsi="Cambria Math"/>
                      <w:i/>
                    </w:rPr>
                  </m:ctrlPr>
                </m:sSubPr>
                <m:e>
                  <m:r>
                    <w:rPr>
                      <w:rFonts w:ascii="Cambria Math" w:hAnsi="Cambria Math" w:hint="eastAsia"/>
                    </w:rPr>
                    <m:t>j</m:t>
                  </m:r>
                </m:e>
                <m:sub>
                  <m:r>
                    <w:rPr>
                      <w:rFonts w:ascii="Cambria Math" w:hAnsi="Cambria Math"/>
                    </w:rPr>
                    <m:t>K</m:t>
                  </m:r>
                </m:sub>
              </m:sSub>
            </m:den>
          </m:f>
          <m:r>
            <w:rPr>
              <w:rFonts w:ascii="Cambria Math" w:hAnsi="Cambria Math"/>
            </w:rPr>
            <m:t xml:space="preserve">=100% × </m:t>
          </m:r>
          <m:f>
            <m:fPr>
              <m:ctrlPr>
                <w:rPr>
                  <w:rFonts w:ascii="Cambria Math" w:hAnsi="Cambria Math"/>
                  <w:i/>
                </w:rPr>
              </m:ctrlPr>
            </m:fPr>
            <m:num>
              <m:r>
                <w:rPr>
                  <w:rFonts w:ascii="Cambria Math" w:hAnsi="Cambria Math"/>
                </w:rPr>
                <m:t>0.53 ×TOF</m:t>
              </m:r>
            </m:num>
            <m:den>
              <m:r>
                <w:rPr>
                  <w:rFonts w:ascii="Cambria Math" w:hAnsi="Cambria Math"/>
                </w:rPr>
                <m:t>2.74</m:t>
              </m:r>
            </m:den>
          </m:f>
          <m:r>
            <w:rPr>
              <w:rFonts w:ascii="Cambria Math" w:hAnsi="Cambria Math"/>
            </w:rPr>
            <m:t>=19.3 ×TOF (%)</m:t>
          </m:r>
        </m:oMath>
      </m:oMathPara>
    </w:p>
    <w:p w14:paraId="4AF0D8B0" w14:textId="77777777" w:rsidR="00DC0B5E" w:rsidRDefault="00DC0B5E" w:rsidP="00DC0B5E">
      <w:pPr>
        <w:ind w:firstLine="0"/>
      </w:pPr>
      <w:r>
        <w:t>The above calculations indicate that the ORR activity contribution from NiN</w:t>
      </w:r>
      <w:r w:rsidRPr="00FD15AE">
        <w:rPr>
          <w:vertAlign w:val="subscript"/>
        </w:rPr>
        <w:t>x</w:t>
      </w:r>
      <w:r>
        <w:t xml:space="preserve"> sites has a linear relationship with the intrinsic TOF value of NiN</w:t>
      </w:r>
      <w:r w:rsidRPr="00FD15AE">
        <w:rPr>
          <w:vertAlign w:val="subscript"/>
        </w:rPr>
        <w:t>x</w:t>
      </w:r>
      <w:r>
        <w:t xml:space="preserve"> site. Due to the fact that the NiNC catalyst does not demonstrate any CO chemisorption, quantification of the mass-based site density derived from CO pulse chemisorption is not possible to perform. Consequently, one could not obtain the TOF value of NiN</w:t>
      </w:r>
      <w:r w:rsidRPr="00FD15AE">
        <w:rPr>
          <w:vertAlign w:val="subscript"/>
        </w:rPr>
        <w:t>x</w:t>
      </w:r>
      <w:r>
        <w:t xml:space="preserve"> sites using CO sorption method. Although at present there is no TOF value of NiN</w:t>
      </w:r>
      <w:r w:rsidRPr="00FD15AE">
        <w:rPr>
          <w:vertAlign w:val="subscript"/>
        </w:rPr>
        <w:t>x</w:t>
      </w:r>
      <w:r>
        <w:t xml:space="preserve"> sites from literatures, for comparison, next we use the TOF values of its iron, cobalt and copper counterparts </w:t>
      </w:r>
      <w:r>
        <w:rPr>
          <w:rFonts w:hint="eastAsia"/>
        </w:rPr>
        <w:t>fro</w:t>
      </w:r>
      <w:r>
        <w:t>m literature to estimate their respective percentage contribution to the overall ORR activity.</w:t>
      </w:r>
      <w:r>
        <w:fldChar w:fldCharType="begin"/>
      </w:r>
      <w:r>
        <w:instrText xml:space="preserve"> ADDIN EN.CITE &lt;EndNote&gt;&lt;Cite&gt;&lt;Author&gt;Luo&lt;/Author&gt;&lt;Year&gt;2020&lt;/Year&gt;&lt;RecNum&gt;3982&lt;/RecNum&gt;&lt;DisplayText&gt;&lt;style face="superscript"&gt;14&lt;/style&gt;&lt;/DisplayText&gt;&lt;record&gt;&lt;rec-number&gt;3982&lt;/rec-number&gt;&lt;foreign-keys&gt;&lt;key app="EN" db-id="rd9a2saf9vxvsxeatrpxars890rsapsep9r9" timestamp="1595592124"&gt;3982&lt;/key&gt;&lt;/foreign-keys&gt;&lt;ref-type name="Journal Article"&gt;17&lt;/ref-type&gt;&lt;contributors&gt;&lt;authors&gt;&lt;author&gt;Luo, Fang&lt;/author&gt;&lt;author&gt;Roy, Aaron&lt;/author&gt;&lt;author&gt;Silvioli, Luca&lt;/author&gt;&lt;author&gt;Cullen, David A.&lt;/author&gt;&lt;author&gt;Zitolo, Andrea&lt;/author&gt;&lt;author&gt;Sougrati, Moulay Tahar&lt;/author&gt;&lt;author&gt;Oguz, Ismail Can&lt;/author&gt;&lt;author&gt;Mineva, Tzonka&lt;/author&gt;&lt;author&gt;Teschner, Detre&lt;/author&gt;&lt;author&gt;Wagner, Stephan&lt;/author&gt;&lt;author&gt;Wen, Ju&lt;/author&gt;&lt;author&gt;Dionigi, Fabio&lt;/author&gt;&lt;author&gt;Kramm, Ulrike I.&lt;/author&gt;&lt;author&gt;Rossmeisl, Jan&lt;/author&gt;&lt;author&gt;Jaouen, Frédéric&lt;/author&gt;&lt;author&gt;Strasser, Peter&lt;/author&gt;&lt;/authors&gt;&lt;/contributors&gt;&lt;titles&gt;&lt;title&gt;P-block single-metal-site tin/nitrogen-doped carbon fuel cell cathode catalyst for oxygen reduction reaction&lt;/title&gt;&lt;secondary-title&gt;Nature Materials&lt;/secondary-title&gt;&lt;/titles&gt;&lt;periodical&gt;&lt;full-title&gt;Nature Materials&lt;/full-title&gt;&lt;abbr-1&gt;Nat. Mater.&lt;/abbr-1&gt;&lt;/periodical&gt;&lt;pages&gt;1215–1223&lt;/pages&gt;&lt;volume&gt;19&lt;/volume&gt;&lt;dates&gt;&lt;year&gt;2020&lt;/year&gt;&lt;pub-dates&gt;&lt;date&gt;2020/07/13&lt;/date&gt;&lt;/pub-dates&gt;&lt;/dates&gt;&lt;isbn&gt;1476-4660&lt;/isbn&gt;&lt;urls&gt;&lt;related-urls&gt;&lt;url&gt;https://doi.org/10.1038/s41563-020-0717-5&lt;/url&gt;&lt;/related-urls&gt;&lt;/urls&gt;&lt;electronic-resource-num&gt;10.1038/s41563-020-0717-5&lt;/electronic-resource-num&gt;&lt;/record&gt;&lt;/Cite&gt;&lt;/EndNote&gt;</w:instrText>
      </w:r>
      <w:r>
        <w:fldChar w:fldCharType="separate"/>
      </w:r>
      <w:r w:rsidRPr="002E31E9">
        <w:rPr>
          <w:noProof/>
          <w:vertAlign w:val="superscript"/>
        </w:rPr>
        <w:t>14</w:t>
      </w:r>
      <w:r>
        <w:fldChar w:fldCharType="end"/>
      </w:r>
      <w:r>
        <w:t xml:space="preserve"> This could provide us with some indications about the actual contribution of NiN</w:t>
      </w:r>
      <w:r w:rsidRPr="00FD15AE">
        <w:rPr>
          <w:vertAlign w:val="subscript"/>
        </w:rPr>
        <w:t>x</w:t>
      </w:r>
      <w:r>
        <w:t xml:space="preserve"> sites. Assuming that these accessible NiN</w:t>
      </w:r>
      <w:r w:rsidRPr="00FD15AE">
        <w:rPr>
          <w:vertAlign w:val="subscript"/>
        </w:rPr>
        <w:t>x</w:t>
      </w:r>
      <w:r>
        <w:t xml:space="preserve"> sites are substituted by same amount of their Fe counterparts, despite its highest intrinsic TOF value, it only contributes to around 3% of the overall activity. Considering the much lower intrinsic activity of NiN</w:t>
      </w:r>
      <w:r w:rsidRPr="00FD15AE">
        <w:rPr>
          <w:vertAlign w:val="subscript"/>
        </w:rPr>
        <w:t>x</w:t>
      </w:r>
      <w:r>
        <w:t xml:space="preserve"> site than FeN</w:t>
      </w:r>
      <w:r w:rsidRPr="00B115D8">
        <w:rPr>
          <w:vertAlign w:val="subscript"/>
        </w:rPr>
        <w:t>x</w:t>
      </w:r>
      <w:r>
        <w:t xml:space="preserve"> site,</w:t>
      </w:r>
      <w:r>
        <w:fldChar w:fldCharType="begin">
          <w:fldData xml:space="preserve">PEVuZE5vdGU+PENpdGU+PEF1dGhvcj5DYWxsZS1WYWxsZWpvPC9BdXRob3I+PFllYXI+MjAxMTwv
WWVhcj48UmVjTnVtPjQwODY8L1JlY051bT48RGlzcGxheVRleHQ+PHN0eWxlIGZhY2U9InN1cGVy
c2NyaXB0Ij4xMywxNDwvc3R5bGU+PC9EaXNwbGF5VGV4dD48cmVjb3JkPjxyZWMtbnVtYmVyPjQw
ODY8L3JlYy1udW1iZXI+PGZvcmVpZ24ta2V5cz48a2V5IGFwcD0iRU4iIGRiLWlkPSJyZDlhMnNh
Zjl2eHZzeGVhdHJweGFyczg5MHJzYXBzZXA5cjkiIHRpbWVzdGFtcD0iMTYyNzQ4ODA1MSI+NDA4
Njwva2V5PjwvZm9yZWlnbi1rZXlzPjxyZWYtdHlwZSBuYW1lPSJKb3VybmFsIEFydGljbGUiPjE3
PC9yZWYtdHlwZT48Y29udHJpYnV0b3JzPjxhdXRob3JzPjxhdXRob3I+Q2FsbGUtVmFsbGVqbywg
RmVkZXJpY288L2F1dGhvcj48YXV0aG9yPk1hcnTDrW5leiwgSm9zw6kgSWduYWNpbzwvYXV0aG9y
PjxhdXRob3I+Um9zc21laXNsLCBKYW48L2F1dGhvcj48L2F1dGhvcnM+PC9jb250cmlidXRvcnM+
PHRpdGxlcz48dGl0bGU+RGVuc2l0eSBmdW5jdGlvbmFsIHN0dWRpZXMgb2YgZnVuY3Rpb25hbGl6
ZWQgZ3JhcGhpdGljIG1hdGVyaWFscyB3aXRoIGxhdGUgdHJhbnNpdGlvbiBtZXRhbHMgZm9yIG94
eWdlbiByZWR1Y3Rpb24gcmVhY3Rpb25zPC90aXRsZT48c2Vjb25kYXJ5LXRpdGxlPlBoeXNpY2Fs
IENoZW1pc3RyeSBDaGVtaWNhbCBQaHlzaWNzPC9zZWNvbmRhcnktdGl0bGU+PC90aXRsZXM+PHBl
cmlvZGljYWw+PGZ1bGwtdGl0bGU+UGh5c2ljYWwgQ2hlbWlzdHJ5IENoZW1pY2FsIFBoeXNpY3M8
L2Z1bGwtdGl0bGU+PGFiYnItMT5QaHlzLiBDaGVtLiBDaGVtLiBQaHlzLjwvYWJici0xPjwvcGVy
aW9kaWNhbD48cGFnZXM+MTU2MznigJMxNTY0MzwvcGFnZXM+PHZvbHVtZT4xMzwvdm9sdW1lPjxu
dW1iZXI+MzQ8L251bWJlcj48ZGF0ZXM+PHllYXI+MjAxMTwveWVhcj48L2RhdGVzPjxwdWJsaXNo
ZXI+VGhlIFJveWFsIFNvY2lldHkgb2YgQ2hlbWlzdHJ5PC9wdWJsaXNoZXI+PGlzYm4+MTQ2My05
MDc2PC9pc2JuPjx3b3JrLXR5cGU+MTAuMTAzOS9DMUNQMjEyMjhBPC93b3JrLXR5cGU+PHVybHM+
PHJlbGF0ZWQtdXJscz48dXJsPmh0dHA6Ly9keC5kb2kub3JnLzEwLjEwMzkvQzFDUDIxMjI4QTwv
dXJsPjwvcmVsYXRlZC11cmxzPjwvdXJscz48ZWxlY3Ryb25pYy1yZXNvdXJjZS1udW0+MTAuMTAz
OS9DMUNQMjEyMjhBPC9lbGVjdHJvbmljLXJlc291cmNlLW51bT48L3JlY29yZD48L0NpdGU+PENp
dGU+PEF1dGhvcj5MdW88L0F1dGhvcj48WWVhcj4yMDIwPC9ZZWFyPjxSZWNOdW0+Mzk4MjwvUmVj
TnVtPjxyZWNvcmQ+PHJlYy1udW1iZXI+Mzk4MjwvcmVjLW51bWJlcj48Zm9yZWlnbi1rZXlzPjxr
ZXkgYXBwPSJFTiIgZGItaWQ9InJkOWEyc2FmOXZ4dnN4ZWF0cnB4YXJzODkwcnNhcHNlcDlyOSIg
dGltZXN0YW1wPSIxNTk1NTkyMTI0Ij4zOTgyPC9rZXk+PC9mb3JlaWduLWtleXM+PHJlZi10eXBl
IG5hbWU9IkpvdXJuYWwgQXJ0aWNsZSI+MTc8L3JlZi10eXBlPjxjb250cmlidXRvcnM+PGF1dGhv
cnM+PGF1dGhvcj5MdW8sIEZhbmc8L2F1dGhvcj48YXV0aG9yPlJveSwgQWFyb248L2F1dGhvcj48
YXV0aG9yPlNpbHZpb2xpLCBMdWNhPC9hdXRob3I+PGF1dGhvcj5DdWxsZW4sIERhdmlkIEEuPC9h
dXRob3I+PGF1dGhvcj5aaXRvbG8sIEFuZHJlYTwvYXV0aG9yPjxhdXRob3I+U291Z3JhdGksIE1v
dWxheSBUYWhhcjwvYXV0aG9yPjxhdXRob3I+T2d1eiwgSXNtYWlsIENhbjwvYXV0aG9yPjxhdXRo
b3I+TWluZXZhLCBUem9ua2E8L2F1dGhvcj48YXV0aG9yPlRlc2NobmVyLCBEZXRyZTwvYXV0aG9y
PjxhdXRob3I+V2FnbmVyLCBTdGVwaGFuPC9hdXRob3I+PGF1dGhvcj5XZW4sIEp1PC9hdXRob3I+
PGF1dGhvcj5EaW9uaWdpLCBGYWJpbzwvYXV0aG9yPjxhdXRob3I+S3JhbW0sIFVscmlrZSBJLjwv
YXV0aG9yPjxhdXRob3I+Um9zc21laXNsLCBKYW48L2F1dGhvcj48YXV0aG9yPkphb3VlbiwgRnLD
qWTDqXJpYzwvYXV0aG9yPjxhdXRob3I+U3RyYXNzZXIsIFBldGVyPC9hdXRob3I+PC9hdXRob3Jz
PjwvY29udHJpYnV0b3JzPjx0aXRsZXM+PHRpdGxlPlAtYmxvY2sgc2luZ2xlLW1ldGFsLXNpdGUg
dGluL25pdHJvZ2VuLWRvcGVkIGNhcmJvbiBmdWVsIGNlbGwgY2F0aG9kZSBjYXRhbHlzdCBmb3Ig
b3h5Z2VuIHJlZHVjdGlvbiByZWFjdGlvbjwvdGl0bGU+PHNlY29uZGFyeS10aXRsZT5OYXR1cmUg
TWF0ZXJpYWxzPC9zZWNvbmRhcnktdGl0bGU+PC90aXRsZXM+PHBlcmlvZGljYWw+PGZ1bGwtdGl0
bGU+TmF0dXJlIE1hdGVyaWFsczwvZnVsbC10aXRsZT48YWJici0xPk5hdC4gTWF0ZXIuPC9hYmJy
LTE+PC9wZXJpb2RpY2FsPjxwYWdlcz4xMjE14oCTMTIyMzwvcGFnZXM+PHZvbHVtZT4xOTwvdm9s
dW1lPjxkYXRlcz48eWVhcj4yMDIwPC95ZWFyPjxwdWItZGF0ZXM+PGRhdGU+MjAyMC8wNy8xMzwv
ZGF0ZT48L3B1Yi1kYXRlcz48L2RhdGVzPjxpc2JuPjE0NzYtNDY2MDwvaXNibj48dXJscz48cmVs
YXRlZC11cmxzPjx1cmw+aHR0cHM6Ly9kb2kub3JnLzEwLjEwMzgvczQxNTYzLTAyMC0wNzE3LTU8
L3VybD48L3JlbGF0ZWQtdXJscz48L3VybHM+PGVsZWN0cm9uaWMtcmVzb3VyY2UtbnVtPjEwLjEw
MzgvczQxNTYzLTAyMC0wNzE3LTU8L2VsZWN0cm9uaWMtcmVzb3VyY2UtbnVtPjwvcmVjb3JkPjwv
Q2l0ZT48L0VuZE5vdGU+
</w:fldData>
        </w:fldChar>
      </w:r>
      <w:r>
        <w:instrText xml:space="preserve"> ADDIN EN.CITE </w:instrText>
      </w:r>
      <w:r>
        <w:fldChar w:fldCharType="begin">
          <w:fldData xml:space="preserve">PEVuZE5vdGU+PENpdGU+PEF1dGhvcj5DYWxsZS1WYWxsZWpvPC9BdXRob3I+PFllYXI+MjAxMTwv
WWVhcj48UmVjTnVtPjQwODY8L1JlY051bT48RGlzcGxheVRleHQ+PHN0eWxlIGZhY2U9InN1cGVy
c2NyaXB0Ij4xMywxNDwvc3R5bGU+PC9EaXNwbGF5VGV4dD48cmVjb3JkPjxyZWMtbnVtYmVyPjQw
ODY8L3JlYy1udW1iZXI+PGZvcmVpZ24ta2V5cz48a2V5IGFwcD0iRU4iIGRiLWlkPSJyZDlhMnNh
Zjl2eHZzeGVhdHJweGFyczg5MHJzYXBzZXA5cjkiIHRpbWVzdGFtcD0iMTYyNzQ4ODA1MSI+NDA4
Njwva2V5PjwvZm9yZWlnbi1rZXlzPjxyZWYtdHlwZSBuYW1lPSJKb3VybmFsIEFydGljbGUiPjE3
PC9yZWYtdHlwZT48Y29udHJpYnV0b3JzPjxhdXRob3JzPjxhdXRob3I+Q2FsbGUtVmFsbGVqbywg
RmVkZXJpY288L2F1dGhvcj48YXV0aG9yPk1hcnTDrW5leiwgSm9zw6kgSWduYWNpbzwvYXV0aG9y
PjxhdXRob3I+Um9zc21laXNsLCBKYW48L2F1dGhvcj48L2F1dGhvcnM+PC9jb250cmlidXRvcnM+
PHRpdGxlcz48dGl0bGU+RGVuc2l0eSBmdW5jdGlvbmFsIHN0dWRpZXMgb2YgZnVuY3Rpb25hbGl6
ZWQgZ3JhcGhpdGljIG1hdGVyaWFscyB3aXRoIGxhdGUgdHJhbnNpdGlvbiBtZXRhbHMgZm9yIG94
eWdlbiByZWR1Y3Rpb24gcmVhY3Rpb25zPC90aXRsZT48c2Vjb25kYXJ5LXRpdGxlPlBoeXNpY2Fs
IENoZW1pc3RyeSBDaGVtaWNhbCBQaHlzaWNzPC9zZWNvbmRhcnktdGl0bGU+PC90aXRsZXM+PHBl
cmlvZGljYWw+PGZ1bGwtdGl0bGU+UGh5c2ljYWwgQ2hlbWlzdHJ5IENoZW1pY2FsIFBoeXNpY3M8
L2Z1bGwtdGl0bGU+PGFiYnItMT5QaHlzLiBDaGVtLiBDaGVtLiBQaHlzLjwvYWJici0xPjwvcGVy
aW9kaWNhbD48cGFnZXM+MTU2MznigJMxNTY0MzwvcGFnZXM+PHZvbHVtZT4xMzwvdm9sdW1lPjxu
dW1iZXI+MzQ8L251bWJlcj48ZGF0ZXM+PHllYXI+MjAxMTwveWVhcj48L2RhdGVzPjxwdWJsaXNo
ZXI+VGhlIFJveWFsIFNvY2lldHkgb2YgQ2hlbWlzdHJ5PC9wdWJsaXNoZXI+PGlzYm4+MTQ2My05
MDc2PC9pc2JuPjx3b3JrLXR5cGU+MTAuMTAzOS9DMUNQMjEyMjhBPC93b3JrLXR5cGU+PHVybHM+
PHJlbGF0ZWQtdXJscz48dXJsPmh0dHA6Ly9keC5kb2kub3JnLzEwLjEwMzkvQzFDUDIxMjI4QTwv
dXJsPjwvcmVsYXRlZC11cmxzPjwvdXJscz48ZWxlY3Ryb25pYy1yZXNvdXJjZS1udW0+MTAuMTAz
OS9DMUNQMjEyMjhBPC9lbGVjdHJvbmljLXJlc291cmNlLW51bT48L3JlY29yZD48L0NpdGU+PENp
dGU+PEF1dGhvcj5MdW88L0F1dGhvcj48WWVhcj4yMDIwPC9ZZWFyPjxSZWNOdW0+Mzk4MjwvUmVj
TnVtPjxyZWNvcmQ+PHJlYy1udW1iZXI+Mzk4MjwvcmVjLW51bWJlcj48Zm9yZWlnbi1rZXlzPjxr
ZXkgYXBwPSJFTiIgZGItaWQ9InJkOWEyc2FmOXZ4dnN4ZWF0cnB4YXJzODkwcnNhcHNlcDlyOSIg
dGltZXN0YW1wPSIxNTk1NTkyMTI0Ij4zOTgyPC9rZXk+PC9mb3JlaWduLWtleXM+PHJlZi10eXBl
IG5hbWU9IkpvdXJuYWwgQXJ0aWNsZSI+MTc8L3JlZi10eXBlPjxjb250cmlidXRvcnM+PGF1dGhv
cnM+PGF1dGhvcj5MdW8sIEZhbmc8L2F1dGhvcj48YXV0aG9yPlJveSwgQWFyb248L2F1dGhvcj48
YXV0aG9yPlNpbHZpb2xpLCBMdWNhPC9hdXRob3I+PGF1dGhvcj5DdWxsZW4sIERhdmlkIEEuPC9h
dXRob3I+PGF1dGhvcj5aaXRvbG8sIEFuZHJlYTwvYXV0aG9yPjxhdXRob3I+U291Z3JhdGksIE1v
dWxheSBUYWhhcjwvYXV0aG9yPjxhdXRob3I+T2d1eiwgSXNtYWlsIENhbjwvYXV0aG9yPjxhdXRo
b3I+TWluZXZhLCBUem9ua2E8L2F1dGhvcj48YXV0aG9yPlRlc2NobmVyLCBEZXRyZTwvYXV0aG9y
PjxhdXRob3I+V2FnbmVyLCBTdGVwaGFuPC9hdXRob3I+PGF1dGhvcj5XZW4sIEp1PC9hdXRob3I+
PGF1dGhvcj5EaW9uaWdpLCBGYWJpbzwvYXV0aG9yPjxhdXRob3I+S3JhbW0sIFVscmlrZSBJLjwv
YXV0aG9yPjxhdXRob3I+Um9zc21laXNsLCBKYW48L2F1dGhvcj48YXV0aG9yPkphb3VlbiwgRnLD
qWTDqXJpYzwvYXV0aG9yPjxhdXRob3I+U3RyYXNzZXIsIFBldGVyPC9hdXRob3I+PC9hdXRob3Jz
PjwvY29udHJpYnV0b3JzPjx0aXRsZXM+PHRpdGxlPlAtYmxvY2sgc2luZ2xlLW1ldGFsLXNpdGUg
dGluL25pdHJvZ2VuLWRvcGVkIGNhcmJvbiBmdWVsIGNlbGwgY2F0aG9kZSBjYXRhbHlzdCBmb3Ig
b3h5Z2VuIHJlZHVjdGlvbiByZWFjdGlvbjwvdGl0bGU+PHNlY29uZGFyeS10aXRsZT5OYXR1cmUg
TWF0ZXJpYWxzPC9zZWNvbmRhcnktdGl0bGU+PC90aXRsZXM+PHBlcmlvZGljYWw+PGZ1bGwtdGl0
bGU+TmF0dXJlIE1hdGVyaWFsczwvZnVsbC10aXRsZT48YWJici0xPk5hdC4gTWF0ZXIuPC9hYmJy
LTE+PC9wZXJpb2RpY2FsPjxwYWdlcz4xMjE14oCTMTIyMzwvcGFnZXM+PHZvbHVtZT4xOTwvdm9s
dW1lPjxkYXRlcz48eWVhcj4yMDIwPC95ZWFyPjxwdWItZGF0ZXM+PGRhdGU+MjAyMC8wNy8xMzwv
ZGF0ZT48L3B1Yi1kYXRlcz48L2RhdGVzPjxpc2JuPjE0NzYtNDY2MDwvaXNibj48dXJscz48cmVs
YXRlZC11cmxzPjx1cmw+aHR0cHM6Ly9kb2kub3JnLzEwLjEwMzgvczQxNTYzLTAyMC0wNzE3LTU8
L3VybD48L3JlbGF0ZWQtdXJscz48L3VybHM+PGVsZWN0cm9uaWMtcmVzb3VyY2UtbnVtPjEwLjEw
MzgvczQxNTYzLTAyMC0wNzE3LTU8L2VsZWN0cm9uaWMtcmVzb3VyY2UtbnVtPjwvcmVjb3JkPjwv
Q2l0ZT48L0VuZE5vdGU+
</w:fldData>
        </w:fldChar>
      </w:r>
      <w:r>
        <w:instrText xml:space="preserve"> ADDIN EN.CITE.DATA </w:instrText>
      </w:r>
      <w:r>
        <w:fldChar w:fldCharType="end"/>
      </w:r>
      <w:r>
        <w:fldChar w:fldCharType="separate"/>
      </w:r>
      <w:r w:rsidRPr="002E31E9">
        <w:rPr>
          <w:noProof/>
          <w:vertAlign w:val="superscript"/>
        </w:rPr>
        <w:t>13,14</w:t>
      </w:r>
      <w:r>
        <w:fldChar w:fldCharType="end"/>
      </w:r>
      <w:r>
        <w:t xml:space="preserve"> we conclude that NiN</w:t>
      </w:r>
      <w:r w:rsidRPr="00FD15AE">
        <w:rPr>
          <w:vertAlign w:val="subscript"/>
        </w:rPr>
        <w:t>x</w:t>
      </w:r>
      <w:r>
        <w:t xml:space="preserve"> sites barely contribute to the overall activity. </w:t>
      </w:r>
    </w:p>
    <w:p w14:paraId="14B5AE7C" w14:textId="6C6C5321" w:rsidR="00DC0B5E" w:rsidRPr="008C7CFB" w:rsidRDefault="00DC0B5E" w:rsidP="00DC0B5E">
      <w:pPr>
        <w:pStyle w:val="Caption"/>
        <w:keepNext/>
      </w:pPr>
      <w:r w:rsidRPr="00310CBC">
        <w:rPr>
          <w:b/>
          <w:bCs/>
        </w:rPr>
        <w:lastRenderedPageBreak/>
        <w:t xml:space="preserve">Supplementary Table </w:t>
      </w:r>
      <w:r w:rsidRPr="00310CBC">
        <w:rPr>
          <w:b/>
          <w:bCs/>
        </w:rPr>
        <w:fldChar w:fldCharType="begin"/>
      </w:r>
      <w:r w:rsidRPr="00310CBC">
        <w:rPr>
          <w:b/>
          <w:bCs/>
        </w:rPr>
        <w:instrText xml:space="preserve"> SEQ Supplementary_Table \* ARABIC </w:instrText>
      </w:r>
      <w:r w:rsidRPr="00310CBC">
        <w:rPr>
          <w:b/>
          <w:bCs/>
        </w:rPr>
        <w:fldChar w:fldCharType="separate"/>
      </w:r>
      <w:r w:rsidR="00C76C3C">
        <w:rPr>
          <w:b/>
          <w:bCs/>
          <w:noProof/>
        </w:rPr>
        <w:t>6</w:t>
      </w:r>
      <w:r w:rsidRPr="00310CBC">
        <w:rPr>
          <w:b/>
          <w:bCs/>
        </w:rPr>
        <w:fldChar w:fldCharType="end"/>
      </w:r>
      <w:r w:rsidRPr="00310CBC">
        <w:rPr>
          <w:b/>
          <w:bCs/>
        </w:rPr>
        <w:t xml:space="preserve"> |</w:t>
      </w:r>
      <w:r>
        <w:t xml:space="preserve"> Assumed TOF values at 0.8 V</w:t>
      </w:r>
      <w:r w:rsidRPr="001F1F68">
        <w:rPr>
          <w:vertAlign w:val="subscript"/>
        </w:rPr>
        <w:t>RHE</w:t>
      </w:r>
      <w:r>
        <w:t xml:space="preserve"> in 0.1 M HClO</w:t>
      </w:r>
      <w:r w:rsidRPr="00180171">
        <w:rPr>
          <w:vertAlign w:val="subscript"/>
        </w:rPr>
        <w:t>4</w:t>
      </w:r>
      <w:r>
        <w:t xml:space="preserve"> electrolyte and ensuing j</w:t>
      </w:r>
      <w:r w:rsidRPr="008C7CFB">
        <w:rPr>
          <w:vertAlign w:val="subscript"/>
        </w:rPr>
        <w:t>Ni</w:t>
      </w:r>
      <w:r>
        <w:rPr>
          <w:vertAlign w:val="subscript"/>
        </w:rPr>
        <w:t xml:space="preserve"> site</w:t>
      </w:r>
      <w:r>
        <w:t xml:space="preserve"> and its contribution to the overall activity.</w:t>
      </w:r>
    </w:p>
    <w:tbl>
      <w:tblPr>
        <w:tblStyle w:val="TableGrid"/>
        <w:tblW w:w="0" w:type="auto"/>
        <w:tblLayout w:type="fixed"/>
        <w:tblLook w:val="04A0" w:firstRow="1" w:lastRow="0" w:firstColumn="1" w:lastColumn="0" w:noHBand="0" w:noVBand="1"/>
      </w:tblPr>
      <w:tblGrid>
        <w:gridCol w:w="2268"/>
        <w:gridCol w:w="1843"/>
        <w:gridCol w:w="4253"/>
      </w:tblGrid>
      <w:tr w:rsidR="00DC0B5E" w14:paraId="43EC7EED" w14:textId="77777777" w:rsidTr="000F562F">
        <w:tc>
          <w:tcPr>
            <w:tcW w:w="2268" w:type="dxa"/>
            <w:tcBorders>
              <w:top w:val="single" w:sz="24" w:space="0" w:color="auto"/>
              <w:left w:val="nil"/>
              <w:bottom w:val="single" w:sz="24" w:space="0" w:color="auto"/>
              <w:right w:val="nil"/>
            </w:tcBorders>
            <w:vAlign w:val="center"/>
          </w:tcPr>
          <w:p w14:paraId="18F376A8" w14:textId="77777777" w:rsidR="00DC0B5E" w:rsidRDefault="00DC0B5E" w:rsidP="000F562F">
            <w:pPr>
              <w:pStyle w:val="Tablebody"/>
              <w:jc w:val="center"/>
            </w:pPr>
            <w:r>
              <w:t>TOF (e site</w:t>
            </w:r>
            <w:r w:rsidRPr="00752C02">
              <w:rPr>
                <w:rFonts w:cs="Arial"/>
                <w:vertAlign w:val="superscript"/>
              </w:rPr>
              <w:t>−</w:t>
            </w:r>
            <w:r w:rsidRPr="00752C02">
              <w:rPr>
                <w:vertAlign w:val="superscript"/>
              </w:rPr>
              <w:t>1</w:t>
            </w:r>
            <w:r>
              <w:t xml:space="preserve"> s</w:t>
            </w:r>
            <w:r w:rsidRPr="00752C02">
              <w:rPr>
                <w:rFonts w:cs="Arial"/>
                <w:vertAlign w:val="superscript"/>
              </w:rPr>
              <w:t>−</w:t>
            </w:r>
            <w:r w:rsidRPr="00752C02">
              <w:rPr>
                <w:vertAlign w:val="superscript"/>
              </w:rPr>
              <w:t>1</w:t>
            </w:r>
            <w:r>
              <w:t xml:space="preserve">) </w:t>
            </w:r>
            <w:r w:rsidRPr="00732C14">
              <w:rPr>
                <w:vertAlign w:val="superscript"/>
              </w:rPr>
              <w:t>a</w:t>
            </w:r>
          </w:p>
        </w:tc>
        <w:tc>
          <w:tcPr>
            <w:tcW w:w="1843" w:type="dxa"/>
            <w:tcBorders>
              <w:top w:val="single" w:sz="24" w:space="0" w:color="auto"/>
              <w:left w:val="nil"/>
              <w:bottom w:val="single" w:sz="24" w:space="0" w:color="auto"/>
              <w:right w:val="nil"/>
            </w:tcBorders>
            <w:shd w:val="clear" w:color="auto" w:fill="auto"/>
            <w:vAlign w:val="center"/>
          </w:tcPr>
          <w:p w14:paraId="4F1BD9EE" w14:textId="77777777" w:rsidR="00DC0B5E" w:rsidRPr="00CC68D6" w:rsidRDefault="00DC0B5E" w:rsidP="000F562F">
            <w:pPr>
              <w:pStyle w:val="Tablebody"/>
              <w:jc w:val="center"/>
            </w:pPr>
            <w:r>
              <w:t>j</w:t>
            </w:r>
            <w:r w:rsidRPr="00775B98">
              <w:rPr>
                <w:vertAlign w:val="subscript"/>
              </w:rPr>
              <w:t>Ni site</w:t>
            </w:r>
            <w:r w:rsidRPr="00CC68D6">
              <w:t xml:space="preserve"> (</w:t>
            </w:r>
            <w:r>
              <w:t>mA/cm</w:t>
            </w:r>
            <w:r w:rsidRPr="00403501">
              <w:rPr>
                <w:vertAlign w:val="superscript"/>
              </w:rPr>
              <w:t>2</w:t>
            </w:r>
            <w:r w:rsidRPr="00CC68D6">
              <w:t>)</w:t>
            </w:r>
          </w:p>
        </w:tc>
        <w:tc>
          <w:tcPr>
            <w:tcW w:w="4253" w:type="dxa"/>
            <w:tcBorders>
              <w:top w:val="single" w:sz="24" w:space="0" w:color="auto"/>
              <w:left w:val="nil"/>
              <w:bottom w:val="single" w:sz="24" w:space="0" w:color="auto"/>
              <w:right w:val="nil"/>
            </w:tcBorders>
            <w:shd w:val="clear" w:color="auto" w:fill="auto"/>
            <w:vAlign w:val="center"/>
          </w:tcPr>
          <w:p w14:paraId="7A846390" w14:textId="77777777" w:rsidR="00DC0B5E" w:rsidRPr="00CC68D6" w:rsidRDefault="00DC0B5E" w:rsidP="000F562F">
            <w:pPr>
              <w:pStyle w:val="Tablebody"/>
              <w:jc w:val="center"/>
            </w:pPr>
            <w:r>
              <w:t>Percentage contribution to overall j (%)</w:t>
            </w:r>
          </w:p>
        </w:tc>
      </w:tr>
      <w:tr w:rsidR="00DC0B5E" w14:paraId="7CD34BAC" w14:textId="77777777" w:rsidTr="000F562F">
        <w:tc>
          <w:tcPr>
            <w:tcW w:w="2268" w:type="dxa"/>
            <w:tcBorders>
              <w:top w:val="nil"/>
              <w:left w:val="nil"/>
              <w:bottom w:val="nil"/>
              <w:right w:val="nil"/>
            </w:tcBorders>
            <w:vAlign w:val="center"/>
          </w:tcPr>
          <w:p w14:paraId="62CE2E6D" w14:textId="77777777" w:rsidR="00DC0B5E" w:rsidRDefault="00DC0B5E" w:rsidP="000F562F">
            <w:pPr>
              <w:pStyle w:val="Tablebody"/>
              <w:jc w:val="center"/>
            </w:pPr>
            <w:r>
              <w:t>0.15 (Fe)</w:t>
            </w:r>
          </w:p>
        </w:tc>
        <w:tc>
          <w:tcPr>
            <w:tcW w:w="1843" w:type="dxa"/>
            <w:tcBorders>
              <w:top w:val="nil"/>
              <w:left w:val="nil"/>
              <w:bottom w:val="nil"/>
              <w:right w:val="nil"/>
            </w:tcBorders>
            <w:shd w:val="clear" w:color="auto" w:fill="auto"/>
            <w:vAlign w:val="center"/>
          </w:tcPr>
          <w:p w14:paraId="1AD7EDC2" w14:textId="77777777" w:rsidR="00DC0B5E" w:rsidRPr="00AE290A" w:rsidRDefault="00DC0B5E" w:rsidP="000F562F">
            <w:pPr>
              <w:pStyle w:val="Tablebody"/>
              <w:jc w:val="center"/>
            </w:pPr>
            <w:r w:rsidRPr="00AE290A">
              <w:t>0.08</w:t>
            </w:r>
          </w:p>
        </w:tc>
        <w:tc>
          <w:tcPr>
            <w:tcW w:w="4253" w:type="dxa"/>
            <w:tcBorders>
              <w:top w:val="nil"/>
              <w:left w:val="nil"/>
              <w:bottom w:val="nil"/>
              <w:right w:val="nil"/>
            </w:tcBorders>
            <w:shd w:val="clear" w:color="auto" w:fill="auto"/>
            <w:vAlign w:val="center"/>
          </w:tcPr>
          <w:p w14:paraId="68C8DD01" w14:textId="77777777" w:rsidR="00DC0B5E" w:rsidRPr="00AE290A" w:rsidRDefault="00DC0B5E" w:rsidP="000F562F">
            <w:pPr>
              <w:pStyle w:val="Tablebody"/>
              <w:jc w:val="center"/>
            </w:pPr>
            <w:r w:rsidRPr="00AE290A">
              <w:t>2.91</w:t>
            </w:r>
          </w:p>
        </w:tc>
      </w:tr>
      <w:tr w:rsidR="00DC0B5E" w14:paraId="74C92B37" w14:textId="77777777" w:rsidTr="000F562F">
        <w:tc>
          <w:tcPr>
            <w:tcW w:w="2268" w:type="dxa"/>
            <w:tcBorders>
              <w:top w:val="nil"/>
              <w:left w:val="nil"/>
              <w:bottom w:val="nil"/>
              <w:right w:val="nil"/>
            </w:tcBorders>
            <w:vAlign w:val="center"/>
          </w:tcPr>
          <w:p w14:paraId="510AFD4B" w14:textId="77777777" w:rsidR="00DC0B5E" w:rsidRDefault="00DC0B5E" w:rsidP="000F562F">
            <w:pPr>
              <w:pStyle w:val="Tablebody"/>
              <w:jc w:val="center"/>
            </w:pPr>
            <w:r>
              <w:t>0.029 (Co)</w:t>
            </w:r>
          </w:p>
        </w:tc>
        <w:tc>
          <w:tcPr>
            <w:tcW w:w="1843" w:type="dxa"/>
            <w:tcBorders>
              <w:top w:val="nil"/>
              <w:left w:val="nil"/>
              <w:bottom w:val="nil"/>
              <w:right w:val="nil"/>
            </w:tcBorders>
            <w:shd w:val="clear" w:color="auto" w:fill="auto"/>
            <w:vAlign w:val="center"/>
          </w:tcPr>
          <w:p w14:paraId="2DA4112C" w14:textId="77777777" w:rsidR="00DC0B5E" w:rsidRPr="00AE290A" w:rsidRDefault="00DC0B5E" w:rsidP="000F562F">
            <w:pPr>
              <w:pStyle w:val="Tablebody"/>
              <w:jc w:val="center"/>
            </w:pPr>
            <w:r w:rsidRPr="00AE290A">
              <w:t>0.02</w:t>
            </w:r>
          </w:p>
        </w:tc>
        <w:tc>
          <w:tcPr>
            <w:tcW w:w="4253" w:type="dxa"/>
            <w:tcBorders>
              <w:top w:val="nil"/>
              <w:left w:val="nil"/>
              <w:bottom w:val="nil"/>
              <w:right w:val="nil"/>
            </w:tcBorders>
            <w:shd w:val="clear" w:color="auto" w:fill="auto"/>
            <w:vAlign w:val="center"/>
          </w:tcPr>
          <w:p w14:paraId="0A33802E" w14:textId="77777777" w:rsidR="00DC0B5E" w:rsidRPr="00AE290A" w:rsidRDefault="00DC0B5E" w:rsidP="000F562F">
            <w:pPr>
              <w:pStyle w:val="Tablebody"/>
              <w:jc w:val="center"/>
            </w:pPr>
            <w:r w:rsidRPr="00AE290A">
              <w:t>0.56</w:t>
            </w:r>
          </w:p>
        </w:tc>
      </w:tr>
      <w:tr w:rsidR="00DC0B5E" w14:paraId="12D20D9D" w14:textId="77777777" w:rsidTr="000F562F">
        <w:tc>
          <w:tcPr>
            <w:tcW w:w="2268" w:type="dxa"/>
            <w:tcBorders>
              <w:top w:val="nil"/>
              <w:left w:val="nil"/>
              <w:bottom w:val="single" w:sz="24" w:space="0" w:color="auto"/>
              <w:right w:val="nil"/>
            </w:tcBorders>
            <w:vAlign w:val="center"/>
          </w:tcPr>
          <w:p w14:paraId="648BDA42" w14:textId="77777777" w:rsidR="00DC0B5E" w:rsidRDefault="00DC0B5E" w:rsidP="000F562F">
            <w:pPr>
              <w:pStyle w:val="Tablebody"/>
              <w:jc w:val="center"/>
            </w:pPr>
            <w:r>
              <w:t>0.006 (Cu)</w:t>
            </w:r>
          </w:p>
        </w:tc>
        <w:tc>
          <w:tcPr>
            <w:tcW w:w="1843" w:type="dxa"/>
            <w:tcBorders>
              <w:top w:val="nil"/>
              <w:left w:val="nil"/>
              <w:bottom w:val="single" w:sz="24" w:space="0" w:color="auto"/>
              <w:right w:val="nil"/>
            </w:tcBorders>
            <w:shd w:val="clear" w:color="auto" w:fill="auto"/>
            <w:vAlign w:val="center"/>
          </w:tcPr>
          <w:p w14:paraId="64410ACA" w14:textId="77777777" w:rsidR="00DC0B5E" w:rsidRPr="00AE290A" w:rsidRDefault="00DC0B5E" w:rsidP="000F562F">
            <w:pPr>
              <w:pStyle w:val="Tablebody"/>
              <w:jc w:val="center"/>
            </w:pPr>
            <w:r w:rsidRPr="00AE290A">
              <w:t>0.00</w:t>
            </w:r>
          </w:p>
        </w:tc>
        <w:tc>
          <w:tcPr>
            <w:tcW w:w="4253" w:type="dxa"/>
            <w:tcBorders>
              <w:top w:val="nil"/>
              <w:left w:val="nil"/>
              <w:bottom w:val="single" w:sz="24" w:space="0" w:color="auto"/>
              <w:right w:val="nil"/>
            </w:tcBorders>
            <w:shd w:val="clear" w:color="auto" w:fill="auto"/>
            <w:vAlign w:val="center"/>
          </w:tcPr>
          <w:p w14:paraId="2E47C80B" w14:textId="77777777" w:rsidR="00DC0B5E" w:rsidRPr="00AE290A" w:rsidRDefault="00DC0B5E" w:rsidP="000F562F">
            <w:pPr>
              <w:pStyle w:val="Tablebody"/>
              <w:jc w:val="center"/>
            </w:pPr>
            <w:r w:rsidRPr="00AE290A">
              <w:t>0.</w:t>
            </w:r>
            <w:r>
              <w:t>1</w:t>
            </w:r>
            <w:r w:rsidRPr="00AE290A">
              <w:t>2</w:t>
            </w:r>
          </w:p>
        </w:tc>
      </w:tr>
    </w:tbl>
    <w:p w14:paraId="1F60FBAE" w14:textId="77777777" w:rsidR="00DC0B5E" w:rsidRDefault="00DC0B5E" w:rsidP="00DC0B5E">
      <w:pPr>
        <w:pStyle w:val="Caption"/>
      </w:pPr>
      <w:r w:rsidRPr="00702FFE">
        <w:rPr>
          <w:vertAlign w:val="superscript"/>
        </w:rPr>
        <w:t>a</w:t>
      </w:r>
      <w:r>
        <w:t xml:space="preserve"> RDE measurement conditions: temperature of 25 </w:t>
      </w:r>
      <w:r>
        <w:rPr>
          <w:rFonts w:cs="Arial"/>
        </w:rPr>
        <w:t>°</w:t>
      </w:r>
      <w:r>
        <w:t xml:space="preserve">C; geometric catalyst loading of 800 </w:t>
      </w:r>
      <w:r>
        <w:rPr>
          <w:rFonts w:cs="Arial"/>
        </w:rPr>
        <w:t>µ</w:t>
      </w:r>
      <w:r>
        <w:t>g/cm</w:t>
      </w:r>
      <w:r w:rsidRPr="00D85B0F">
        <w:rPr>
          <w:vertAlign w:val="superscript"/>
        </w:rPr>
        <w:t>2</w:t>
      </w:r>
      <w:r>
        <w:t>; scan rate of</w:t>
      </w:r>
      <w:r w:rsidRPr="00702FFE">
        <w:t xml:space="preserve"> </w:t>
      </w:r>
      <w:r>
        <w:t>5 mV/s; rotation of 1600 rpm;</w:t>
      </w:r>
      <w:r w:rsidRPr="00702FFE">
        <w:t xml:space="preserve"> </w:t>
      </w:r>
      <w:r>
        <w:t>n</w:t>
      </w:r>
      <w:r w:rsidRPr="00702FFE">
        <w:t>egative</w:t>
      </w:r>
      <w:r>
        <w:t xml:space="preserve"> going scan was used to evaluate the ORR activity. </w:t>
      </w:r>
    </w:p>
    <w:p w14:paraId="66A40C2A" w14:textId="77777777" w:rsidR="00DC0B5E" w:rsidRPr="005045BA" w:rsidRDefault="00DC0B5E" w:rsidP="00DC0B5E">
      <w:pPr>
        <w:ind w:firstLine="0"/>
      </w:pPr>
    </w:p>
    <w:p w14:paraId="3E738BD0" w14:textId="53B5ADD8" w:rsidR="00DC0B5E" w:rsidRDefault="00DC0B5E" w:rsidP="00DC0B5E">
      <w:pPr>
        <w:pStyle w:val="Caption"/>
      </w:pPr>
      <w:r w:rsidRPr="00121175">
        <w:rPr>
          <w:b/>
          <w:bCs/>
          <w:u w:val="single"/>
        </w:rPr>
        <w:t xml:space="preserve">Supplementary Discussion </w:t>
      </w:r>
      <w:r w:rsidRPr="00121175">
        <w:rPr>
          <w:b/>
          <w:bCs/>
          <w:u w:val="single"/>
        </w:rPr>
        <w:fldChar w:fldCharType="begin"/>
      </w:r>
      <w:r w:rsidRPr="00121175">
        <w:rPr>
          <w:b/>
          <w:bCs/>
          <w:u w:val="single"/>
        </w:rPr>
        <w:instrText xml:space="preserve"> SEQ Supplementary_Discussion \* ARABIC </w:instrText>
      </w:r>
      <w:r w:rsidRPr="00121175">
        <w:rPr>
          <w:b/>
          <w:bCs/>
          <w:u w:val="single"/>
        </w:rPr>
        <w:fldChar w:fldCharType="separate"/>
      </w:r>
      <w:r w:rsidR="00C76C3C">
        <w:rPr>
          <w:b/>
          <w:bCs/>
          <w:noProof/>
          <w:u w:val="single"/>
        </w:rPr>
        <w:t>5</w:t>
      </w:r>
      <w:r w:rsidRPr="00121175">
        <w:rPr>
          <w:b/>
          <w:bCs/>
          <w:u w:val="single"/>
        </w:rPr>
        <w:fldChar w:fldCharType="end"/>
      </w:r>
      <w:r w:rsidRPr="008E6174">
        <w:rPr>
          <w:b/>
          <w:bCs/>
        </w:rPr>
        <w:t xml:space="preserve"> </w:t>
      </w:r>
      <w:r w:rsidRPr="008E6174">
        <w:rPr>
          <w:rFonts w:hint="eastAsia"/>
          <w:b/>
          <w:bCs/>
        </w:rPr>
        <w:t>|</w:t>
      </w:r>
      <w:r>
        <w:t xml:space="preserve"> </w:t>
      </w:r>
      <w:r>
        <w:rPr>
          <w:rFonts w:hint="eastAsia"/>
        </w:rPr>
        <w:t>Advan</w:t>
      </w:r>
      <w:r>
        <w:t>tage of our NiNC support versus conventional Vulcan carbon.</w:t>
      </w:r>
    </w:p>
    <w:p w14:paraId="71C77B42" w14:textId="77777777" w:rsidR="00DC0B5E" w:rsidRDefault="00DC0B5E" w:rsidP="00DC0B5E">
      <w:pPr>
        <w:ind w:firstLine="0"/>
      </w:pPr>
      <w:r>
        <w:t>Owing to the mesoporous structure and Ni- and N-doped feature, our NiNC support exhibit several advantages versus conventional Vulcan carbon support. First, compared with undoped Vulcan carbon, NiNC support bears nitrogen functional groups that interact with the ionomer to promote its homogeneous distribution. Owing to the Coulombic attraction between the ionomer and N groups on the NiNC support, NiNC support could ensure very uniform coverage of the ionomer.</w:t>
      </w:r>
      <w:r>
        <w:fldChar w:fldCharType="begin"/>
      </w:r>
      <w:r>
        <w:instrText xml:space="preserve"> ADDIN EN.CITE &lt;EndNote&gt;&lt;Cite&gt;&lt;Author&gt;Ott&lt;/Author&gt;&lt;Year&gt;2019&lt;/Year&gt;&lt;RecNum&gt;3882&lt;/RecNum&gt;&lt;DisplayText&gt;&lt;style face="superscript"&gt;15&lt;/style&gt;&lt;/DisplayText&gt;&lt;record&gt;&lt;rec-number&gt;3882&lt;/rec-number&gt;&lt;foreign-keys&gt;&lt;key app="EN" db-id="rd9a2saf9vxvsxeatrpxars890rsapsep9r9" timestamp="1574066320"&gt;3882&lt;/key&gt;&lt;/foreign-keys&gt;&lt;ref-type name="Journal Article"&gt;17&lt;/ref-type&gt;&lt;contributors&gt;&lt;authors&gt;&lt;author&gt;Ott, Sebastian&lt;/author&gt;&lt;author&gt;Orfanidi, Alin&lt;/author&gt;&lt;author&gt;Schmies, Henrike&lt;/author&gt;&lt;author&gt;Anke, Björn&lt;/author&gt;&lt;author&gt;Nong, Hong Nhan&lt;/author&gt;&lt;author&gt;Hübner, Jessica&lt;/author&gt;&lt;author&gt;Gernert, Ulrich&lt;/author&gt;&lt;author&gt;Gliech, Manuel&lt;/author&gt;&lt;author&gt;Lerch, Martin&lt;/author&gt;&lt;author&gt;Strasser, Peter&lt;/author&gt;&lt;/authors&gt;&lt;/contributors&gt;&lt;titles&gt;&lt;title&gt;Ionomer distribution control in porous carbon-supported catalyst layers for high-power and low Pt-loaded proton exchange membrane fuel cells&lt;/title&gt;&lt;secondary-title&gt;Nature Materials&lt;/secondary-title&gt;&lt;/titles&gt;&lt;periodical&gt;&lt;full-title&gt;Nature Materials&lt;/full-title&gt;&lt;abbr-1&gt;Nat. Mater.&lt;/abbr-1&gt;&lt;/periodical&gt;&lt;pages&gt;77–85&lt;/pages&gt;&lt;volume&gt;19&lt;/volume&gt;&lt;dates&gt;&lt;year&gt;2019&lt;/year&gt;&lt;pub-dates&gt;&lt;date&gt;2019/09/30&lt;/date&gt;&lt;/pub-dates&gt;&lt;/dates&gt;&lt;isbn&gt;1476-4660&lt;/isbn&gt;&lt;urls&gt;&lt;related-urls&gt;&lt;url&gt;https://doi.org/10.1038/s41563-019-0487-0&lt;/url&gt;&lt;/related-urls&gt;&lt;/urls&gt;&lt;electronic-resource-num&gt;10.1038/s41563-019-0487-0&lt;/electronic-resource-num&gt;&lt;/record&gt;&lt;/Cite&gt;&lt;/EndNote&gt;</w:instrText>
      </w:r>
      <w:r>
        <w:fldChar w:fldCharType="separate"/>
      </w:r>
      <w:r w:rsidRPr="002E31E9">
        <w:rPr>
          <w:noProof/>
          <w:vertAlign w:val="superscript"/>
        </w:rPr>
        <w:t>15</w:t>
      </w:r>
      <w:r>
        <w:fldChar w:fldCharType="end"/>
      </w:r>
      <w:r>
        <w:t xml:space="preserve"> Second, carbon supports with a mesoporous structure (with a </w:t>
      </w:r>
      <w:r w:rsidRPr="00E93BBA">
        <w:t>pore opening</w:t>
      </w:r>
      <w:r>
        <w:t xml:space="preserve"> </w:t>
      </w:r>
      <w:r w:rsidRPr="00E93BBA">
        <w:t>of 4–7 nm</w:t>
      </w:r>
      <w:r>
        <w:t xml:space="preserve">) promise </w:t>
      </w:r>
      <w:r w:rsidRPr="00E93BBA">
        <w:t xml:space="preserve">excellent </w:t>
      </w:r>
      <w:r>
        <w:t>ORR</w:t>
      </w:r>
      <w:r w:rsidRPr="00E93BBA">
        <w:t xml:space="preserve"> activity and</w:t>
      </w:r>
      <w:r>
        <w:t xml:space="preserve"> </w:t>
      </w:r>
      <w:r w:rsidRPr="00E93BBA">
        <w:t>transport properties simultaneously</w:t>
      </w:r>
      <w:r>
        <w:t>.</w:t>
      </w:r>
      <w:r>
        <w:fldChar w:fldCharType="begin"/>
      </w:r>
      <w:r>
        <w:instrText xml:space="preserve"> ADDIN EN.CITE &lt;EndNote&gt;&lt;Cite&gt;&lt;Author&gt;Yarlagadda&lt;/Author&gt;&lt;Year&gt;2018&lt;/Year&gt;&lt;RecNum&gt;3518&lt;/RecNum&gt;&lt;DisplayText&gt;&lt;style face="superscript"&gt;16&lt;/style&gt;&lt;/DisplayText&gt;&lt;record&gt;&lt;rec-number&gt;3518&lt;/rec-number&gt;&lt;foreign-keys&gt;&lt;key app="EN" db-id="rd9a2saf9vxvsxeatrpxars890rsapsep9r9" timestamp="1568794064"&gt;3518&lt;/key&gt;&lt;/foreign-keys&gt;&lt;ref-type name="Journal Article"&gt;17&lt;/ref-type&gt;&lt;contributors&gt;&lt;authors&gt;&lt;author&gt;Yarlagadda, Venkata&lt;/author&gt;&lt;author&gt;Carpenter, Michael K.&lt;/author&gt;&lt;author&gt;Moylan, Thomas E.&lt;/author&gt;&lt;author&gt;Kukreja, Ratandeep Singh&lt;/author&gt;&lt;author&gt;Koestner, Roland&lt;/author&gt;&lt;author&gt;Gu, Wenbin&lt;/author&gt;&lt;author&gt;Thompson, Levi&lt;/author&gt;&lt;author&gt;Kongkanand, Anusorn&lt;/author&gt;&lt;/authors&gt;&lt;/contributors&gt;&lt;titles&gt;&lt;title&gt;Boosting Fuel Cell Performance with Accessible Carbon Mesopores&lt;/title&gt;&lt;secondary-title&gt;ACS Energy Letters&lt;/secondary-title&gt;&lt;/titles&gt;&lt;periodical&gt;&lt;full-title&gt;ACS Energy Letters&lt;/full-title&gt;&lt;abbr-1&gt;ACS Energy Lett.&lt;/abbr-1&gt;&lt;/periodical&gt;&lt;pages&gt;618–621&lt;/pages&gt;&lt;volume&gt;3&lt;/volume&gt;&lt;number&gt;3&lt;/number&gt;&lt;dates&gt;&lt;year&gt;2018&lt;/year&gt;&lt;pub-dates&gt;&lt;date&gt;2018/03/09&lt;/date&gt;&lt;/pub-dates&gt;&lt;/dates&gt;&lt;publisher&gt;American Chemical Society&lt;/publisher&gt;&lt;urls&gt;&lt;related-urls&gt;&lt;url&gt;https://doi.org/10.1021/acsenergylett.8b00186&lt;/url&gt;&lt;/related-urls&gt;&lt;/urls&gt;&lt;electronic-resource-num&gt;10.1021/acsenergylett.8b00186&lt;/electronic-resource-num&gt;&lt;/record&gt;&lt;/Cite&gt;&lt;/EndNote&gt;</w:instrText>
      </w:r>
      <w:r>
        <w:fldChar w:fldCharType="separate"/>
      </w:r>
      <w:r w:rsidRPr="002E31E9">
        <w:rPr>
          <w:noProof/>
          <w:vertAlign w:val="superscript"/>
        </w:rPr>
        <w:t>16</w:t>
      </w:r>
      <w:r>
        <w:fldChar w:fldCharType="end"/>
      </w:r>
      <w:r>
        <w:t xml:space="preserve"> Third, the highly graphitized carbon is more resistant to carbon corrosion.</w:t>
      </w:r>
    </w:p>
    <w:p w14:paraId="0CD084DF" w14:textId="77777777" w:rsidR="00DC0B5E" w:rsidRDefault="00DC0B5E" w:rsidP="00DC0B5E">
      <w:pPr>
        <w:ind w:firstLine="0"/>
      </w:pPr>
      <w:r>
        <w:t>For Pt/NiNC catalyst, due to the difficulty in obtaining an uniform catalyst film without the addition of Nafion ionomer, we only measured its performance with the addition of Nafion ionomer. As shown in Fig. 5a and d, for Pt/NiNC, albeit with ionomer, it still exhibits measurable CO signal and H</w:t>
      </w:r>
      <w:r w:rsidRPr="00CF3AB2">
        <w:rPr>
          <w:vertAlign w:val="subscript"/>
        </w:rPr>
        <w:t>upd</w:t>
      </w:r>
      <w:r>
        <w:t xml:space="preserve"> features, indicating its advantages over conventional Vulcan carbon.</w:t>
      </w:r>
    </w:p>
    <w:p w14:paraId="36861616" w14:textId="77777777" w:rsidR="00DC0B5E" w:rsidRDefault="00DC0B5E" w:rsidP="00DC0B5E">
      <w:pPr>
        <w:ind w:firstLine="0"/>
      </w:pPr>
      <w:r>
        <w:lastRenderedPageBreak/>
        <w:t>To evaluate the effect of ionomer distribution on the electrochemical performance of Pt/Vul-C catalyst, we measure its ORR performance with and without the addition of Nafion ionomer</w:t>
      </w:r>
      <w:r>
        <w:rPr>
          <w:rFonts w:hint="eastAsia"/>
        </w:rPr>
        <w:t>.</w:t>
      </w:r>
      <w:r>
        <w:t xml:space="preserve"> When ionomer is absent, Pt surface is free of ionomer and the poisoning effect is absent. As shown in </w:t>
      </w:r>
      <w:r w:rsidRPr="007045F2">
        <w:rPr>
          <w:b/>
          <w:bCs/>
        </w:rPr>
        <w:t>Supplementary Fig. 26</w:t>
      </w:r>
      <w:r>
        <w:t>, upon the addition of Nafion ionomer, both CO signal and H</w:t>
      </w:r>
      <w:r w:rsidRPr="00CF3AB2">
        <w:rPr>
          <w:vertAlign w:val="subscript"/>
        </w:rPr>
        <w:t>upd</w:t>
      </w:r>
      <w:r>
        <w:t xml:space="preserve"> features of Pt/Vul-C were inhibited due to the poisoning effect on Pt surface. </w:t>
      </w:r>
      <w:r w:rsidRPr="004E5647">
        <w:t>Carbon monoxide strongly adsorbs on metallic Pt</w:t>
      </w:r>
      <w:r>
        <w:t xml:space="preserve"> surface. The weakening of CO signal demonstrated that a faction of Pt surface was fully covered by the thick ionomer layer and was not </w:t>
      </w:r>
      <w:r w:rsidRPr="00B12E00">
        <w:t>electrochemically-accessible</w:t>
      </w:r>
      <w:r>
        <w:t xml:space="preserve"> anymore.</w:t>
      </w:r>
    </w:p>
    <w:p w14:paraId="510A10E0" w14:textId="77777777" w:rsidR="00DC0B5E" w:rsidRDefault="00DC0B5E" w:rsidP="00DC0B5E">
      <w:pPr>
        <w:ind w:firstLine="0"/>
      </w:pPr>
      <w:r>
        <w:t xml:space="preserve">As shown in </w:t>
      </w:r>
      <w:r w:rsidRPr="00C8418A">
        <w:rPr>
          <w:b/>
          <w:bCs/>
        </w:rPr>
        <w:t>Supplementary Fig. 26b</w:t>
      </w:r>
      <w:r>
        <w:t>, both kinetic current at 0.9 V</w:t>
      </w:r>
      <w:r w:rsidRPr="001F1F68">
        <w:rPr>
          <w:vertAlign w:val="subscript"/>
        </w:rPr>
        <w:t>RHE</w:t>
      </w:r>
      <w:r>
        <w:t xml:space="preserve"> and diffusion current became smaller when ionomer was added. In the diffusion limiting regime, Pt particles hidden under the thick ionomer layer exhibit restricted protonic and reactant gas access, thus showing lower diffusion current density at low potential. In the kinetic regime, sulfonate groups in the p</w:t>
      </w:r>
      <w:r w:rsidRPr="003D2776">
        <w:t xml:space="preserve">erfluorosulfonic acid </w:t>
      </w:r>
      <w:r>
        <w:t>(PFSA) ionomer could also poison Pt surface, thus lowering its intrinsic activity.</w:t>
      </w:r>
    </w:p>
    <w:p w14:paraId="0A3634C6" w14:textId="77777777" w:rsidR="00DC0B5E" w:rsidRDefault="00DC0B5E" w:rsidP="00DC0B5E">
      <w:pPr>
        <w:keepNext/>
        <w:ind w:firstLine="0"/>
      </w:pPr>
      <w:r>
        <w:rPr>
          <w:noProof/>
        </w:rPr>
        <w:lastRenderedPageBreak/>
        <w:drawing>
          <wp:inline distT="0" distB="0" distL="0" distR="0" wp14:anchorId="2CFC11DF" wp14:editId="5D467166">
            <wp:extent cx="5040000" cy="4028761"/>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0000" cy="4028761"/>
                    </a:xfrm>
                    <a:prstGeom prst="rect">
                      <a:avLst/>
                    </a:prstGeom>
                    <a:noFill/>
                    <a:ln>
                      <a:noFill/>
                    </a:ln>
                  </pic:spPr>
                </pic:pic>
              </a:graphicData>
            </a:graphic>
          </wp:inline>
        </w:drawing>
      </w:r>
    </w:p>
    <w:p w14:paraId="5C9349C6" w14:textId="2AF55EAE" w:rsidR="00DC0B5E" w:rsidRDefault="00DC0B5E" w:rsidP="00DC0B5E">
      <w:pPr>
        <w:pStyle w:val="Caption"/>
      </w:pPr>
      <w:r w:rsidRPr="00322E53">
        <w:rPr>
          <w:b/>
          <w:bCs/>
        </w:rPr>
        <w:t xml:space="preserve">Supplementary Fig. </w:t>
      </w:r>
      <w:r w:rsidRPr="00322E53">
        <w:rPr>
          <w:b/>
          <w:bCs/>
        </w:rPr>
        <w:fldChar w:fldCharType="begin"/>
      </w:r>
      <w:r w:rsidRPr="00322E53">
        <w:rPr>
          <w:b/>
          <w:bCs/>
        </w:rPr>
        <w:instrText xml:space="preserve"> SEQ Supplementary_Fig. \* ARABIC </w:instrText>
      </w:r>
      <w:r w:rsidRPr="00322E53">
        <w:rPr>
          <w:b/>
          <w:bCs/>
        </w:rPr>
        <w:fldChar w:fldCharType="separate"/>
      </w:r>
      <w:r w:rsidR="00C76C3C">
        <w:rPr>
          <w:b/>
          <w:bCs/>
          <w:noProof/>
        </w:rPr>
        <w:t>26</w:t>
      </w:r>
      <w:r w:rsidRPr="00322E53">
        <w:rPr>
          <w:b/>
          <w:bCs/>
          <w:noProof/>
        </w:rPr>
        <w:fldChar w:fldCharType="end"/>
      </w:r>
      <w:r w:rsidRPr="00322E53">
        <w:rPr>
          <w:b/>
          <w:bCs/>
        </w:rPr>
        <w:t xml:space="preserve"> |</w:t>
      </w:r>
      <w:r>
        <w:t xml:space="preserve"> RDE measurements of Pt/Vul-C reference catalyst both with and without the addition of Nafion ionomer: (a) CV, (b) ORR polarization, (c) first and second scans of CO striping curves and (d) background-subtracted CO stripping voltammetry curves.</w:t>
      </w:r>
    </w:p>
    <w:p w14:paraId="19821377" w14:textId="77777777" w:rsidR="00DC0B5E" w:rsidRDefault="00DC0B5E" w:rsidP="00DC0B5E">
      <w:pPr>
        <w:keepNext/>
        <w:ind w:firstLine="0"/>
      </w:pPr>
      <w:r>
        <w:rPr>
          <w:noProof/>
        </w:rPr>
        <w:lastRenderedPageBreak/>
        <w:drawing>
          <wp:inline distT="0" distB="0" distL="0" distR="0" wp14:anchorId="72794AA4" wp14:editId="323167B2">
            <wp:extent cx="3600000" cy="288008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0000" cy="2880080"/>
                    </a:xfrm>
                    <a:prstGeom prst="rect">
                      <a:avLst/>
                    </a:prstGeom>
                    <a:noFill/>
                    <a:ln>
                      <a:noFill/>
                    </a:ln>
                  </pic:spPr>
                </pic:pic>
              </a:graphicData>
            </a:graphic>
          </wp:inline>
        </w:drawing>
      </w:r>
    </w:p>
    <w:p w14:paraId="2E316A3D" w14:textId="33EDD76B" w:rsidR="00DC0B5E" w:rsidRDefault="00DC0B5E" w:rsidP="00DC0B5E">
      <w:pPr>
        <w:pStyle w:val="Caption"/>
      </w:pPr>
      <w:r w:rsidRPr="00B1770C">
        <w:rPr>
          <w:b/>
          <w:bCs/>
        </w:rPr>
        <w:t xml:space="preserve">Supplementary Fig. </w:t>
      </w:r>
      <w:r w:rsidRPr="00B1770C">
        <w:rPr>
          <w:b/>
          <w:bCs/>
        </w:rPr>
        <w:fldChar w:fldCharType="begin"/>
      </w:r>
      <w:r w:rsidRPr="00B1770C">
        <w:rPr>
          <w:b/>
          <w:bCs/>
        </w:rPr>
        <w:instrText xml:space="preserve"> SEQ Supplementary_Fig. \* ARABIC </w:instrText>
      </w:r>
      <w:r w:rsidRPr="00B1770C">
        <w:rPr>
          <w:b/>
          <w:bCs/>
        </w:rPr>
        <w:fldChar w:fldCharType="separate"/>
      </w:r>
      <w:r w:rsidR="00C76C3C">
        <w:rPr>
          <w:b/>
          <w:bCs/>
          <w:noProof/>
        </w:rPr>
        <w:t>27</w:t>
      </w:r>
      <w:r w:rsidRPr="00B1770C">
        <w:rPr>
          <w:b/>
          <w:bCs/>
          <w:noProof/>
        </w:rPr>
        <w:fldChar w:fldCharType="end"/>
      </w:r>
      <w:r w:rsidRPr="00B1770C">
        <w:rPr>
          <w:b/>
          <w:bCs/>
        </w:rPr>
        <w:t xml:space="preserve"> |</w:t>
      </w:r>
      <w:r>
        <w:t xml:space="preserve"> Comparison of mass activities and CO-ECSA of Pt/Vul-C with and without the addition of Nafion ionomer.</w:t>
      </w:r>
    </w:p>
    <w:p w14:paraId="466DE176" w14:textId="77777777" w:rsidR="008F0D04" w:rsidRPr="008F0D04" w:rsidRDefault="008F0D04" w:rsidP="008F0D04">
      <w:pPr>
        <w:ind w:firstLine="0"/>
      </w:pPr>
    </w:p>
    <w:p w14:paraId="38C56DDE" w14:textId="6450856E" w:rsidR="00DC0B5E" w:rsidRDefault="00DC0B5E" w:rsidP="00DC0B5E">
      <w:pPr>
        <w:pStyle w:val="Caption"/>
        <w:keepNext/>
      </w:pPr>
      <w:r w:rsidRPr="001B2CB9">
        <w:rPr>
          <w:b/>
          <w:bCs/>
        </w:rPr>
        <w:t xml:space="preserve">Supplementary Table </w:t>
      </w:r>
      <w:r w:rsidRPr="001B2CB9">
        <w:rPr>
          <w:b/>
          <w:bCs/>
        </w:rPr>
        <w:fldChar w:fldCharType="begin"/>
      </w:r>
      <w:r w:rsidRPr="001B2CB9">
        <w:rPr>
          <w:b/>
          <w:bCs/>
        </w:rPr>
        <w:instrText xml:space="preserve"> SEQ Supplementary_Table \* ARABIC </w:instrText>
      </w:r>
      <w:r w:rsidRPr="001B2CB9">
        <w:rPr>
          <w:b/>
          <w:bCs/>
        </w:rPr>
        <w:fldChar w:fldCharType="separate"/>
      </w:r>
      <w:r w:rsidR="00C76C3C">
        <w:rPr>
          <w:b/>
          <w:bCs/>
          <w:noProof/>
        </w:rPr>
        <w:t>7</w:t>
      </w:r>
      <w:r w:rsidRPr="001B2CB9">
        <w:rPr>
          <w:b/>
          <w:bCs/>
          <w:noProof/>
        </w:rPr>
        <w:fldChar w:fldCharType="end"/>
      </w:r>
      <w:r w:rsidRPr="001B2CB9">
        <w:rPr>
          <w:b/>
          <w:bCs/>
        </w:rPr>
        <w:t xml:space="preserve"> |</w:t>
      </w:r>
      <w:r>
        <w:t xml:space="preserve"> Comparison of mass activities, specific activities and CO-ECSA of Pt/Vul-C with and without the addition of Nafion ionomer.</w:t>
      </w:r>
    </w:p>
    <w:tbl>
      <w:tblPr>
        <w:tblStyle w:val="TableGrid"/>
        <w:tblW w:w="0" w:type="auto"/>
        <w:tblLayout w:type="fixed"/>
        <w:tblLook w:val="04A0" w:firstRow="1" w:lastRow="0" w:firstColumn="1" w:lastColumn="0" w:noHBand="0" w:noVBand="1"/>
      </w:tblPr>
      <w:tblGrid>
        <w:gridCol w:w="1672"/>
        <w:gridCol w:w="1872"/>
        <w:gridCol w:w="1985"/>
        <w:gridCol w:w="2409"/>
      </w:tblGrid>
      <w:tr w:rsidR="00DC0B5E" w14:paraId="058DF564" w14:textId="77777777" w:rsidTr="000F562F">
        <w:tc>
          <w:tcPr>
            <w:tcW w:w="1672" w:type="dxa"/>
            <w:tcBorders>
              <w:top w:val="single" w:sz="24" w:space="0" w:color="auto"/>
              <w:left w:val="nil"/>
              <w:bottom w:val="single" w:sz="24" w:space="0" w:color="auto"/>
              <w:right w:val="nil"/>
            </w:tcBorders>
            <w:vAlign w:val="center"/>
          </w:tcPr>
          <w:p w14:paraId="0914B0F9" w14:textId="77777777" w:rsidR="00DC0B5E" w:rsidRDefault="00DC0B5E" w:rsidP="000F562F">
            <w:pPr>
              <w:pStyle w:val="Tablebody"/>
              <w:jc w:val="center"/>
            </w:pPr>
            <w:r>
              <w:t>Samples</w:t>
            </w:r>
          </w:p>
        </w:tc>
        <w:tc>
          <w:tcPr>
            <w:tcW w:w="1872" w:type="dxa"/>
            <w:tcBorders>
              <w:top w:val="single" w:sz="24" w:space="0" w:color="auto"/>
              <w:left w:val="nil"/>
              <w:bottom w:val="single" w:sz="24" w:space="0" w:color="auto"/>
              <w:right w:val="nil"/>
            </w:tcBorders>
            <w:shd w:val="clear" w:color="auto" w:fill="auto"/>
            <w:vAlign w:val="center"/>
          </w:tcPr>
          <w:p w14:paraId="79D5F355" w14:textId="77777777" w:rsidR="00DC0B5E" w:rsidRPr="00CC68D6" w:rsidRDefault="00DC0B5E" w:rsidP="000F562F">
            <w:pPr>
              <w:pStyle w:val="Tablebody"/>
              <w:jc w:val="center"/>
            </w:pPr>
            <w:r>
              <w:t>MA</w:t>
            </w:r>
            <w:r w:rsidRPr="00CC68D6">
              <w:t xml:space="preserve"> (</w:t>
            </w:r>
            <w:r>
              <w:t>A/mg</w:t>
            </w:r>
            <w:r w:rsidRPr="00E83DF3">
              <w:rPr>
                <w:vertAlign w:val="subscript"/>
              </w:rPr>
              <w:t>Pt</w:t>
            </w:r>
            <w:r w:rsidRPr="00CC68D6">
              <w:t>)</w:t>
            </w:r>
          </w:p>
        </w:tc>
        <w:tc>
          <w:tcPr>
            <w:tcW w:w="1985" w:type="dxa"/>
            <w:tcBorders>
              <w:top w:val="single" w:sz="24" w:space="0" w:color="auto"/>
              <w:left w:val="nil"/>
              <w:bottom w:val="single" w:sz="24" w:space="0" w:color="auto"/>
              <w:right w:val="nil"/>
            </w:tcBorders>
            <w:shd w:val="clear" w:color="auto" w:fill="auto"/>
            <w:vAlign w:val="center"/>
          </w:tcPr>
          <w:p w14:paraId="1FE4EA88" w14:textId="77777777" w:rsidR="00DC0B5E" w:rsidRPr="00CC68D6" w:rsidRDefault="00DC0B5E" w:rsidP="000F562F">
            <w:pPr>
              <w:pStyle w:val="Tablebody"/>
              <w:jc w:val="center"/>
            </w:pPr>
            <w:r>
              <w:t>SA</w:t>
            </w:r>
            <w:r w:rsidRPr="00CC68D6">
              <w:t xml:space="preserve"> (</w:t>
            </w:r>
            <w:r>
              <w:t>mA/cm</w:t>
            </w:r>
            <w:r w:rsidRPr="00E83DF3">
              <w:rPr>
                <w:vertAlign w:val="superscript"/>
              </w:rPr>
              <w:t>2</w:t>
            </w:r>
            <w:r w:rsidRPr="00CC68D6">
              <w:t>)</w:t>
            </w:r>
          </w:p>
        </w:tc>
        <w:tc>
          <w:tcPr>
            <w:tcW w:w="2409" w:type="dxa"/>
            <w:tcBorders>
              <w:top w:val="single" w:sz="24" w:space="0" w:color="auto"/>
              <w:left w:val="nil"/>
              <w:bottom w:val="single" w:sz="24" w:space="0" w:color="auto"/>
              <w:right w:val="nil"/>
            </w:tcBorders>
          </w:tcPr>
          <w:p w14:paraId="2C06378D" w14:textId="77777777" w:rsidR="00DC0B5E" w:rsidRPr="00CC68D6" w:rsidRDefault="00DC0B5E" w:rsidP="000F562F">
            <w:pPr>
              <w:pStyle w:val="Tablebody"/>
              <w:jc w:val="center"/>
            </w:pPr>
            <w:r>
              <w:t>CO-ECSA</w:t>
            </w:r>
            <w:r w:rsidRPr="00CC68D6">
              <w:t xml:space="preserve"> (</w:t>
            </w:r>
            <w:r>
              <w:t>m</w:t>
            </w:r>
            <w:r w:rsidRPr="00E83DF3">
              <w:rPr>
                <w:vertAlign w:val="superscript"/>
              </w:rPr>
              <w:t>2</w:t>
            </w:r>
            <w:r>
              <w:t>/g</w:t>
            </w:r>
            <w:r w:rsidRPr="00E83DF3">
              <w:rPr>
                <w:vertAlign w:val="subscript"/>
              </w:rPr>
              <w:t>Pt</w:t>
            </w:r>
            <w:r w:rsidRPr="00CC68D6">
              <w:t>)</w:t>
            </w:r>
          </w:p>
        </w:tc>
      </w:tr>
      <w:tr w:rsidR="00DC0B5E" w14:paraId="05C427AA" w14:textId="77777777" w:rsidTr="000F562F">
        <w:tc>
          <w:tcPr>
            <w:tcW w:w="1672" w:type="dxa"/>
            <w:tcBorders>
              <w:top w:val="nil"/>
              <w:left w:val="nil"/>
              <w:bottom w:val="nil"/>
              <w:right w:val="nil"/>
            </w:tcBorders>
            <w:vAlign w:val="center"/>
          </w:tcPr>
          <w:p w14:paraId="320BB6A6" w14:textId="77777777" w:rsidR="00DC0B5E" w:rsidRDefault="00DC0B5E" w:rsidP="000F562F">
            <w:pPr>
              <w:pStyle w:val="Tablebody"/>
              <w:jc w:val="center"/>
            </w:pPr>
            <w:r>
              <w:t>Pt/Vul-C</w:t>
            </w:r>
            <w:r>
              <w:br/>
              <w:t>(no ionomer)</w:t>
            </w:r>
          </w:p>
        </w:tc>
        <w:tc>
          <w:tcPr>
            <w:tcW w:w="1872" w:type="dxa"/>
            <w:tcBorders>
              <w:top w:val="nil"/>
              <w:left w:val="nil"/>
              <w:bottom w:val="nil"/>
              <w:right w:val="nil"/>
            </w:tcBorders>
            <w:shd w:val="clear" w:color="auto" w:fill="auto"/>
            <w:vAlign w:val="center"/>
          </w:tcPr>
          <w:p w14:paraId="066AD66D" w14:textId="77777777" w:rsidR="00DC0B5E" w:rsidRPr="00CC68D6" w:rsidRDefault="00DC0B5E" w:rsidP="000F562F">
            <w:pPr>
              <w:pStyle w:val="Tablebody"/>
              <w:jc w:val="center"/>
            </w:pPr>
            <w:r>
              <w:t xml:space="preserve">0.35 </w:t>
            </w:r>
            <w:r>
              <w:rPr>
                <w:rFonts w:cs="Arial"/>
              </w:rPr>
              <w:t>±</w:t>
            </w:r>
            <w:r>
              <w:t xml:space="preserve"> 0.08</w:t>
            </w:r>
          </w:p>
        </w:tc>
        <w:tc>
          <w:tcPr>
            <w:tcW w:w="1985" w:type="dxa"/>
            <w:tcBorders>
              <w:top w:val="nil"/>
              <w:left w:val="nil"/>
              <w:bottom w:val="nil"/>
              <w:right w:val="nil"/>
            </w:tcBorders>
            <w:shd w:val="clear" w:color="auto" w:fill="auto"/>
            <w:vAlign w:val="center"/>
          </w:tcPr>
          <w:p w14:paraId="4BB0B816" w14:textId="77777777" w:rsidR="00DC0B5E" w:rsidRPr="00CC68D6" w:rsidRDefault="00DC0B5E" w:rsidP="000F562F">
            <w:pPr>
              <w:pStyle w:val="Tablebody"/>
              <w:jc w:val="center"/>
            </w:pPr>
            <w:r>
              <w:t xml:space="preserve">0.24 </w:t>
            </w:r>
            <w:r>
              <w:rPr>
                <w:rFonts w:cs="Arial"/>
              </w:rPr>
              <w:t>± 0.05</w:t>
            </w:r>
          </w:p>
        </w:tc>
        <w:tc>
          <w:tcPr>
            <w:tcW w:w="2409" w:type="dxa"/>
            <w:tcBorders>
              <w:top w:val="nil"/>
              <w:left w:val="nil"/>
              <w:bottom w:val="nil"/>
              <w:right w:val="nil"/>
            </w:tcBorders>
            <w:vAlign w:val="center"/>
          </w:tcPr>
          <w:p w14:paraId="55930F70" w14:textId="77777777" w:rsidR="00DC0B5E" w:rsidRPr="00CC68D6" w:rsidRDefault="00DC0B5E" w:rsidP="000F562F">
            <w:pPr>
              <w:pStyle w:val="Tablebody"/>
              <w:jc w:val="center"/>
            </w:pPr>
            <w:r>
              <w:t xml:space="preserve">145.2 </w:t>
            </w:r>
            <w:r>
              <w:rPr>
                <w:rFonts w:cs="Arial"/>
              </w:rPr>
              <w:t>± 3.2</w:t>
            </w:r>
          </w:p>
        </w:tc>
      </w:tr>
      <w:tr w:rsidR="00DC0B5E" w14:paraId="0D204659" w14:textId="77777777" w:rsidTr="000F562F">
        <w:tc>
          <w:tcPr>
            <w:tcW w:w="1672" w:type="dxa"/>
            <w:tcBorders>
              <w:top w:val="nil"/>
              <w:left w:val="nil"/>
              <w:bottom w:val="single" w:sz="24" w:space="0" w:color="auto"/>
              <w:right w:val="nil"/>
            </w:tcBorders>
            <w:vAlign w:val="center"/>
          </w:tcPr>
          <w:p w14:paraId="51324E6B" w14:textId="77777777" w:rsidR="00DC0B5E" w:rsidRDefault="00DC0B5E" w:rsidP="000F562F">
            <w:pPr>
              <w:pStyle w:val="Tablebody"/>
              <w:jc w:val="center"/>
            </w:pPr>
            <w:r>
              <w:t>Pt/Vul-C</w:t>
            </w:r>
            <w:r>
              <w:br/>
              <w:t>(with ionomer)</w:t>
            </w:r>
          </w:p>
        </w:tc>
        <w:tc>
          <w:tcPr>
            <w:tcW w:w="1872" w:type="dxa"/>
            <w:tcBorders>
              <w:top w:val="nil"/>
              <w:left w:val="nil"/>
              <w:bottom w:val="single" w:sz="24" w:space="0" w:color="auto"/>
              <w:right w:val="nil"/>
            </w:tcBorders>
            <w:shd w:val="clear" w:color="auto" w:fill="auto"/>
            <w:vAlign w:val="center"/>
          </w:tcPr>
          <w:p w14:paraId="11F7386A" w14:textId="77777777" w:rsidR="00DC0B5E" w:rsidRPr="00CC68D6" w:rsidRDefault="00DC0B5E" w:rsidP="000F562F">
            <w:pPr>
              <w:pStyle w:val="Tablebody"/>
              <w:jc w:val="center"/>
            </w:pPr>
            <w:r>
              <w:t xml:space="preserve">0.036 </w:t>
            </w:r>
            <w:r>
              <w:rPr>
                <w:rFonts w:cs="Arial"/>
              </w:rPr>
              <w:t>± 0.005</w:t>
            </w:r>
            <w:r>
              <w:rPr>
                <w:rFonts w:cs="Arial"/>
              </w:rPr>
              <w:br/>
            </w:r>
            <w:r>
              <w:t>(10.3%)</w:t>
            </w:r>
          </w:p>
        </w:tc>
        <w:tc>
          <w:tcPr>
            <w:tcW w:w="1985" w:type="dxa"/>
            <w:tcBorders>
              <w:top w:val="nil"/>
              <w:left w:val="nil"/>
              <w:bottom w:val="single" w:sz="24" w:space="0" w:color="auto"/>
              <w:right w:val="nil"/>
            </w:tcBorders>
            <w:shd w:val="clear" w:color="auto" w:fill="auto"/>
            <w:vAlign w:val="center"/>
          </w:tcPr>
          <w:p w14:paraId="543BF04E" w14:textId="77777777" w:rsidR="00DC0B5E" w:rsidRPr="00CC68D6" w:rsidRDefault="00DC0B5E" w:rsidP="000F562F">
            <w:pPr>
              <w:pStyle w:val="Tablebody"/>
              <w:jc w:val="center"/>
            </w:pPr>
            <w:r>
              <w:t xml:space="preserve">0.083 </w:t>
            </w:r>
            <w:r>
              <w:rPr>
                <w:rFonts w:cs="Arial"/>
              </w:rPr>
              <w:t>± 0.027</w:t>
            </w:r>
            <w:r>
              <w:rPr>
                <w:rFonts w:cs="Arial"/>
              </w:rPr>
              <w:br/>
            </w:r>
            <w:r>
              <w:t>(34.6%)</w:t>
            </w:r>
          </w:p>
        </w:tc>
        <w:tc>
          <w:tcPr>
            <w:tcW w:w="2409" w:type="dxa"/>
            <w:tcBorders>
              <w:top w:val="nil"/>
              <w:left w:val="nil"/>
              <w:bottom w:val="single" w:sz="24" w:space="0" w:color="auto"/>
              <w:right w:val="nil"/>
            </w:tcBorders>
            <w:vAlign w:val="center"/>
          </w:tcPr>
          <w:p w14:paraId="1A7ECA36" w14:textId="77777777" w:rsidR="00DC0B5E" w:rsidRPr="00CC68D6" w:rsidRDefault="00DC0B5E" w:rsidP="000F562F">
            <w:pPr>
              <w:pStyle w:val="Tablebody"/>
              <w:jc w:val="center"/>
            </w:pPr>
            <w:r>
              <w:t xml:space="preserve">46.7 </w:t>
            </w:r>
            <w:r>
              <w:rPr>
                <w:rFonts w:cs="Arial"/>
              </w:rPr>
              <w:t>± 17.0</w:t>
            </w:r>
            <w:r>
              <w:rPr>
                <w:rFonts w:cs="Arial"/>
              </w:rPr>
              <w:br/>
            </w:r>
            <w:r>
              <w:t>(32.2%)</w:t>
            </w:r>
          </w:p>
        </w:tc>
      </w:tr>
    </w:tbl>
    <w:p w14:paraId="0351AAA8" w14:textId="77777777" w:rsidR="00391A13" w:rsidRPr="0073092C" w:rsidRDefault="00391A13" w:rsidP="00007ABC">
      <w:pPr>
        <w:ind w:firstLine="0"/>
        <w:rPr>
          <w:b/>
        </w:rPr>
      </w:pPr>
    </w:p>
    <w:p w14:paraId="08BC40A5" w14:textId="44718ECB" w:rsidR="00716251" w:rsidRDefault="00C52DDA" w:rsidP="00716251">
      <w:pPr>
        <w:pStyle w:val="Caption"/>
      </w:pPr>
      <w:r w:rsidRPr="001D263F">
        <w:rPr>
          <w:b/>
          <w:bCs/>
          <w:u w:val="single"/>
        </w:rPr>
        <w:t xml:space="preserve">Supplementary Discussion </w:t>
      </w:r>
      <w:r w:rsidRPr="001D263F">
        <w:rPr>
          <w:b/>
          <w:bCs/>
          <w:u w:val="single"/>
        </w:rPr>
        <w:fldChar w:fldCharType="begin"/>
      </w:r>
      <w:r w:rsidRPr="001D263F">
        <w:rPr>
          <w:b/>
          <w:bCs/>
          <w:u w:val="single"/>
        </w:rPr>
        <w:instrText xml:space="preserve"> SEQ Supplementary_Discussion \* ARABIC </w:instrText>
      </w:r>
      <w:r w:rsidRPr="001D263F">
        <w:rPr>
          <w:b/>
          <w:bCs/>
          <w:u w:val="single"/>
        </w:rPr>
        <w:fldChar w:fldCharType="separate"/>
      </w:r>
      <w:r w:rsidR="00C76C3C">
        <w:rPr>
          <w:b/>
          <w:bCs/>
          <w:noProof/>
          <w:u w:val="single"/>
        </w:rPr>
        <w:t>6</w:t>
      </w:r>
      <w:r w:rsidRPr="001D263F">
        <w:rPr>
          <w:b/>
          <w:bCs/>
          <w:u w:val="single"/>
        </w:rPr>
        <w:fldChar w:fldCharType="end"/>
      </w:r>
      <w:r w:rsidR="001434E5" w:rsidRPr="001434E5">
        <w:rPr>
          <w:b/>
          <w:bCs/>
        </w:rPr>
        <w:t xml:space="preserve"> |</w:t>
      </w:r>
      <w:r w:rsidR="001434E5">
        <w:t xml:space="preserve"> </w:t>
      </w:r>
      <w:r w:rsidR="00716251" w:rsidRPr="001D263F">
        <w:rPr>
          <w:i/>
          <w:iCs w:val="0"/>
        </w:rPr>
        <w:t>In situ</w:t>
      </w:r>
      <w:r w:rsidR="00716251">
        <w:t xml:space="preserve"> TEM vs </w:t>
      </w:r>
      <w:r w:rsidR="00716251" w:rsidRPr="001D263F">
        <w:rPr>
          <w:i/>
          <w:iCs w:val="0"/>
        </w:rPr>
        <w:t>ex</w:t>
      </w:r>
      <w:r w:rsidR="004D17E7" w:rsidRPr="001D263F">
        <w:rPr>
          <w:i/>
          <w:iCs w:val="0"/>
        </w:rPr>
        <w:t xml:space="preserve"> </w:t>
      </w:r>
      <w:r w:rsidR="00716251" w:rsidRPr="001D263F">
        <w:rPr>
          <w:i/>
          <w:iCs w:val="0"/>
        </w:rPr>
        <w:t>situ</w:t>
      </w:r>
      <w:r w:rsidR="00716251">
        <w:t xml:space="preserve"> </w:t>
      </w:r>
      <w:r w:rsidR="00437284">
        <w:t xml:space="preserve">tube </w:t>
      </w:r>
      <w:r w:rsidR="00716251">
        <w:t>furnace thermal annealing</w:t>
      </w:r>
    </w:p>
    <w:p w14:paraId="2FB3D1E9" w14:textId="531507D3" w:rsidR="00716251" w:rsidRDefault="00716251" w:rsidP="00716251">
      <w:pPr>
        <w:pStyle w:val="Caption"/>
      </w:pPr>
      <w:r>
        <w:t xml:space="preserve">From XRD pattern as shown in Fig. 2a and </w:t>
      </w:r>
      <w:r w:rsidRPr="0012520E">
        <w:rPr>
          <w:b/>
          <w:bCs/>
        </w:rPr>
        <w:t>Supplementary Fig.</w:t>
      </w:r>
      <w:r w:rsidR="003F351E" w:rsidRPr="0012520E">
        <w:rPr>
          <w:b/>
          <w:bCs/>
        </w:rPr>
        <w:t xml:space="preserve"> </w:t>
      </w:r>
      <w:r w:rsidR="0012520E" w:rsidRPr="0012520E">
        <w:rPr>
          <w:b/>
          <w:bCs/>
        </w:rPr>
        <w:t>28</w:t>
      </w:r>
      <w:r>
        <w:t xml:space="preserve">, after </w:t>
      </w:r>
      <w:r w:rsidRPr="0012520E">
        <w:rPr>
          <w:i/>
          <w:iCs w:val="0"/>
        </w:rPr>
        <w:t>ex situ</w:t>
      </w:r>
      <w:r>
        <w:t xml:space="preserve"> thermal annealing under ambient pressure for 6 h, the PtNi/NiNC catalyst </w:t>
      </w:r>
      <w:r w:rsidR="00257887">
        <w:t xml:space="preserve">after chemical dealloying </w:t>
      </w:r>
      <w:r>
        <w:t xml:space="preserve">continued to show weak diffraction peaks corresponding to crystalline Ni NPs. With an even shorter heating protocol, the </w:t>
      </w:r>
      <w:r w:rsidRPr="0012520E">
        <w:rPr>
          <w:i/>
          <w:iCs w:val="0"/>
        </w:rPr>
        <w:t>in situ</w:t>
      </w:r>
      <w:r>
        <w:t xml:space="preserve"> thermal annealing in the TEM holder appears to induce </w:t>
      </w:r>
      <w:r>
        <w:lastRenderedPageBreak/>
        <w:t xml:space="preserve">more severe changes on our catalyst material compared with </w:t>
      </w:r>
      <w:r w:rsidRPr="0012520E">
        <w:rPr>
          <w:i/>
          <w:iCs w:val="0"/>
        </w:rPr>
        <w:t>ex situ</w:t>
      </w:r>
      <w:r>
        <w:t xml:space="preserve"> annealing. Therefore, we conclude that </w:t>
      </w:r>
      <w:r w:rsidRPr="0012520E">
        <w:rPr>
          <w:i/>
          <w:iCs w:val="0"/>
        </w:rPr>
        <w:t>in situ</w:t>
      </w:r>
      <w:r>
        <w:t xml:space="preserve"> heating condition is much harsher than </w:t>
      </w:r>
      <w:r w:rsidRPr="0012520E">
        <w:rPr>
          <w:i/>
          <w:iCs w:val="0"/>
        </w:rPr>
        <w:t>ex situ</w:t>
      </w:r>
      <w:r>
        <w:t xml:space="preserve"> one, possibly due to the ultralow pressure under vacuum condition. Although there still exists an unavoidable gap between </w:t>
      </w:r>
      <w:r w:rsidRPr="0012520E">
        <w:rPr>
          <w:i/>
          <w:iCs w:val="0"/>
        </w:rPr>
        <w:t>in situ</w:t>
      </w:r>
      <w:r>
        <w:t xml:space="preserve"> heating and </w:t>
      </w:r>
      <w:r w:rsidRPr="0012520E">
        <w:rPr>
          <w:i/>
          <w:iCs w:val="0"/>
        </w:rPr>
        <w:t>ex situ</w:t>
      </w:r>
      <w:r>
        <w:t xml:space="preserve"> annealing experiments, these </w:t>
      </w:r>
      <w:r w:rsidRPr="0012520E">
        <w:rPr>
          <w:i/>
          <w:iCs w:val="0"/>
        </w:rPr>
        <w:t>in situ</w:t>
      </w:r>
      <w:r>
        <w:t xml:space="preserve"> TEM experiment could allow us to obtain some valuable information about how our catalyst material evolves during thermal annealing. In terms of this discrepancy, </w:t>
      </w:r>
      <w:r w:rsidRPr="0012520E">
        <w:rPr>
          <w:i/>
          <w:iCs w:val="0"/>
        </w:rPr>
        <w:t>in situ</w:t>
      </w:r>
      <w:r>
        <w:t xml:space="preserve"> environmental TEM (ETEM) technique could provide a gaseous environment and thus come more closer toward realistic </w:t>
      </w:r>
      <w:r w:rsidRPr="0012520E">
        <w:rPr>
          <w:i/>
          <w:iCs w:val="0"/>
        </w:rPr>
        <w:t>ex situ</w:t>
      </w:r>
      <w:r>
        <w:t xml:space="preserve"> annealing conditions.</w:t>
      </w:r>
      <w:r w:rsidR="00BE53AB">
        <w:fldChar w:fldCharType="begin"/>
      </w:r>
      <w:r w:rsidR="00DC0B5E">
        <w:instrText xml:space="preserve"> ADDIN EN.CITE &lt;EndNote&gt;&lt;Cite&gt;&lt;Author&gt;Wei&lt;/Author&gt;&lt;Year&gt;2018&lt;/Year&gt;&lt;RecNum&gt;3520&lt;/RecNum&gt;&lt;DisplayText&gt;&lt;style face="superscript"&gt;17&lt;/style&gt;&lt;/DisplayText&gt;&lt;record&gt;&lt;rec-number&gt;3520&lt;/rec-number&gt;&lt;foreign-keys&gt;&lt;key app="EN" db-id="rd9a2saf9vxvsxeatrpxars890rsapsep9r9" timestamp="1568801581"&gt;3520&lt;/key&gt;&lt;/foreign-keys&gt;&lt;ref-type name="Journal Article"&gt;17&lt;/ref-type&gt;&lt;contributors&gt;&lt;authors&gt;&lt;author&gt;Wei, Shengjie&lt;/author&gt;&lt;author&gt;Li, Ang&lt;/author&gt;&lt;author&gt;Liu, Jin-Cheng&lt;/author&gt;&lt;author&gt;Li, Zhi&lt;/author&gt;&lt;author&gt;Chen, Wenxing&lt;/author&gt;&lt;author&gt;Gong, Yue&lt;/author&gt;&lt;author&gt;Zhang, Qinghua&lt;/author&gt;&lt;author&gt;Cheong, Weng-Chon&lt;/author&gt;&lt;author&gt;Wang, Yu&lt;/author&gt;&lt;author&gt;Zheng, Lirong&lt;/author&gt;&lt;author&gt;Xiao, Hai&lt;/author&gt;&lt;author&gt;Chen, Chen&lt;/author&gt;&lt;author&gt;Wang, Dingsheng&lt;/author&gt;&lt;author&gt;Peng, Qing&lt;/author&gt;&lt;author&gt;Gu, Lin&lt;/author&gt;&lt;author&gt;Han, Xiaodong&lt;/author&gt;&lt;author&gt;Li, Jun&lt;/author&gt;&lt;author&gt;Li, Yadong&lt;/author&gt;&lt;/authors&gt;&lt;/contributors&gt;&lt;titles&gt;&lt;title&gt;Direct observation of noble metal nanoparticles transforming to thermally stable single atoms&lt;/title&gt;&lt;secondary-title&gt;Nature Nanotechnology&lt;/secondary-title&gt;&lt;/titles&gt;&lt;periodical&gt;&lt;full-title&gt;Nature Nanotechnology&lt;/full-title&gt;&lt;abbr-1&gt;Nat. Nanotechnol.&lt;/abbr-1&gt;&lt;/periodical&gt;&lt;pages&gt;856–861&lt;/pages&gt;&lt;volume&gt;13&lt;/volume&gt;&lt;number&gt;9&lt;/number&gt;&lt;dates&gt;&lt;year&gt;2018&lt;/year&gt;&lt;pub-dates&gt;&lt;date&gt;2018/09/01&lt;/date&gt;&lt;/pub-dates&gt;&lt;/dates&gt;&lt;isbn&gt;1748-3395&lt;/isbn&gt;&lt;urls&gt;&lt;related-urls&gt;&lt;url&gt;https://doi.org/10.1038/s41565-018-0197-9&lt;/url&gt;&lt;/related-urls&gt;&lt;/urls&gt;&lt;electronic-resource-num&gt;10.1038/s41565-018-0197-9&lt;/electronic-resource-num&gt;&lt;/record&gt;&lt;/Cite&gt;&lt;/EndNote&gt;</w:instrText>
      </w:r>
      <w:r w:rsidR="00BE53AB">
        <w:fldChar w:fldCharType="separate"/>
      </w:r>
      <w:r w:rsidR="00DC0B5E" w:rsidRPr="00DC0B5E">
        <w:rPr>
          <w:noProof/>
          <w:vertAlign w:val="superscript"/>
        </w:rPr>
        <w:t>17</w:t>
      </w:r>
      <w:r w:rsidR="00BE53AB">
        <w:fldChar w:fldCharType="end"/>
      </w:r>
    </w:p>
    <w:p w14:paraId="5BDD9027" w14:textId="4B66F8EA" w:rsidR="000105CE" w:rsidRDefault="0012520E" w:rsidP="000105CE">
      <w:pPr>
        <w:keepNext/>
        <w:ind w:firstLine="0"/>
      </w:pPr>
      <w:r>
        <w:rPr>
          <w:noProof/>
        </w:rPr>
        <w:drawing>
          <wp:inline distT="0" distB="0" distL="0" distR="0" wp14:anchorId="62C2F407" wp14:editId="79DD5123">
            <wp:extent cx="3600000" cy="288008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00000" cy="2880080"/>
                    </a:xfrm>
                    <a:prstGeom prst="rect">
                      <a:avLst/>
                    </a:prstGeom>
                    <a:noFill/>
                    <a:ln>
                      <a:noFill/>
                    </a:ln>
                  </pic:spPr>
                </pic:pic>
              </a:graphicData>
            </a:graphic>
          </wp:inline>
        </w:drawing>
      </w:r>
    </w:p>
    <w:p w14:paraId="4D8A76D8" w14:textId="209189C6" w:rsidR="00A83C22" w:rsidRDefault="000105CE" w:rsidP="00C76C3C">
      <w:pPr>
        <w:pStyle w:val="Caption"/>
      </w:pPr>
      <w:r w:rsidRPr="00C86B2B">
        <w:rPr>
          <w:b/>
          <w:bCs/>
        </w:rPr>
        <w:t xml:space="preserve">Supplementary Fig. </w:t>
      </w:r>
      <w:r w:rsidRPr="00C86B2B">
        <w:rPr>
          <w:b/>
          <w:bCs/>
        </w:rPr>
        <w:fldChar w:fldCharType="begin"/>
      </w:r>
      <w:r w:rsidRPr="00C86B2B">
        <w:rPr>
          <w:b/>
          <w:bCs/>
        </w:rPr>
        <w:instrText xml:space="preserve"> SEQ Supplementary_Fig. \* ARABIC </w:instrText>
      </w:r>
      <w:r w:rsidRPr="00C86B2B">
        <w:rPr>
          <w:b/>
          <w:bCs/>
        </w:rPr>
        <w:fldChar w:fldCharType="separate"/>
      </w:r>
      <w:r w:rsidR="00C76C3C">
        <w:rPr>
          <w:b/>
          <w:bCs/>
          <w:noProof/>
        </w:rPr>
        <w:t>28</w:t>
      </w:r>
      <w:r w:rsidRPr="00C86B2B">
        <w:rPr>
          <w:b/>
          <w:bCs/>
        </w:rPr>
        <w:fldChar w:fldCharType="end"/>
      </w:r>
      <w:r w:rsidRPr="00C86B2B">
        <w:rPr>
          <w:b/>
          <w:bCs/>
        </w:rPr>
        <w:t xml:space="preserve"> |</w:t>
      </w:r>
      <w:r>
        <w:t xml:space="preserve"> In </w:t>
      </w:r>
      <w:r w:rsidR="00265881">
        <w:t>chemical dealloying</w:t>
      </w:r>
      <w:r>
        <w:t>, as-annealed PtNi/NiNC catalyst was treated with 0.1 M HClO</w:t>
      </w:r>
      <w:r w:rsidRPr="00ED4996">
        <w:rPr>
          <w:vertAlign w:val="subscript"/>
        </w:rPr>
        <w:t>4</w:t>
      </w:r>
      <w:r>
        <w:t xml:space="preserve"> solution at 80 </w:t>
      </w:r>
      <w:r>
        <w:rPr>
          <w:rFonts w:cs="Times New Roman"/>
        </w:rPr>
        <w:t>°</w:t>
      </w:r>
      <w:r>
        <w:t xml:space="preserve">C for 4 h and washed with deionized water for several times. After freeze-drying overnight, the material was </w:t>
      </w:r>
      <w:r>
        <w:rPr>
          <w:rFonts w:cs="Times New Roman"/>
        </w:rPr>
        <w:t xml:space="preserve">annealed under </w:t>
      </w:r>
      <w:bookmarkStart w:id="1" w:name="_Hlk74661660"/>
      <w:r>
        <w:rPr>
          <w:rFonts w:cs="Times New Roman"/>
        </w:rPr>
        <w:t>4% H</w:t>
      </w:r>
      <w:r w:rsidRPr="007C1B44">
        <w:rPr>
          <w:rFonts w:cs="Times New Roman"/>
          <w:vertAlign w:val="subscript"/>
        </w:rPr>
        <w:t>2</w:t>
      </w:r>
      <w:r>
        <w:rPr>
          <w:rFonts w:cs="Times New Roman"/>
        </w:rPr>
        <w:t xml:space="preserve">/Ar </w:t>
      </w:r>
      <w:bookmarkEnd w:id="1"/>
      <w:r>
        <w:rPr>
          <w:rFonts w:cs="Times New Roman"/>
        </w:rPr>
        <w:t>at 500 °</w:t>
      </w:r>
      <w:r>
        <w:t xml:space="preserve">C for 1 h. After </w:t>
      </w:r>
      <w:r w:rsidR="002020CD">
        <w:t>chemical dealloying</w:t>
      </w:r>
      <w:r>
        <w:t xml:space="preserve"> treatment, Ni diffraction peaks as marked by asterisk symbols show greatly weakened</w:t>
      </w:r>
      <w:r w:rsidRPr="009F4F75">
        <w:t xml:space="preserve"> </w:t>
      </w:r>
      <w:r>
        <w:t xml:space="preserve">intensities, but still exist. The weakened intensities of Ni peaks indicate that after heating treatment, some of Ni NPs diffuse through thick carbon shells, </w:t>
      </w:r>
      <w:r w:rsidRPr="00342143">
        <w:t>and could be</w:t>
      </w:r>
      <w:r>
        <w:t xml:space="preserve"> subsequently</w:t>
      </w:r>
      <w:r w:rsidRPr="00342143">
        <w:t xml:space="preserve"> removed by </w:t>
      </w:r>
      <w:r w:rsidR="00FC73DC">
        <w:t>chemical dealloying</w:t>
      </w:r>
      <w:r>
        <w:t xml:space="preserve"> treatment</w:t>
      </w:r>
      <w:r w:rsidRPr="00342143">
        <w:t>.</w:t>
      </w:r>
    </w:p>
    <w:p w14:paraId="68CB1271" w14:textId="77777777" w:rsidR="00BF08AB" w:rsidRPr="00BF08AB" w:rsidRDefault="00BF08AB" w:rsidP="00BF08AB">
      <w:pPr>
        <w:ind w:firstLine="0"/>
        <w:rPr>
          <w:lang w:val="en-US"/>
        </w:rPr>
      </w:pPr>
    </w:p>
    <w:p w14:paraId="6A2FC39B" w14:textId="77777777" w:rsidR="000F49BE" w:rsidRDefault="000F49BE" w:rsidP="00AD7D2B">
      <w:pPr>
        <w:ind w:firstLine="0"/>
        <w:sectPr w:rsidR="000F49BE" w:rsidSect="00480CBE">
          <w:pgSz w:w="11906" w:h="16838"/>
          <w:pgMar w:top="1440" w:right="1440" w:bottom="1440" w:left="1440" w:header="708" w:footer="708" w:gutter="0"/>
          <w:cols w:space="708"/>
          <w:docGrid w:linePitch="360"/>
        </w:sectPr>
      </w:pPr>
    </w:p>
    <w:p w14:paraId="78AC5177" w14:textId="6591C951" w:rsidR="00130E43" w:rsidRPr="008D15F8" w:rsidRDefault="00ED2BC7" w:rsidP="00130E43">
      <w:pPr>
        <w:ind w:firstLine="0"/>
        <w:rPr>
          <w:b/>
          <w:bCs/>
        </w:rPr>
      </w:pPr>
      <w:r w:rsidRPr="00ED2BC7">
        <w:rPr>
          <w:b/>
          <w:bCs/>
          <w:lang w:val="en-US"/>
        </w:rPr>
        <w:lastRenderedPageBreak/>
        <w:t xml:space="preserve">Supplementary </w:t>
      </w:r>
      <w:r w:rsidR="00DE731B" w:rsidRPr="008D15F8">
        <w:rPr>
          <w:b/>
          <w:bCs/>
        </w:rPr>
        <w:t>Vid</w:t>
      </w:r>
      <w:r>
        <w:rPr>
          <w:b/>
          <w:bCs/>
        </w:rPr>
        <w:t>e</w:t>
      </w:r>
      <w:r w:rsidR="00DE731B" w:rsidRPr="008D15F8">
        <w:rPr>
          <w:b/>
          <w:bCs/>
        </w:rPr>
        <w:t>o</w:t>
      </w:r>
      <w:r w:rsidR="00130E43" w:rsidRPr="008D15F8">
        <w:rPr>
          <w:b/>
          <w:bCs/>
        </w:rPr>
        <w:t xml:space="preserve"> 1</w:t>
      </w:r>
    </w:p>
    <w:p w14:paraId="36952560" w14:textId="7545D8D3" w:rsidR="00130E43" w:rsidRDefault="00DE731B" w:rsidP="00130E43">
      <w:pPr>
        <w:ind w:firstLine="0"/>
      </w:pPr>
      <w:r>
        <w:t>Image sequences of Pt/NiNC-7 catalyst during in situ heating TEM.</w:t>
      </w:r>
    </w:p>
    <w:p w14:paraId="46E98E98" w14:textId="42BF0911" w:rsidR="00130E43" w:rsidRPr="008D15F8" w:rsidRDefault="00ED2BC7" w:rsidP="00130E43">
      <w:pPr>
        <w:ind w:firstLine="0"/>
        <w:rPr>
          <w:b/>
          <w:bCs/>
        </w:rPr>
      </w:pPr>
      <w:r w:rsidRPr="00ED2BC7">
        <w:rPr>
          <w:b/>
          <w:bCs/>
          <w:lang w:val="en-US"/>
        </w:rPr>
        <w:t xml:space="preserve">Supplementary </w:t>
      </w:r>
      <w:r w:rsidR="00DE731B" w:rsidRPr="008D15F8">
        <w:rPr>
          <w:b/>
          <w:bCs/>
        </w:rPr>
        <w:t>Video</w:t>
      </w:r>
      <w:r w:rsidR="00130E43" w:rsidRPr="008D15F8">
        <w:rPr>
          <w:b/>
          <w:bCs/>
        </w:rPr>
        <w:t xml:space="preserve"> 2</w:t>
      </w:r>
    </w:p>
    <w:p w14:paraId="12AAA848" w14:textId="63FFDF1B" w:rsidR="00130E43" w:rsidRDefault="008D15F8" w:rsidP="00130E43">
      <w:pPr>
        <w:ind w:firstLine="0"/>
      </w:pPr>
      <w:r>
        <w:t>Image sequences of Pt/NiNC-1 catalyst during in situ heating TEM.</w:t>
      </w:r>
    </w:p>
    <w:p w14:paraId="6A1EEC77" w14:textId="77777777" w:rsidR="00892E20" w:rsidRPr="00130E43" w:rsidRDefault="00892E20" w:rsidP="00130E43">
      <w:pPr>
        <w:ind w:firstLine="0"/>
      </w:pPr>
    </w:p>
    <w:p w14:paraId="69518078" w14:textId="77777777" w:rsidR="00803245" w:rsidRDefault="00803245" w:rsidP="004925F5">
      <w:pPr>
        <w:pStyle w:val="Heading2"/>
        <w:sectPr w:rsidR="00803245" w:rsidSect="00480CBE">
          <w:pgSz w:w="11906" w:h="16838"/>
          <w:pgMar w:top="1440" w:right="1440" w:bottom="1440" w:left="1440" w:header="708" w:footer="708" w:gutter="0"/>
          <w:cols w:space="708"/>
          <w:docGrid w:linePitch="360"/>
        </w:sectPr>
      </w:pPr>
    </w:p>
    <w:p w14:paraId="51924600" w14:textId="518152C7" w:rsidR="00C731DE" w:rsidRDefault="00984F29" w:rsidP="004925F5">
      <w:pPr>
        <w:pStyle w:val="Heading2"/>
      </w:pPr>
      <w:r>
        <w:lastRenderedPageBreak/>
        <w:t>References</w:t>
      </w:r>
    </w:p>
    <w:p w14:paraId="1032EA95" w14:textId="77777777" w:rsidR="000F0631" w:rsidRPr="000F0631" w:rsidRDefault="00C731DE" w:rsidP="000F0631">
      <w:pPr>
        <w:pStyle w:val="EndNoteBibliography"/>
        <w:spacing w:after="0"/>
        <w:ind w:left="720" w:hanging="720"/>
        <w:rPr>
          <w:rFonts w:ascii="Arial" w:hAnsi="Arial" w:cs="Arial"/>
        </w:rPr>
      </w:pPr>
      <w:r>
        <w:fldChar w:fldCharType="begin"/>
      </w:r>
      <w:r w:rsidRPr="009D21A2">
        <w:instrText xml:space="preserve"> ADDIN EN.REFLIST </w:instrText>
      </w:r>
      <w:r>
        <w:fldChar w:fldCharType="separate"/>
      </w:r>
      <w:r w:rsidR="000F0631" w:rsidRPr="000F0631">
        <w:rPr>
          <w:rFonts w:ascii="Arial" w:hAnsi="Arial" w:cs="Arial"/>
        </w:rPr>
        <w:t>1.</w:t>
      </w:r>
      <w:r w:rsidR="000F0631" w:rsidRPr="000F0631">
        <w:rPr>
          <w:rFonts w:ascii="Arial" w:hAnsi="Arial" w:cs="Arial"/>
        </w:rPr>
        <w:tab/>
        <w:t xml:space="preserve">Zitolo, A. et al. Identification of catalytic sites for oxygen reduction in iron- and nitrogen-doped graphene materials. </w:t>
      </w:r>
      <w:r w:rsidR="000F0631" w:rsidRPr="000F0631">
        <w:rPr>
          <w:rFonts w:ascii="Arial" w:hAnsi="Arial" w:cs="Arial"/>
          <w:i/>
        </w:rPr>
        <w:t>Nat. Mater.</w:t>
      </w:r>
      <w:r w:rsidR="000F0631" w:rsidRPr="000F0631">
        <w:rPr>
          <w:rFonts w:ascii="Arial" w:hAnsi="Arial" w:cs="Arial"/>
        </w:rPr>
        <w:t xml:space="preserve"> </w:t>
      </w:r>
      <w:r w:rsidR="000F0631" w:rsidRPr="000F0631">
        <w:rPr>
          <w:rFonts w:ascii="Arial" w:hAnsi="Arial" w:cs="Arial"/>
          <w:b/>
        </w:rPr>
        <w:t>14</w:t>
      </w:r>
      <w:r w:rsidR="000F0631" w:rsidRPr="000F0631">
        <w:rPr>
          <w:rFonts w:ascii="Arial" w:hAnsi="Arial" w:cs="Arial"/>
        </w:rPr>
        <w:t>, 937–942 (2015).</w:t>
      </w:r>
    </w:p>
    <w:p w14:paraId="06D43D40"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2.</w:t>
      </w:r>
      <w:r w:rsidRPr="000F0631">
        <w:rPr>
          <w:rFonts w:ascii="Arial" w:hAnsi="Arial" w:cs="Arial"/>
        </w:rPr>
        <w:tab/>
        <w:t xml:space="preserve">Zitolo, A. et al. Identification of catalytic sites in cobalt-nitrogen-carbon materials for the oxygen reduction reaction. </w:t>
      </w:r>
      <w:r w:rsidRPr="000F0631">
        <w:rPr>
          <w:rFonts w:ascii="Arial" w:hAnsi="Arial" w:cs="Arial"/>
          <w:i/>
        </w:rPr>
        <w:t>Nat. Commun.</w:t>
      </w:r>
      <w:r w:rsidRPr="000F0631">
        <w:rPr>
          <w:rFonts w:ascii="Arial" w:hAnsi="Arial" w:cs="Arial"/>
        </w:rPr>
        <w:t xml:space="preserve"> </w:t>
      </w:r>
      <w:r w:rsidRPr="000F0631">
        <w:rPr>
          <w:rFonts w:ascii="Arial" w:hAnsi="Arial" w:cs="Arial"/>
          <w:b/>
        </w:rPr>
        <w:t>8</w:t>
      </w:r>
      <w:r w:rsidRPr="000F0631">
        <w:rPr>
          <w:rFonts w:ascii="Arial" w:hAnsi="Arial" w:cs="Arial"/>
        </w:rPr>
        <w:t>, 957 (2017).</w:t>
      </w:r>
    </w:p>
    <w:p w14:paraId="3496303C"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3.</w:t>
      </w:r>
      <w:r w:rsidRPr="000F0631">
        <w:rPr>
          <w:rFonts w:ascii="Arial" w:hAnsi="Arial" w:cs="Arial"/>
        </w:rPr>
        <w:tab/>
        <w:t xml:space="preserve">Kodama, K., Nagai, T., Kuwaki, A., Jinnouchi, R., Morimoto, Y. Challenges in applying highly active Pt-based nanostructured catalysts for oxygen reduction reactions to fuel cell vehicles. </w:t>
      </w:r>
      <w:r w:rsidRPr="000F0631">
        <w:rPr>
          <w:rFonts w:ascii="Arial" w:hAnsi="Arial" w:cs="Arial"/>
          <w:i/>
        </w:rPr>
        <w:t>Nat. Nanotechnol.</w:t>
      </w:r>
      <w:r w:rsidRPr="000F0631">
        <w:rPr>
          <w:rFonts w:ascii="Arial" w:hAnsi="Arial" w:cs="Arial"/>
        </w:rPr>
        <w:t xml:space="preserve"> </w:t>
      </w:r>
      <w:r w:rsidRPr="000F0631">
        <w:rPr>
          <w:rFonts w:ascii="Arial" w:hAnsi="Arial" w:cs="Arial"/>
          <w:b/>
        </w:rPr>
        <w:t>16</w:t>
      </w:r>
      <w:r w:rsidRPr="000F0631">
        <w:rPr>
          <w:rFonts w:ascii="Arial" w:hAnsi="Arial" w:cs="Arial"/>
        </w:rPr>
        <w:t>, 140–147 (2021).</w:t>
      </w:r>
    </w:p>
    <w:p w14:paraId="28380DF8"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4.</w:t>
      </w:r>
      <w:r w:rsidRPr="000F0631">
        <w:rPr>
          <w:rFonts w:ascii="Arial" w:hAnsi="Arial" w:cs="Arial"/>
        </w:rPr>
        <w:tab/>
        <w:t xml:space="preserve">Debe, M. K. Electrocatalyst approaches and challenges for automotive fuel cells. </w:t>
      </w:r>
      <w:r w:rsidRPr="000F0631">
        <w:rPr>
          <w:rFonts w:ascii="Arial" w:hAnsi="Arial" w:cs="Arial"/>
          <w:i/>
        </w:rPr>
        <w:t>Nature</w:t>
      </w:r>
      <w:r w:rsidRPr="000F0631">
        <w:rPr>
          <w:rFonts w:ascii="Arial" w:hAnsi="Arial" w:cs="Arial"/>
        </w:rPr>
        <w:t xml:space="preserve"> </w:t>
      </w:r>
      <w:r w:rsidRPr="000F0631">
        <w:rPr>
          <w:rFonts w:ascii="Arial" w:hAnsi="Arial" w:cs="Arial"/>
          <w:b/>
        </w:rPr>
        <w:t>486</w:t>
      </w:r>
      <w:r w:rsidRPr="000F0631">
        <w:rPr>
          <w:rFonts w:ascii="Arial" w:hAnsi="Arial" w:cs="Arial"/>
        </w:rPr>
        <w:t>, 43–51 (2012).</w:t>
      </w:r>
    </w:p>
    <w:p w14:paraId="7784E3F8"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5.</w:t>
      </w:r>
      <w:r w:rsidRPr="000F0631">
        <w:rPr>
          <w:rFonts w:ascii="Arial" w:hAnsi="Arial" w:cs="Arial"/>
        </w:rPr>
        <w:tab/>
        <w:t xml:space="preserve">Zhang, L., Xia, Y. Scaling up the Production of Colloidal Nanocrystals: Should We Increase or Decrease the Reaction Volume? </w:t>
      </w:r>
      <w:r w:rsidRPr="000F0631">
        <w:rPr>
          <w:rFonts w:ascii="Arial" w:hAnsi="Arial" w:cs="Arial"/>
          <w:i/>
        </w:rPr>
        <w:t>Adv. Mater.</w:t>
      </w:r>
      <w:r w:rsidRPr="000F0631">
        <w:rPr>
          <w:rFonts w:ascii="Arial" w:hAnsi="Arial" w:cs="Arial"/>
        </w:rPr>
        <w:t xml:space="preserve"> </w:t>
      </w:r>
      <w:r w:rsidRPr="000F0631">
        <w:rPr>
          <w:rFonts w:ascii="Arial" w:hAnsi="Arial" w:cs="Arial"/>
          <w:b/>
        </w:rPr>
        <w:t>26</w:t>
      </w:r>
      <w:r w:rsidRPr="000F0631">
        <w:rPr>
          <w:rFonts w:ascii="Arial" w:hAnsi="Arial" w:cs="Arial"/>
        </w:rPr>
        <w:t>, 2600–2606 (2014).</w:t>
      </w:r>
    </w:p>
    <w:p w14:paraId="3B9F234F"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6.</w:t>
      </w:r>
      <w:r w:rsidRPr="000F0631">
        <w:rPr>
          <w:rFonts w:ascii="Arial" w:hAnsi="Arial" w:cs="Arial"/>
        </w:rPr>
        <w:tab/>
        <w:t xml:space="preserve">Niu, G., Ruditskiy, A., Vara, M., Xia, Y. Toward continuous and scalable production of colloidal nanocrystals by switching from batch to droplet reactors. </w:t>
      </w:r>
      <w:r w:rsidRPr="000F0631">
        <w:rPr>
          <w:rFonts w:ascii="Arial" w:hAnsi="Arial" w:cs="Arial"/>
          <w:i/>
        </w:rPr>
        <w:t>Chem. Soc. Rev.</w:t>
      </w:r>
      <w:r w:rsidRPr="000F0631">
        <w:rPr>
          <w:rFonts w:ascii="Arial" w:hAnsi="Arial" w:cs="Arial"/>
        </w:rPr>
        <w:t xml:space="preserve"> </w:t>
      </w:r>
      <w:r w:rsidRPr="000F0631">
        <w:rPr>
          <w:rFonts w:ascii="Arial" w:hAnsi="Arial" w:cs="Arial"/>
          <w:b/>
        </w:rPr>
        <w:t>44</w:t>
      </w:r>
      <w:r w:rsidRPr="000F0631">
        <w:rPr>
          <w:rFonts w:ascii="Arial" w:hAnsi="Arial" w:cs="Arial"/>
        </w:rPr>
        <w:t>, 5806–5820 (2015).</w:t>
      </w:r>
    </w:p>
    <w:p w14:paraId="4793EEA4"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7.</w:t>
      </w:r>
      <w:r w:rsidRPr="000F0631">
        <w:rPr>
          <w:rFonts w:ascii="Arial" w:hAnsi="Arial" w:cs="Arial"/>
        </w:rPr>
        <w:tab/>
        <w:t xml:space="preserve">Roy, C. et al. Scalable Synthesis of Carbon-Supported Platinum–Lanthanide and −Rare-Earth Alloys for Oxygen Reduction. </w:t>
      </w:r>
      <w:r w:rsidRPr="000F0631">
        <w:rPr>
          <w:rFonts w:ascii="Arial" w:hAnsi="Arial" w:cs="Arial"/>
          <w:i/>
        </w:rPr>
        <w:t>ACS Catal.</w:t>
      </w:r>
      <w:r w:rsidRPr="000F0631">
        <w:rPr>
          <w:rFonts w:ascii="Arial" w:hAnsi="Arial" w:cs="Arial"/>
        </w:rPr>
        <w:t xml:space="preserve"> </w:t>
      </w:r>
      <w:r w:rsidRPr="000F0631">
        <w:rPr>
          <w:rFonts w:ascii="Arial" w:hAnsi="Arial" w:cs="Arial"/>
          <w:b/>
        </w:rPr>
        <w:t>8</w:t>
      </w:r>
      <w:r w:rsidRPr="000F0631">
        <w:rPr>
          <w:rFonts w:ascii="Arial" w:hAnsi="Arial" w:cs="Arial"/>
        </w:rPr>
        <w:t>, 2071–2080 (2018).</w:t>
      </w:r>
    </w:p>
    <w:p w14:paraId="7FFEE5B7"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8.</w:t>
      </w:r>
      <w:r w:rsidRPr="000F0631">
        <w:rPr>
          <w:rFonts w:ascii="Arial" w:hAnsi="Arial" w:cs="Arial"/>
        </w:rPr>
        <w:tab/>
        <w:t xml:space="preserve">Duan, H., Wang, D., Li, Y. Green chemistry for nanoparticle synthesis. </w:t>
      </w:r>
      <w:r w:rsidRPr="000F0631">
        <w:rPr>
          <w:rFonts w:ascii="Arial" w:hAnsi="Arial" w:cs="Arial"/>
          <w:i/>
        </w:rPr>
        <w:t>Chem. Soc. Rev.</w:t>
      </w:r>
      <w:r w:rsidRPr="000F0631">
        <w:rPr>
          <w:rFonts w:ascii="Arial" w:hAnsi="Arial" w:cs="Arial"/>
        </w:rPr>
        <w:t xml:space="preserve"> </w:t>
      </w:r>
      <w:r w:rsidRPr="000F0631">
        <w:rPr>
          <w:rFonts w:ascii="Arial" w:hAnsi="Arial" w:cs="Arial"/>
          <w:b/>
        </w:rPr>
        <w:t>44</w:t>
      </w:r>
      <w:r w:rsidRPr="000F0631">
        <w:rPr>
          <w:rFonts w:ascii="Arial" w:hAnsi="Arial" w:cs="Arial"/>
        </w:rPr>
        <w:t>, 5778–5792 (2015).</w:t>
      </w:r>
    </w:p>
    <w:p w14:paraId="6483A86F"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9.</w:t>
      </w:r>
      <w:r w:rsidRPr="000F0631">
        <w:rPr>
          <w:rFonts w:ascii="Arial" w:hAnsi="Arial" w:cs="Arial"/>
        </w:rPr>
        <w:tab/>
        <w:t xml:space="preserve">Zhang, L. et al. Continuous and Scalable Production of Well-Controlled Noble-Metal Nanocrystals in Milliliter-Sized Droplet Reactors. </w:t>
      </w:r>
      <w:r w:rsidRPr="000F0631">
        <w:rPr>
          <w:rFonts w:ascii="Arial" w:hAnsi="Arial" w:cs="Arial"/>
          <w:i/>
        </w:rPr>
        <w:t>Nano Lett.</w:t>
      </w:r>
      <w:r w:rsidRPr="000F0631">
        <w:rPr>
          <w:rFonts w:ascii="Arial" w:hAnsi="Arial" w:cs="Arial"/>
        </w:rPr>
        <w:t xml:space="preserve"> </w:t>
      </w:r>
      <w:r w:rsidRPr="000F0631">
        <w:rPr>
          <w:rFonts w:ascii="Arial" w:hAnsi="Arial" w:cs="Arial"/>
          <w:b/>
        </w:rPr>
        <w:t>14</w:t>
      </w:r>
      <w:r w:rsidRPr="000F0631">
        <w:rPr>
          <w:rFonts w:ascii="Arial" w:hAnsi="Arial" w:cs="Arial"/>
        </w:rPr>
        <w:t>, 6626–6631 (2014).</w:t>
      </w:r>
    </w:p>
    <w:p w14:paraId="5A366DF6"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10.</w:t>
      </w:r>
      <w:r w:rsidRPr="000F0631">
        <w:rPr>
          <w:rFonts w:ascii="Arial" w:hAnsi="Arial" w:cs="Arial"/>
        </w:rPr>
        <w:tab/>
        <w:t xml:space="preserve">Niu, G. et al. Synthesis of Pt–Ni Octahedra in Continuous-Flow Droplet Reactors for the Scalable Production of Highly Active Catalysts toward Oxygen Reduction. </w:t>
      </w:r>
      <w:r w:rsidRPr="000F0631">
        <w:rPr>
          <w:rFonts w:ascii="Arial" w:hAnsi="Arial" w:cs="Arial"/>
          <w:i/>
        </w:rPr>
        <w:t>Nano Lett.</w:t>
      </w:r>
      <w:r w:rsidRPr="000F0631">
        <w:rPr>
          <w:rFonts w:ascii="Arial" w:hAnsi="Arial" w:cs="Arial"/>
        </w:rPr>
        <w:t xml:space="preserve"> </w:t>
      </w:r>
      <w:r w:rsidRPr="000F0631">
        <w:rPr>
          <w:rFonts w:ascii="Arial" w:hAnsi="Arial" w:cs="Arial"/>
          <w:b/>
        </w:rPr>
        <w:t>16</w:t>
      </w:r>
      <w:r w:rsidRPr="000F0631">
        <w:rPr>
          <w:rFonts w:ascii="Arial" w:hAnsi="Arial" w:cs="Arial"/>
        </w:rPr>
        <w:t>, 3850–3857 (2016).</w:t>
      </w:r>
    </w:p>
    <w:p w14:paraId="63880A5F"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11.</w:t>
      </w:r>
      <w:r w:rsidRPr="000F0631">
        <w:rPr>
          <w:rFonts w:ascii="Arial" w:hAnsi="Arial" w:cs="Arial"/>
        </w:rPr>
        <w:tab/>
        <w:t xml:space="preserve">DeGraef, M., McHenry, M. E. </w:t>
      </w:r>
      <w:r w:rsidRPr="000F0631">
        <w:rPr>
          <w:rFonts w:ascii="Arial" w:hAnsi="Arial" w:cs="Arial"/>
          <w:i/>
        </w:rPr>
        <w:t>Structure of Materials: An Introduction to Crystallography, Diffraction, and Symmetry</w:t>
      </w:r>
      <w:r w:rsidRPr="000F0631">
        <w:rPr>
          <w:rFonts w:ascii="Arial" w:hAnsi="Arial" w:cs="Arial"/>
        </w:rPr>
        <w:t>. Cambrige University Press: Cambridge, 2007.</w:t>
      </w:r>
    </w:p>
    <w:p w14:paraId="08A2D59D"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12.</w:t>
      </w:r>
      <w:r w:rsidRPr="000F0631">
        <w:rPr>
          <w:rFonts w:ascii="Arial" w:hAnsi="Arial" w:cs="Arial"/>
        </w:rPr>
        <w:tab/>
        <w:t xml:space="preserve">Cullity, B. D., Stock, S. R. </w:t>
      </w:r>
      <w:r w:rsidRPr="000F0631">
        <w:rPr>
          <w:rFonts w:ascii="Arial" w:hAnsi="Arial" w:cs="Arial"/>
          <w:i/>
        </w:rPr>
        <w:t>Elements of X ray diffraction</w:t>
      </w:r>
      <w:r w:rsidRPr="000F0631">
        <w:rPr>
          <w:rFonts w:ascii="Arial" w:hAnsi="Arial" w:cs="Arial"/>
        </w:rPr>
        <w:t>, 3 edn. Prentice Hall: New York, 2001.</w:t>
      </w:r>
    </w:p>
    <w:p w14:paraId="191C9A2E"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13.</w:t>
      </w:r>
      <w:r w:rsidRPr="000F0631">
        <w:rPr>
          <w:rFonts w:ascii="Arial" w:hAnsi="Arial" w:cs="Arial"/>
        </w:rPr>
        <w:tab/>
        <w:t xml:space="preserve">Calle-Vallejo, F., Martínez, J. I., Rossmeisl, J. Density functional studies of functionalized graphitic materials with late transition metals for oxygen reduction reactions. </w:t>
      </w:r>
      <w:r w:rsidRPr="000F0631">
        <w:rPr>
          <w:rFonts w:ascii="Arial" w:hAnsi="Arial" w:cs="Arial"/>
          <w:i/>
        </w:rPr>
        <w:t>Phys. Chem. Chem. Phys.</w:t>
      </w:r>
      <w:r w:rsidRPr="000F0631">
        <w:rPr>
          <w:rFonts w:ascii="Arial" w:hAnsi="Arial" w:cs="Arial"/>
        </w:rPr>
        <w:t xml:space="preserve"> </w:t>
      </w:r>
      <w:r w:rsidRPr="000F0631">
        <w:rPr>
          <w:rFonts w:ascii="Arial" w:hAnsi="Arial" w:cs="Arial"/>
          <w:b/>
        </w:rPr>
        <w:t>13</w:t>
      </w:r>
      <w:r w:rsidRPr="000F0631">
        <w:rPr>
          <w:rFonts w:ascii="Arial" w:hAnsi="Arial" w:cs="Arial"/>
        </w:rPr>
        <w:t>, 15639–15643 (2011).</w:t>
      </w:r>
    </w:p>
    <w:p w14:paraId="15D1FAA3"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14.</w:t>
      </w:r>
      <w:r w:rsidRPr="000F0631">
        <w:rPr>
          <w:rFonts w:ascii="Arial" w:hAnsi="Arial" w:cs="Arial"/>
        </w:rPr>
        <w:tab/>
        <w:t xml:space="preserve">Luo, F. et al. P-block single-metal-site tin/nitrogen-doped carbon fuel cell cathode catalyst for oxygen reduction reaction. </w:t>
      </w:r>
      <w:r w:rsidRPr="000F0631">
        <w:rPr>
          <w:rFonts w:ascii="Arial" w:hAnsi="Arial" w:cs="Arial"/>
          <w:i/>
        </w:rPr>
        <w:t>Nat. Mater.</w:t>
      </w:r>
      <w:r w:rsidRPr="000F0631">
        <w:rPr>
          <w:rFonts w:ascii="Arial" w:hAnsi="Arial" w:cs="Arial"/>
        </w:rPr>
        <w:t xml:space="preserve"> </w:t>
      </w:r>
      <w:r w:rsidRPr="000F0631">
        <w:rPr>
          <w:rFonts w:ascii="Arial" w:hAnsi="Arial" w:cs="Arial"/>
          <w:b/>
        </w:rPr>
        <w:t>19</w:t>
      </w:r>
      <w:r w:rsidRPr="000F0631">
        <w:rPr>
          <w:rFonts w:ascii="Arial" w:hAnsi="Arial" w:cs="Arial"/>
        </w:rPr>
        <w:t>, 1215–1223 (2020).</w:t>
      </w:r>
    </w:p>
    <w:p w14:paraId="2F4BFEAA"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15.</w:t>
      </w:r>
      <w:r w:rsidRPr="000F0631">
        <w:rPr>
          <w:rFonts w:ascii="Arial" w:hAnsi="Arial" w:cs="Arial"/>
        </w:rPr>
        <w:tab/>
        <w:t xml:space="preserve">Ott, S. et al. Ionomer distribution control in porous carbon-supported catalyst layers for high-power and low Pt-loaded proton exchange membrane fuel cells. </w:t>
      </w:r>
      <w:r w:rsidRPr="000F0631">
        <w:rPr>
          <w:rFonts w:ascii="Arial" w:hAnsi="Arial" w:cs="Arial"/>
          <w:i/>
        </w:rPr>
        <w:t>Nat. Mater.</w:t>
      </w:r>
      <w:r w:rsidRPr="000F0631">
        <w:rPr>
          <w:rFonts w:ascii="Arial" w:hAnsi="Arial" w:cs="Arial"/>
        </w:rPr>
        <w:t xml:space="preserve"> </w:t>
      </w:r>
      <w:r w:rsidRPr="000F0631">
        <w:rPr>
          <w:rFonts w:ascii="Arial" w:hAnsi="Arial" w:cs="Arial"/>
          <w:b/>
        </w:rPr>
        <w:t>19</w:t>
      </w:r>
      <w:r w:rsidRPr="000F0631">
        <w:rPr>
          <w:rFonts w:ascii="Arial" w:hAnsi="Arial" w:cs="Arial"/>
        </w:rPr>
        <w:t>, 77–85 (2019).</w:t>
      </w:r>
    </w:p>
    <w:p w14:paraId="65CB4D05" w14:textId="77777777" w:rsidR="000F0631" w:rsidRPr="000F0631" w:rsidRDefault="000F0631" w:rsidP="000F0631">
      <w:pPr>
        <w:pStyle w:val="EndNoteBibliography"/>
        <w:spacing w:after="0"/>
        <w:ind w:left="720" w:hanging="720"/>
        <w:rPr>
          <w:rFonts w:ascii="Arial" w:hAnsi="Arial" w:cs="Arial"/>
        </w:rPr>
      </w:pPr>
      <w:r w:rsidRPr="000F0631">
        <w:rPr>
          <w:rFonts w:ascii="Arial" w:hAnsi="Arial" w:cs="Arial"/>
        </w:rPr>
        <w:t>16.</w:t>
      </w:r>
      <w:r w:rsidRPr="000F0631">
        <w:rPr>
          <w:rFonts w:ascii="Arial" w:hAnsi="Arial" w:cs="Arial"/>
        </w:rPr>
        <w:tab/>
        <w:t xml:space="preserve">Yarlagadda, V. et al. Boosting Fuel Cell Performance with Accessible Carbon Mesopores. </w:t>
      </w:r>
      <w:r w:rsidRPr="000F0631">
        <w:rPr>
          <w:rFonts w:ascii="Arial" w:hAnsi="Arial" w:cs="Arial"/>
          <w:i/>
        </w:rPr>
        <w:t>ACS Energy Lett.</w:t>
      </w:r>
      <w:r w:rsidRPr="000F0631">
        <w:rPr>
          <w:rFonts w:ascii="Arial" w:hAnsi="Arial" w:cs="Arial"/>
        </w:rPr>
        <w:t xml:space="preserve"> </w:t>
      </w:r>
      <w:r w:rsidRPr="000F0631">
        <w:rPr>
          <w:rFonts w:ascii="Arial" w:hAnsi="Arial" w:cs="Arial"/>
          <w:b/>
        </w:rPr>
        <w:t>3</w:t>
      </w:r>
      <w:r w:rsidRPr="000F0631">
        <w:rPr>
          <w:rFonts w:ascii="Arial" w:hAnsi="Arial" w:cs="Arial"/>
        </w:rPr>
        <w:t>, 618–621 (2018).</w:t>
      </w:r>
    </w:p>
    <w:p w14:paraId="6DA0AD8B" w14:textId="77777777" w:rsidR="000F0631" w:rsidRPr="000F0631" w:rsidRDefault="000F0631" w:rsidP="000F0631">
      <w:pPr>
        <w:pStyle w:val="EndNoteBibliography"/>
        <w:ind w:left="720" w:hanging="720"/>
        <w:rPr>
          <w:rFonts w:ascii="Arial" w:hAnsi="Arial" w:cs="Arial"/>
        </w:rPr>
      </w:pPr>
      <w:r w:rsidRPr="000F0631">
        <w:rPr>
          <w:rFonts w:ascii="Arial" w:hAnsi="Arial" w:cs="Arial"/>
        </w:rPr>
        <w:t>17.</w:t>
      </w:r>
      <w:r w:rsidRPr="000F0631">
        <w:rPr>
          <w:rFonts w:ascii="Arial" w:hAnsi="Arial" w:cs="Arial"/>
        </w:rPr>
        <w:tab/>
        <w:t xml:space="preserve">Wei, S. et al. Direct observation of noble metal nanoparticles transforming to thermally stable single atoms. </w:t>
      </w:r>
      <w:r w:rsidRPr="000F0631">
        <w:rPr>
          <w:rFonts w:ascii="Arial" w:hAnsi="Arial" w:cs="Arial"/>
          <w:i/>
        </w:rPr>
        <w:t>Nat. Nanotechnol.</w:t>
      </w:r>
      <w:r w:rsidRPr="000F0631">
        <w:rPr>
          <w:rFonts w:ascii="Arial" w:hAnsi="Arial" w:cs="Arial"/>
        </w:rPr>
        <w:t xml:space="preserve"> </w:t>
      </w:r>
      <w:r w:rsidRPr="000F0631">
        <w:rPr>
          <w:rFonts w:ascii="Arial" w:hAnsi="Arial" w:cs="Arial"/>
          <w:b/>
        </w:rPr>
        <w:t>13</w:t>
      </w:r>
      <w:r w:rsidRPr="000F0631">
        <w:rPr>
          <w:rFonts w:ascii="Arial" w:hAnsi="Arial" w:cs="Arial"/>
        </w:rPr>
        <w:t>, 856–861 (2018).</w:t>
      </w:r>
    </w:p>
    <w:p w14:paraId="71CF2071" w14:textId="34F5C717" w:rsidR="00984F29" w:rsidRPr="00984F29" w:rsidRDefault="00C731DE" w:rsidP="00984F29">
      <w:r>
        <w:fldChar w:fldCharType="end"/>
      </w:r>
    </w:p>
    <w:sectPr w:rsidR="00984F29" w:rsidRPr="00984F29" w:rsidSect="00480C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aterials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9a2saf9vxvsxeatrpxars890rsapsep9r9&quot;&gt;My EndNote Library&lt;record-ids&gt;&lt;item&gt;3518&lt;/item&gt;&lt;item&gt;3520&lt;/item&gt;&lt;item&gt;3751&lt;/item&gt;&lt;item&gt;3882&lt;/item&gt;&lt;item&gt;3982&lt;/item&gt;&lt;item&gt;3985&lt;/item&gt;&lt;item&gt;4005&lt;/item&gt;&lt;item&gt;4024&lt;/item&gt;&lt;item&gt;4027&lt;/item&gt;&lt;item&gt;4045&lt;/item&gt;&lt;item&gt;4049&lt;/item&gt;&lt;item&gt;4051&lt;/item&gt;&lt;item&gt;4055&lt;/item&gt;&lt;item&gt;4056&lt;/item&gt;&lt;item&gt;4063&lt;/item&gt;&lt;item&gt;4064&lt;/item&gt;&lt;item&gt;4086&lt;/item&gt;&lt;/record-ids&gt;&lt;/item&gt;&lt;/Libraries&gt;"/>
  </w:docVars>
  <w:rsids>
    <w:rsidRoot w:val="00660DC8"/>
    <w:rsid w:val="0000248A"/>
    <w:rsid w:val="000037C1"/>
    <w:rsid w:val="000038EE"/>
    <w:rsid w:val="00003AEE"/>
    <w:rsid w:val="00004AD3"/>
    <w:rsid w:val="0000731B"/>
    <w:rsid w:val="00007ABC"/>
    <w:rsid w:val="00007C2D"/>
    <w:rsid w:val="000105CE"/>
    <w:rsid w:val="000120E6"/>
    <w:rsid w:val="000128F6"/>
    <w:rsid w:val="00012B02"/>
    <w:rsid w:val="00012EF2"/>
    <w:rsid w:val="00013E2D"/>
    <w:rsid w:val="00017C0D"/>
    <w:rsid w:val="000207AE"/>
    <w:rsid w:val="000210C9"/>
    <w:rsid w:val="00021449"/>
    <w:rsid w:val="00023652"/>
    <w:rsid w:val="00026D3A"/>
    <w:rsid w:val="000302B6"/>
    <w:rsid w:val="0003056B"/>
    <w:rsid w:val="00031483"/>
    <w:rsid w:val="00031565"/>
    <w:rsid w:val="00032ECA"/>
    <w:rsid w:val="00033EC4"/>
    <w:rsid w:val="00034C66"/>
    <w:rsid w:val="00035A13"/>
    <w:rsid w:val="00037A22"/>
    <w:rsid w:val="00041D2F"/>
    <w:rsid w:val="00041EC5"/>
    <w:rsid w:val="000420FA"/>
    <w:rsid w:val="000442DC"/>
    <w:rsid w:val="000456D3"/>
    <w:rsid w:val="000458C7"/>
    <w:rsid w:val="00045DDB"/>
    <w:rsid w:val="00046EC5"/>
    <w:rsid w:val="00047726"/>
    <w:rsid w:val="000513A6"/>
    <w:rsid w:val="00052B71"/>
    <w:rsid w:val="00054669"/>
    <w:rsid w:val="00055459"/>
    <w:rsid w:val="00056FA5"/>
    <w:rsid w:val="000571EC"/>
    <w:rsid w:val="00060169"/>
    <w:rsid w:val="000607F0"/>
    <w:rsid w:val="0006087A"/>
    <w:rsid w:val="00061A63"/>
    <w:rsid w:val="00064859"/>
    <w:rsid w:val="0006507D"/>
    <w:rsid w:val="00065E32"/>
    <w:rsid w:val="00067337"/>
    <w:rsid w:val="000702AB"/>
    <w:rsid w:val="00072735"/>
    <w:rsid w:val="00072849"/>
    <w:rsid w:val="00073211"/>
    <w:rsid w:val="00074814"/>
    <w:rsid w:val="00075B93"/>
    <w:rsid w:val="00080BB1"/>
    <w:rsid w:val="000810D5"/>
    <w:rsid w:val="00081CB3"/>
    <w:rsid w:val="00083AAB"/>
    <w:rsid w:val="00083B90"/>
    <w:rsid w:val="000921C9"/>
    <w:rsid w:val="00093002"/>
    <w:rsid w:val="0009366D"/>
    <w:rsid w:val="000969A8"/>
    <w:rsid w:val="000A0034"/>
    <w:rsid w:val="000A158B"/>
    <w:rsid w:val="000A1797"/>
    <w:rsid w:val="000A1E34"/>
    <w:rsid w:val="000A2ABA"/>
    <w:rsid w:val="000A4A60"/>
    <w:rsid w:val="000A7563"/>
    <w:rsid w:val="000B08CA"/>
    <w:rsid w:val="000B12B0"/>
    <w:rsid w:val="000B25A0"/>
    <w:rsid w:val="000B2D79"/>
    <w:rsid w:val="000B3B96"/>
    <w:rsid w:val="000B466D"/>
    <w:rsid w:val="000B54BE"/>
    <w:rsid w:val="000B6666"/>
    <w:rsid w:val="000B6693"/>
    <w:rsid w:val="000B66E7"/>
    <w:rsid w:val="000C254A"/>
    <w:rsid w:val="000C309A"/>
    <w:rsid w:val="000C3A11"/>
    <w:rsid w:val="000C3D06"/>
    <w:rsid w:val="000C4D97"/>
    <w:rsid w:val="000C5413"/>
    <w:rsid w:val="000C71A1"/>
    <w:rsid w:val="000C7E4F"/>
    <w:rsid w:val="000D13DC"/>
    <w:rsid w:val="000D1EDA"/>
    <w:rsid w:val="000D30D6"/>
    <w:rsid w:val="000D54A5"/>
    <w:rsid w:val="000D6336"/>
    <w:rsid w:val="000E1A96"/>
    <w:rsid w:val="000E1AE0"/>
    <w:rsid w:val="000E3BB9"/>
    <w:rsid w:val="000E3D37"/>
    <w:rsid w:val="000E454D"/>
    <w:rsid w:val="000E5662"/>
    <w:rsid w:val="000E5C0C"/>
    <w:rsid w:val="000E770D"/>
    <w:rsid w:val="000E7952"/>
    <w:rsid w:val="000F0277"/>
    <w:rsid w:val="000F0631"/>
    <w:rsid w:val="000F2BD2"/>
    <w:rsid w:val="000F2D99"/>
    <w:rsid w:val="000F35FC"/>
    <w:rsid w:val="000F427D"/>
    <w:rsid w:val="000F49BE"/>
    <w:rsid w:val="000F544E"/>
    <w:rsid w:val="000F57D6"/>
    <w:rsid w:val="001007B5"/>
    <w:rsid w:val="001015E6"/>
    <w:rsid w:val="00101A88"/>
    <w:rsid w:val="00104507"/>
    <w:rsid w:val="00106EF1"/>
    <w:rsid w:val="00107396"/>
    <w:rsid w:val="00107437"/>
    <w:rsid w:val="00107528"/>
    <w:rsid w:val="0011111D"/>
    <w:rsid w:val="00111BD2"/>
    <w:rsid w:val="00111F85"/>
    <w:rsid w:val="00112284"/>
    <w:rsid w:val="00112FC9"/>
    <w:rsid w:val="00113BC5"/>
    <w:rsid w:val="00114B11"/>
    <w:rsid w:val="00115538"/>
    <w:rsid w:val="00120ED0"/>
    <w:rsid w:val="00121150"/>
    <w:rsid w:val="00121175"/>
    <w:rsid w:val="00122C22"/>
    <w:rsid w:val="00122FA4"/>
    <w:rsid w:val="00123833"/>
    <w:rsid w:val="00123FB4"/>
    <w:rsid w:val="001240CD"/>
    <w:rsid w:val="0012520E"/>
    <w:rsid w:val="00125D93"/>
    <w:rsid w:val="00130E43"/>
    <w:rsid w:val="00132964"/>
    <w:rsid w:val="00135881"/>
    <w:rsid w:val="00135D69"/>
    <w:rsid w:val="00137B61"/>
    <w:rsid w:val="001408F4"/>
    <w:rsid w:val="001428A2"/>
    <w:rsid w:val="001434E5"/>
    <w:rsid w:val="00144312"/>
    <w:rsid w:val="001445C1"/>
    <w:rsid w:val="001450DD"/>
    <w:rsid w:val="00145A5A"/>
    <w:rsid w:val="00146B72"/>
    <w:rsid w:val="00146D08"/>
    <w:rsid w:val="0014730C"/>
    <w:rsid w:val="00147B00"/>
    <w:rsid w:val="001501F1"/>
    <w:rsid w:val="001516FA"/>
    <w:rsid w:val="00152E6E"/>
    <w:rsid w:val="0015326C"/>
    <w:rsid w:val="00153B7A"/>
    <w:rsid w:val="001542A2"/>
    <w:rsid w:val="00154F86"/>
    <w:rsid w:val="001565CE"/>
    <w:rsid w:val="00157283"/>
    <w:rsid w:val="001621B3"/>
    <w:rsid w:val="0016420C"/>
    <w:rsid w:val="001648AA"/>
    <w:rsid w:val="00164A3B"/>
    <w:rsid w:val="00164D76"/>
    <w:rsid w:val="0016766C"/>
    <w:rsid w:val="00170824"/>
    <w:rsid w:val="001710A3"/>
    <w:rsid w:val="0017182A"/>
    <w:rsid w:val="00171AF4"/>
    <w:rsid w:val="00171D25"/>
    <w:rsid w:val="0017226E"/>
    <w:rsid w:val="0017488D"/>
    <w:rsid w:val="001765B0"/>
    <w:rsid w:val="001774F1"/>
    <w:rsid w:val="00180171"/>
    <w:rsid w:val="00180A68"/>
    <w:rsid w:val="00180B95"/>
    <w:rsid w:val="00180EE8"/>
    <w:rsid w:val="00181070"/>
    <w:rsid w:val="00182AD8"/>
    <w:rsid w:val="00182BCC"/>
    <w:rsid w:val="001835F9"/>
    <w:rsid w:val="00183704"/>
    <w:rsid w:val="00184BD8"/>
    <w:rsid w:val="001857D9"/>
    <w:rsid w:val="001863E6"/>
    <w:rsid w:val="00187882"/>
    <w:rsid w:val="00192795"/>
    <w:rsid w:val="00192A29"/>
    <w:rsid w:val="00193AAA"/>
    <w:rsid w:val="001947A3"/>
    <w:rsid w:val="001948D0"/>
    <w:rsid w:val="00195808"/>
    <w:rsid w:val="00196991"/>
    <w:rsid w:val="001A125F"/>
    <w:rsid w:val="001A3529"/>
    <w:rsid w:val="001A3A57"/>
    <w:rsid w:val="001A3C72"/>
    <w:rsid w:val="001A4F3F"/>
    <w:rsid w:val="001A5F4B"/>
    <w:rsid w:val="001A717A"/>
    <w:rsid w:val="001B0E07"/>
    <w:rsid w:val="001B2608"/>
    <w:rsid w:val="001B2CB9"/>
    <w:rsid w:val="001B392C"/>
    <w:rsid w:val="001B3FD9"/>
    <w:rsid w:val="001B4856"/>
    <w:rsid w:val="001B56ED"/>
    <w:rsid w:val="001B651D"/>
    <w:rsid w:val="001B6E28"/>
    <w:rsid w:val="001B7AD2"/>
    <w:rsid w:val="001C4EE0"/>
    <w:rsid w:val="001D0121"/>
    <w:rsid w:val="001D263F"/>
    <w:rsid w:val="001D2911"/>
    <w:rsid w:val="001D3538"/>
    <w:rsid w:val="001D5DA4"/>
    <w:rsid w:val="001D6522"/>
    <w:rsid w:val="001D78AC"/>
    <w:rsid w:val="001E1A18"/>
    <w:rsid w:val="001E1FE3"/>
    <w:rsid w:val="001E3E90"/>
    <w:rsid w:val="001E54F6"/>
    <w:rsid w:val="001E6CAB"/>
    <w:rsid w:val="001F055E"/>
    <w:rsid w:val="001F10C0"/>
    <w:rsid w:val="001F11B5"/>
    <w:rsid w:val="001F12D9"/>
    <w:rsid w:val="001F1F68"/>
    <w:rsid w:val="001F2249"/>
    <w:rsid w:val="001F2D2B"/>
    <w:rsid w:val="001F3A6B"/>
    <w:rsid w:val="001F527B"/>
    <w:rsid w:val="001F5872"/>
    <w:rsid w:val="001F5DFD"/>
    <w:rsid w:val="001F65A9"/>
    <w:rsid w:val="001F78CC"/>
    <w:rsid w:val="001F7AF7"/>
    <w:rsid w:val="00201713"/>
    <w:rsid w:val="00201DAB"/>
    <w:rsid w:val="002020CD"/>
    <w:rsid w:val="0020235A"/>
    <w:rsid w:val="0020487E"/>
    <w:rsid w:val="00204C58"/>
    <w:rsid w:val="0020552A"/>
    <w:rsid w:val="0020723E"/>
    <w:rsid w:val="002075CE"/>
    <w:rsid w:val="00207B94"/>
    <w:rsid w:val="00210D15"/>
    <w:rsid w:val="00210D44"/>
    <w:rsid w:val="00210E62"/>
    <w:rsid w:val="00212B1B"/>
    <w:rsid w:val="0021327E"/>
    <w:rsid w:val="002134BF"/>
    <w:rsid w:val="00213925"/>
    <w:rsid w:val="00214F21"/>
    <w:rsid w:val="002201FC"/>
    <w:rsid w:val="00221B1E"/>
    <w:rsid w:val="00223D44"/>
    <w:rsid w:val="002246F9"/>
    <w:rsid w:val="00224E3D"/>
    <w:rsid w:val="00227385"/>
    <w:rsid w:val="00230342"/>
    <w:rsid w:val="002307BB"/>
    <w:rsid w:val="00230BA6"/>
    <w:rsid w:val="00231766"/>
    <w:rsid w:val="002339C7"/>
    <w:rsid w:val="00234CDF"/>
    <w:rsid w:val="00235E0F"/>
    <w:rsid w:val="00240A30"/>
    <w:rsid w:val="00241A97"/>
    <w:rsid w:val="00241CBC"/>
    <w:rsid w:val="00243539"/>
    <w:rsid w:val="00243652"/>
    <w:rsid w:val="002460E6"/>
    <w:rsid w:val="00247D24"/>
    <w:rsid w:val="00250087"/>
    <w:rsid w:val="00251BFE"/>
    <w:rsid w:val="002523FC"/>
    <w:rsid w:val="00253113"/>
    <w:rsid w:val="00254590"/>
    <w:rsid w:val="00254908"/>
    <w:rsid w:val="00257168"/>
    <w:rsid w:val="00257887"/>
    <w:rsid w:val="0026229B"/>
    <w:rsid w:val="0026233E"/>
    <w:rsid w:val="00262D1C"/>
    <w:rsid w:val="0026363A"/>
    <w:rsid w:val="00264057"/>
    <w:rsid w:val="00264574"/>
    <w:rsid w:val="00264ADD"/>
    <w:rsid w:val="00265881"/>
    <w:rsid w:val="002658B3"/>
    <w:rsid w:val="00271DC3"/>
    <w:rsid w:val="00272C6F"/>
    <w:rsid w:val="00273566"/>
    <w:rsid w:val="0027485E"/>
    <w:rsid w:val="002761C7"/>
    <w:rsid w:val="00280386"/>
    <w:rsid w:val="00280456"/>
    <w:rsid w:val="00280E63"/>
    <w:rsid w:val="00281570"/>
    <w:rsid w:val="0028211B"/>
    <w:rsid w:val="002833A1"/>
    <w:rsid w:val="00283BFF"/>
    <w:rsid w:val="00284A94"/>
    <w:rsid w:val="00285BA4"/>
    <w:rsid w:val="002877C7"/>
    <w:rsid w:val="002927D2"/>
    <w:rsid w:val="00296009"/>
    <w:rsid w:val="002977FC"/>
    <w:rsid w:val="00297874"/>
    <w:rsid w:val="00297E0E"/>
    <w:rsid w:val="002A1743"/>
    <w:rsid w:val="002A29E8"/>
    <w:rsid w:val="002A4610"/>
    <w:rsid w:val="002A61B5"/>
    <w:rsid w:val="002A78E0"/>
    <w:rsid w:val="002B06BC"/>
    <w:rsid w:val="002B24F1"/>
    <w:rsid w:val="002B2F0F"/>
    <w:rsid w:val="002B336B"/>
    <w:rsid w:val="002B50A5"/>
    <w:rsid w:val="002B6523"/>
    <w:rsid w:val="002B6B80"/>
    <w:rsid w:val="002C0249"/>
    <w:rsid w:val="002C0AD5"/>
    <w:rsid w:val="002C0F11"/>
    <w:rsid w:val="002C10B3"/>
    <w:rsid w:val="002C213A"/>
    <w:rsid w:val="002C2C3A"/>
    <w:rsid w:val="002C3428"/>
    <w:rsid w:val="002C4105"/>
    <w:rsid w:val="002C44EB"/>
    <w:rsid w:val="002C553B"/>
    <w:rsid w:val="002D05E5"/>
    <w:rsid w:val="002D075A"/>
    <w:rsid w:val="002D0EE8"/>
    <w:rsid w:val="002D1FA0"/>
    <w:rsid w:val="002D1FB2"/>
    <w:rsid w:val="002D1FD7"/>
    <w:rsid w:val="002D31BD"/>
    <w:rsid w:val="002D368F"/>
    <w:rsid w:val="002D43D7"/>
    <w:rsid w:val="002D531D"/>
    <w:rsid w:val="002D63FD"/>
    <w:rsid w:val="002D7ACB"/>
    <w:rsid w:val="002E28C8"/>
    <w:rsid w:val="002E31E9"/>
    <w:rsid w:val="002E381D"/>
    <w:rsid w:val="002E5E4A"/>
    <w:rsid w:val="002E5E9F"/>
    <w:rsid w:val="002E66F3"/>
    <w:rsid w:val="002E6EDE"/>
    <w:rsid w:val="002F0D77"/>
    <w:rsid w:val="002F1013"/>
    <w:rsid w:val="002F1837"/>
    <w:rsid w:val="002F2AF0"/>
    <w:rsid w:val="002F37A5"/>
    <w:rsid w:val="002F38FD"/>
    <w:rsid w:val="002F3F47"/>
    <w:rsid w:val="002F4334"/>
    <w:rsid w:val="002F469D"/>
    <w:rsid w:val="002F4CE6"/>
    <w:rsid w:val="002F509D"/>
    <w:rsid w:val="002F5AFD"/>
    <w:rsid w:val="002F5F24"/>
    <w:rsid w:val="002F622E"/>
    <w:rsid w:val="002F6BBF"/>
    <w:rsid w:val="002F6EA7"/>
    <w:rsid w:val="002F7FC1"/>
    <w:rsid w:val="003008A8"/>
    <w:rsid w:val="003033EE"/>
    <w:rsid w:val="003050BF"/>
    <w:rsid w:val="0030657D"/>
    <w:rsid w:val="0030666C"/>
    <w:rsid w:val="00310CBC"/>
    <w:rsid w:val="0031167E"/>
    <w:rsid w:val="0031346B"/>
    <w:rsid w:val="00313983"/>
    <w:rsid w:val="003140C6"/>
    <w:rsid w:val="0031449A"/>
    <w:rsid w:val="00314616"/>
    <w:rsid w:val="003148C3"/>
    <w:rsid w:val="00314981"/>
    <w:rsid w:val="00314D72"/>
    <w:rsid w:val="00315F19"/>
    <w:rsid w:val="003160F8"/>
    <w:rsid w:val="00317AE4"/>
    <w:rsid w:val="0032056E"/>
    <w:rsid w:val="00322E53"/>
    <w:rsid w:val="00322ECF"/>
    <w:rsid w:val="0032444C"/>
    <w:rsid w:val="003245B0"/>
    <w:rsid w:val="003249DD"/>
    <w:rsid w:val="00325BEA"/>
    <w:rsid w:val="0032687C"/>
    <w:rsid w:val="00331253"/>
    <w:rsid w:val="00331D3B"/>
    <w:rsid w:val="00331E98"/>
    <w:rsid w:val="00332825"/>
    <w:rsid w:val="00334204"/>
    <w:rsid w:val="00334351"/>
    <w:rsid w:val="0033488F"/>
    <w:rsid w:val="00334F8B"/>
    <w:rsid w:val="003353E3"/>
    <w:rsid w:val="003363BE"/>
    <w:rsid w:val="00336AD7"/>
    <w:rsid w:val="00337E64"/>
    <w:rsid w:val="00340119"/>
    <w:rsid w:val="00340D89"/>
    <w:rsid w:val="00341AFE"/>
    <w:rsid w:val="00342143"/>
    <w:rsid w:val="00344D30"/>
    <w:rsid w:val="003460E0"/>
    <w:rsid w:val="00352A22"/>
    <w:rsid w:val="00354D1A"/>
    <w:rsid w:val="00355699"/>
    <w:rsid w:val="00356E5C"/>
    <w:rsid w:val="00357009"/>
    <w:rsid w:val="00357895"/>
    <w:rsid w:val="00357A1A"/>
    <w:rsid w:val="003606D6"/>
    <w:rsid w:val="003620B0"/>
    <w:rsid w:val="0036219F"/>
    <w:rsid w:val="003625FC"/>
    <w:rsid w:val="00362C12"/>
    <w:rsid w:val="003644A7"/>
    <w:rsid w:val="00365215"/>
    <w:rsid w:val="003664A5"/>
    <w:rsid w:val="0037013E"/>
    <w:rsid w:val="00370FC6"/>
    <w:rsid w:val="003726E2"/>
    <w:rsid w:val="003732A6"/>
    <w:rsid w:val="0037346D"/>
    <w:rsid w:val="0037373D"/>
    <w:rsid w:val="00373C95"/>
    <w:rsid w:val="00374F60"/>
    <w:rsid w:val="003762BC"/>
    <w:rsid w:val="0037694A"/>
    <w:rsid w:val="0037778F"/>
    <w:rsid w:val="00380F04"/>
    <w:rsid w:val="003811B5"/>
    <w:rsid w:val="00381FC0"/>
    <w:rsid w:val="00382494"/>
    <w:rsid w:val="0038273B"/>
    <w:rsid w:val="00383627"/>
    <w:rsid w:val="003861D8"/>
    <w:rsid w:val="00390FFD"/>
    <w:rsid w:val="0039131E"/>
    <w:rsid w:val="00391A13"/>
    <w:rsid w:val="00391F13"/>
    <w:rsid w:val="003962F0"/>
    <w:rsid w:val="003969DA"/>
    <w:rsid w:val="003A1522"/>
    <w:rsid w:val="003A3B16"/>
    <w:rsid w:val="003A4229"/>
    <w:rsid w:val="003A4EAA"/>
    <w:rsid w:val="003A5117"/>
    <w:rsid w:val="003A61F7"/>
    <w:rsid w:val="003B0824"/>
    <w:rsid w:val="003B0D3C"/>
    <w:rsid w:val="003B0E92"/>
    <w:rsid w:val="003B1862"/>
    <w:rsid w:val="003B2C70"/>
    <w:rsid w:val="003B4121"/>
    <w:rsid w:val="003B4CBF"/>
    <w:rsid w:val="003B5335"/>
    <w:rsid w:val="003B5A38"/>
    <w:rsid w:val="003B5D50"/>
    <w:rsid w:val="003B6B83"/>
    <w:rsid w:val="003B7CB8"/>
    <w:rsid w:val="003B7F2E"/>
    <w:rsid w:val="003C1B93"/>
    <w:rsid w:val="003C2A09"/>
    <w:rsid w:val="003C2AFA"/>
    <w:rsid w:val="003C2F07"/>
    <w:rsid w:val="003C3A66"/>
    <w:rsid w:val="003C5432"/>
    <w:rsid w:val="003C6512"/>
    <w:rsid w:val="003C7389"/>
    <w:rsid w:val="003C76C2"/>
    <w:rsid w:val="003C7EC9"/>
    <w:rsid w:val="003D02E8"/>
    <w:rsid w:val="003D1774"/>
    <w:rsid w:val="003D19D0"/>
    <w:rsid w:val="003D2054"/>
    <w:rsid w:val="003D2776"/>
    <w:rsid w:val="003D5EA9"/>
    <w:rsid w:val="003D76F2"/>
    <w:rsid w:val="003E01C9"/>
    <w:rsid w:val="003E3294"/>
    <w:rsid w:val="003E32A5"/>
    <w:rsid w:val="003E3EDD"/>
    <w:rsid w:val="003E4119"/>
    <w:rsid w:val="003E49CF"/>
    <w:rsid w:val="003E59E0"/>
    <w:rsid w:val="003E6E6A"/>
    <w:rsid w:val="003E7F3B"/>
    <w:rsid w:val="003F00B8"/>
    <w:rsid w:val="003F2956"/>
    <w:rsid w:val="003F351E"/>
    <w:rsid w:val="003F45C0"/>
    <w:rsid w:val="004001DC"/>
    <w:rsid w:val="004030FD"/>
    <w:rsid w:val="00403501"/>
    <w:rsid w:val="0040472E"/>
    <w:rsid w:val="00406EE9"/>
    <w:rsid w:val="00407F19"/>
    <w:rsid w:val="00411861"/>
    <w:rsid w:val="0041314D"/>
    <w:rsid w:val="00413A40"/>
    <w:rsid w:val="00414D09"/>
    <w:rsid w:val="00415F2D"/>
    <w:rsid w:val="00416D1C"/>
    <w:rsid w:val="00417A85"/>
    <w:rsid w:val="004208AD"/>
    <w:rsid w:val="00422FD1"/>
    <w:rsid w:val="00423FE8"/>
    <w:rsid w:val="00425199"/>
    <w:rsid w:val="00425D83"/>
    <w:rsid w:val="004268DD"/>
    <w:rsid w:val="00430531"/>
    <w:rsid w:val="00430964"/>
    <w:rsid w:val="00432248"/>
    <w:rsid w:val="00432651"/>
    <w:rsid w:val="00432BB8"/>
    <w:rsid w:val="004334A7"/>
    <w:rsid w:val="00434FFC"/>
    <w:rsid w:val="00435059"/>
    <w:rsid w:val="004350BD"/>
    <w:rsid w:val="00437284"/>
    <w:rsid w:val="00437DD9"/>
    <w:rsid w:val="00437F33"/>
    <w:rsid w:val="00442FF2"/>
    <w:rsid w:val="00443407"/>
    <w:rsid w:val="0044378E"/>
    <w:rsid w:val="00443842"/>
    <w:rsid w:val="00443C40"/>
    <w:rsid w:val="0044550F"/>
    <w:rsid w:val="00445C5B"/>
    <w:rsid w:val="004478F7"/>
    <w:rsid w:val="004501E9"/>
    <w:rsid w:val="00451574"/>
    <w:rsid w:val="0045171A"/>
    <w:rsid w:val="00451F37"/>
    <w:rsid w:val="00452B71"/>
    <w:rsid w:val="00455A89"/>
    <w:rsid w:val="00457171"/>
    <w:rsid w:val="004576F2"/>
    <w:rsid w:val="00461A7D"/>
    <w:rsid w:val="004643F9"/>
    <w:rsid w:val="00465BA8"/>
    <w:rsid w:val="0047113E"/>
    <w:rsid w:val="004715BA"/>
    <w:rsid w:val="00472C23"/>
    <w:rsid w:val="00474D64"/>
    <w:rsid w:val="00476ED9"/>
    <w:rsid w:val="00476FC5"/>
    <w:rsid w:val="00477C89"/>
    <w:rsid w:val="00480929"/>
    <w:rsid w:val="00480CBE"/>
    <w:rsid w:val="004811E7"/>
    <w:rsid w:val="0048240C"/>
    <w:rsid w:val="00483BBD"/>
    <w:rsid w:val="00484DD7"/>
    <w:rsid w:val="00486468"/>
    <w:rsid w:val="00486665"/>
    <w:rsid w:val="0048734A"/>
    <w:rsid w:val="00490426"/>
    <w:rsid w:val="00490A55"/>
    <w:rsid w:val="004925F5"/>
    <w:rsid w:val="00492AE0"/>
    <w:rsid w:val="004941A8"/>
    <w:rsid w:val="004949A5"/>
    <w:rsid w:val="00496A71"/>
    <w:rsid w:val="004A188B"/>
    <w:rsid w:val="004A360B"/>
    <w:rsid w:val="004A50FD"/>
    <w:rsid w:val="004A5542"/>
    <w:rsid w:val="004A7A49"/>
    <w:rsid w:val="004B0156"/>
    <w:rsid w:val="004B0985"/>
    <w:rsid w:val="004B0B56"/>
    <w:rsid w:val="004B20DA"/>
    <w:rsid w:val="004B2414"/>
    <w:rsid w:val="004B4E38"/>
    <w:rsid w:val="004B5048"/>
    <w:rsid w:val="004B784E"/>
    <w:rsid w:val="004C1231"/>
    <w:rsid w:val="004C1502"/>
    <w:rsid w:val="004C2843"/>
    <w:rsid w:val="004C5ED1"/>
    <w:rsid w:val="004C6E52"/>
    <w:rsid w:val="004C7BB5"/>
    <w:rsid w:val="004D0B34"/>
    <w:rsid w:val="004D17E7"/>
    <w:rsid w:val="004D1F2A"/>
    <w:rsid w:val="004D2A06"/>
    <w:rsid w:val="004D3743"/>
    <w:rsid w:val="004D37D1"/>
    <w:rsid w:val="004D590C"/>
    <w:rsid w:val="004D6378"/>
    <w:rsid w:val="004D6C46"/>
    <w:rsid w:val="004E0A60"/>
    <w:rsid w:val="004E0C78"/>
    <w:rsid w:val="004E19CB"/>
    <w:rsid w:val="004E2E28"/>
    <w:rsid w:val="004E3876"/>
    <w:rsid w:val="004E484E"/>
    <w:rsid w:val="004E48DB"/>
    <w:rsid w:val="004E54B8"/>
    <w:rsid w:val="004E5647"/>
    <w:rsid w:val="004E57C4"/>
    <w:rsid w:val="004E5982"/>
    <w:rsid w:val="004E63DB"/>
    <w:rsid w:val="004E6816"/>
    <w:rsid w:val="004E70B7"/>
    <w:rsid w:val="004E7F0F"/>
    <w:rsid w:val="004F0F7A"/>
    <w:rsid w:val="004F1201"/>
    <w:rsid w:val="004F1E58"/>
    <w:rsid w:val="004F2471"/>
    <w:rsid w:val="004F26C3"/>
    <w:rsid w:val="004F3340"/>
    <w:rsid w:val="004F3DB2"/>
    <w:rsid w:val="004F3F87"/>
    <w:rsid w:val="004F4937"/>
    <w:rsid w:val="004F736E"/>
    <w:rsid w:val="005008E6"/>
    <w:rsid w:val="00500ED8"/>
    <w:rsid w:val="00502D8E"/>
    <w:rsid w:val="00504174"/>
    <w:rsid w:val="005045BA"/>
    <w:rsid w:val="005051AA"/>
    <w:rsid w:val="00506684"/>
    <w:rsid w:val="005071A1"/>
    <w:rsid w:val="00507FDB"/>
    <w:rsid w:val="00510717"/>
    <w:rsid w:val="00510F22"/>
    <w:rsid w:val="005113F5"/>
    <w:rsid w:val="00512F5C"/>
    <w:rsid w:val="0051614F"/>
    <w:rsid w:val="0051712B"/>
    <w:rsid w:val="00517600"/>
    <w:rsid w:val="00517E0C"/>
    <w:rsid w:val="00520054"/>
    <w:rsid w:val="005200C5"/>
    <w:rsid w:val="00521103"/>
    <w:rsid w:val="005249E3"/>
    <w:rsid w:val="005249E4"/>
    <w:rsid w:val="00524EDD"/>
    <w:rsid w:val="0052507A"/>
    <w:rsid w:val="0052620C"/>
    <w:rsid w:val="00526D5A"/>
    <w:rsid w:val="005335B2"/>
    <w:rsid w:val="00533F65"/>
    <w:rsid w:val="00534A03"/>
    <w:rsid w:val="00535486"/>
    <w:rsid w:val="00537A88"/>
    <w:rsid w:val="00542C0E"/>
    <w:rsid w:val="00543117"/>
    <w:rsid w:val="0054501F"/>
    <w:rsid w:val="00545038"/>
    <w:rsid w:val="00545367"/>
    <w:rsid w:val="005456CD"/>
    <w:rsid w:val="005478F5"/>
    <w:rsid w:val="005519A2"/>
    <w:rsid w:val="00551A37"/>
    <w:rsid w:val="00552F03"/>
    <w:rsid w:val="00553603"/>
    <w:rsid w:val="005538D8"/>
    <w:rsid w:val="005543EA"/>
    <w:rsid w:val="00554D99"/>
    <w:rsid w:val="00555724"/>
    <w:rsid w:val="005562CF"/>
    <w:rsid w:val="00556987"/>
    <w:rsid w:val="0055707F"/>
    <w:rsid w:val="00557874"/>
    <w:rsid w:val="0056096E"/>
    <w:rsid w:val="005619E0"/>
    <w:rsid w:val="00565DB1"/>
    <w:rsid w:val="005661CC"/>
    <w:rsid w:val="0056686F"/>
    <w:rsid w:val="00567010"/>
    <w:rsid w:val="00567AB0"/>
    <w:rsid w:val="005701AB"/>
    <w:rsid w:val="00571DEC"/>
    <w:rsid w:val="00571E72"/>
    <w:rsid w:val="00572ECF"/>
    <w:rsid w:val="00575A4C"/>
    <w:rsid w:val="00575D51"/>
    <w:rsid w:val="005776D6"/>
    <w:rsid w:val="00577F8E"/>
    <w:rsid w:val="005800BE"/>
    <w:rsid w:val="005803A8"/>
    <w:rsid w:val="00580F60"/>
    <w:rsid w:val="005821C4"/>
    <w:rsid w:val="00582465"/>
    <w:rsid w:val="00582C26"/>
    <w:rsid w:val="005832F3"/>
    <w:rsid w:val="00584FD6"/>
    <w:rsid w:val="0058744F"/>
    <w:rsid w:val="00590042"/>
    <w:rsid w:val="005902AE"/>
    <w:rsid w:val="00594219"/>
    <w:rsid w:val="005946A0"/>
    <w:rsid w:val="00594B4D"/>
    <w:rsid w:val="0059702B"/>
    <w:rsid w:val="00597E5E"/>
    <w:rsid w:val="005A00B9"/>
    <w:rsid w:val="005A3EA0"/>
    <w:rsid w:val="005A421F"/>
    <w:rsid w:val="005A4B7D"/>
    <w:rsid w:val="005A54B9"/>
    <w:rsid w:val="005A6B6E"/>
    <w:rsid w:val="005B0EBD"/>
    <w:rsid w:val="005B3479"/>
    <w:rsid w:val="005B441C"/>
    <w:rsid w:val="005B4B0A"/>
    <w:rsid w:val="005B584E"/>
    <w:rsid w:val="005B5BF0"/>
    <w:rsid w:val="005B651B"/>
    <w:rsid w:val="005B651C"/>
    <w:rsid w:val="005B6BE4"/>
    <w:rsid w:val="005B6F82"/>
    <w:rsid w:val="005C01F6"/>
    <w:rsid w:val="005C0B4E"/>
    <w:rsid w:val="005C292E"/>
    <w:rsid w:val="005C4606"/>
    <w:rsid w:val="005C6971"/>
    <w:rsid w:val="005D3010"/>
    <w:rsid w:val="005D4331"/>
    <w:rsid w:val="005D6145"/>
    <w:rsid w:val="005D6615"/>
    <w:rsid w:val="005E042C"/>
    <w:rsid w:val="005E0AF9"/>
    <w:rsid w:val="005E1D0C"/>
    <w:rsid w:val="005E5592"/>
    <w:rsid w:val="005E73B1"/>
    <w:rsid w:val="005E792F"/>
    <w:rsid w:val="005F3015"/>
    <w:rsid w:val="005F47FD"/>
    <w:rsid w:val="005F7352"/>
    <w:rsid w:val="005F77C1"/>
    <w:rsid w:val="005F77D1"/>
    <w:rsid w:val="006014C3"/>
    <w:rsid w:val="006015C3"/>
    <w:rsid w:val="006067AD"/>
    <w:rsid w:val="00612FE5"/>
    <w:rsid w:val="00614469"/>
    <w:rsid w:val="00620263"/>
    <w:rsid w:val="006204FF"/>
    <w:rsid w:val="006206FA"/>
    <w:rsid w:val="0062071F"/>
    <w:rsid w:val="00620FFA"/>
    <w:rsid w:val="00621144"/>
    <w:rsid w:val="00621933"/>
    <w:rsid w:val="00621FE4"/>
    <w:rsid w:val="006231CC"/>
    <w:rsid w:val="00623542"/>
    <w:rsid w:val="00623CE8"/>
    <w:rsid w:val="00624D85"/>
    <w:rsid w:val="00626FC8"/>
    <w:rsid w:val="00627D5F"/>
    <w:rsid w:val="00627D9B"/>
    <w:rsid w:val="0063332A"/>
    <w:rsid w:val="00633AAB"/>
    <w:rsid w:val="00634169"/>
    <w:rsid w:val="00634CE2"/>
    <w:rsid w:val="006350ED"/>
    <w:rsid w:val="00637C0C"/>
    <w:rsid w:val="00640316"/>
    <w:rsid w:val="00640C13"/>
    <w:rsid w:val="00641571"/>
    <w:rsid w:val="0064183A"/>
    <w:rsid w:val="00641893"/>
    <w:rsid w:val="006419B7"/>
    <w:rsid w:val="00642368"/>
    <w:rsid w:val="0064256C"/>
    <w:rsid w:val="0064320A"/>
    <w:rsid w:val="00646A0D"/>
    <w:rsid w:val="00650B77"/>
    <w:rsid w:val="00652193"/>
    <w:rsid w:val="006527AD"/>
    <w:rsid w:val="0065298A"/>
    <w:rsid w:val="0065346F"/>
    <w:rsid w:val="00654D96"/>
    <w:rsid w:val="00656C62"/>
    <w:rsid w:val="006606B0"/>
    <w:rsid w:val="00660CDF"/>
    <w:rsid w:val="00660DC8"/>
    <w:rsid w:val="00661D30"/>
    <w:rsid w:val="00667A41"/>
    <w:rsid w:val="00667A5F"/>
    <w:rsid w:val="00670E51"/>
    <w:rsid w:val="00675595"/>
    <w:rsid w:val="00675A93"/>
    <w:rsid w:val="00680607"/>
    <w:rsid w:val="00682FC4"/>
    <w:rsid w:val="0068401E"/>
    <w:rsid w:val="006843A5"/>
    <w:rsid w:val="00684921"/>
    <w:rsid w:val="00684C9E"/>
    <w:rsid w:val="00685230"/>
    <w:rsid w:val="00687CC1"/>
    <w:rsid w:val="00687E35"/>
    <w:rsid w:val="006947B6"/>
    <w:rsid w:val="006956FA"/>
    <w:rsid w:val="00695853"/>
    <w:rsid w:val="00695F15"/>
    <w:rsid w:val="00696A2A"/>
    <w:rsid w:val="00696C83"/>
    <w:rsid w:val="006A0B6A"/>
    <w:rsid w:val="006A3CAA"/>
    <w:rsid w:val="006A4099"/>
    <w:rsid w:val="006A57A7"/>
    <w:rsid w:val="006A58E2"/>
    <w:rsid w:val="006A5B7A"/>
    <w:rsid w:val="006A5CD9"/>
    <w:rsid w:val="006A5E6E"/>
    <w:rsid w:val="006B07F0"/>
    <w:rsid w:val="006B0855"/>
    <w:rsid w:val="006B265E"/>
    <w:rsid w:val="006B30BB"/>
    <w:rsid w:val="006B4EA5"/>
    <w:rsid w:val="006C0593"/>
    <w:rsid w:val="006C1B04"/>
    <w:rsid w:val="006C3254"/>
    <w:rsid w:val="006C36B5"/>
    <w:rsid w:val="006C3D75"/>
    <w:rsid w:val="006C4781"/>
    <w:rsid w:val="006C4FA6"/>
    <w:rsid w:val="006C51C5"/>
    <w:rsid w:val="006C5FE3"/>
    <w:rsid w:val="006C610C"/>
    <w:rsid w:val="006C6BFF"/>
    <w:rsid w:val="006C76A2"/>
    <w:rsid w:val="006C77DD"/>
    <w:rsid w:val="006C790D"/>
    <w:rsid w:val="006C791A"/>
    <w:rsid w:val="006D0E31"/>
    <w:rsid w:val="006D1012"/>
    <w:rsid w:val="006D16B1"/>
    <w:rsid w:val="006D2985"/>
    <w:rsid w:val="006D7BD6"/>
    <w:rsid w:val="006E013C"/>
    <w:rsid w:val="006E077D"/>
    <w:rsid w:val="006E332F"/>
    <w:rsid w:val="006E446D"/>
    <w:rsid w:val="006E4B6B"/>
    <w:rsid w:val="006E5419"/>
    <w:rsid w:val="006E571F"/>
    <w:rsid w:val="006E575B"/>
    <w:rsid w:val="006E5B00"/>
    <w:rsid w:val="006E5F7D"/>
    <w:rsid w:val="006E618C"/>
    <w:rsid w:val="006E6DDA"/>
    <w:rsid w:val="006E6FA8"/>
    <w:rsid w:val="006F2103"/>
    <w:rsid w:val="006F44B7"/>
    <w:rsid w:val="006F4E37"/>
    <w:rsid w:val="006F5816"/>
    <w:rsid w:val="006F643C"/>
    <w:rsid w:val="006F6A39"/>
    <w:rsid w:val="006F6BD0"/>
    <w:rsid w:val="006F7F99"/>
    <w:rsid w:val="007006C1"/>
    <w:rsid w:val="00701B1A"/>
    <w:rsid w:val="00702FFE"/>
    <w:rsid w:val="007043C9"/>
    <w:rsid w:val="007045F2"/>
    <w:rsid w:val="007059AF"/>
    <w:rsid w:val="0070681A"/>
    <w:rsid w:val="00707110"/>
    <w:rsid w:val="00712AB5"/>
    <w:rsid w:val="0071327D"/>
    <w:rsid w:val="0071435F"/>
    <w:rsid w:val="00716251"/>
    <w:rsid w:val="0072119A"/>
    <w:rsid w:val="007233DE"/>
    <w:rsid w:val="0072554E"/>
    <w:rsid w:val="00725861"/>
    <w:rsid w:val="007259E6"/>
    <w:rsid w:val="00726211"/>
    <w:rsid w:val="007265E8"/>
    <w:rsid w:val="0072790E"/>
    <w:rsid w:val="00730B4F"/>
    <w:rsid w:val="00730C18"/>
    <w:rsid w:val="007313CD"/>
    <w:rsid w:val="00731E58"/>
    <w:rsid w:val="007327D9"/>
    <w:rsid w:val="00732C14"/>
    <w:rsid w:val="00733C36"/>
    <w:rsid w:val="00734F5A"/>
    <w:rsid w:val="00735B8A"/>
    <w:rsid w:val="0073727F"/>
    <w:rsid w:val="00737608"/>
    <w:rsid w:val="00737950"/>
    <w:rsid w:val="00741FC5"/>
    <w:rsid w:val="007423CC"/>
    <w:rsid w:val="007442CA"/>
    <w:rsid w:val="007442ED"/>
    <w:rsid w:val="007458F2"/>
    <w:rsid w:val="00746ECB"/>
    <w:rsid w:val="0075172D"/>
    <w:rsid w:val="00752C02"/>
    <w:rsid w:val="0075317C"/>
    <w:rsid w:val="00755213"/>
    <w:rsid w:val="007572C6"/>
    <w:rsid w:val="007573B6"/>
    <w:rsid w:val="00760207"/>
    <w:rsid w:val="00760600"/>
    <w:rsid w:val="00763068"/>
    <w:rsid w:val="00763A3F"/>
    <w:rsid w:val="00765647"/>
    <w:rsid w:val="0076680E"/>
    <w:rsid w:val="00770AE2"/>
    <w:rsid w:val="00771519"/>
    <w:rsid w:val="00772B6F"/>
    <w:rsid w:val="00773DB8"/>
    <w:rsid w:val="007742D7"/>
    <w:rsid w:val="00775B98"/>
    <w:rsid w:val="00776792"/>
    <w:rsid w:val="00777075"/>
    <w:rsid w:val="007800F1"/>
    <w:rsid w:val="0078052E"/>
    <w:rsid w:val="00780CC4"/>
    <w:rsid w:val="007810DA"/>
    <w:rsid w:val="00782527"/>
    <w:rsid w:val="00785601"/>
    <w:rsid w:val="00786185"/>
    <w:rsid w:val="007910F1"/>
    <w:rsid w:val="00793DC4"/>
    <w:rsid w:val="00793F98"/>
    <w:rsid w:val="00794AEE"/>
    <w:rsid w:val="00795240"/>
    <w:rsid w:val="00795A21"/>
    <w:rsid w:val="007960EF"/>
    <w:rsid w:val="00796338"/>
    <w:rsid w:val="00797710"/>
    <w:rsid w:val="00797B83"/>
    <w:rsid w:val="007A0D76"/>
    <w:rsid w:val="007A0F75"/>
    <w:rsid w:val="007A1B93"/>
    <w:rsid w:val="007A2033"/>
    <w:rsid w:val="007A4D54"/>
    <w:rsid w:val="007A5473"/>
    <w:rsid w:val="007A5E31"/>
    <w:rsid w:val="007A6DBB"/>
    <w:rsid w:val="007B0B15"/>
    <w:rsid w:val="007B2D47"/>
    <w:rsid w:val="007B48CC"/>
    <w:rsid w:val="007B56B8"/>
    <w:rsid w:val="007B58D8"/>
    <w:rsid w:val="007B5A37"/>
    <w:rsid w:val="007B64FC"/>
    <w:rsid w:val="007B6AF8"/>
    <w:rsid w:val="007B7189"/>
    <w:rsid w:val="007B74BC"/>
    <w:rsid w:val="007C0CFC"/>
    <w:rsid w:val="007C128A"/>
    <w:rsid w:val="007C1965"/>
    <w:rsid w:val="007C1B44"/>
    <w:rsid w:val="007C22A2"/>
    <w:rsid w:val="007C255E"/>
    <w:rsid w:val="007C3018"/>
    <w:rsid w:val="007C3461"/>
    <w:rsid w:val="007C3D53"/>
    <w:rsid w:val="007C40BB"/>
    <w:rsid w:val="007C45A7"/>
    <w:rsid w:val="007C5D78"/>
    <w:rsid w:val="007D3645"/>
    <w:rsid w:val="007D4FCD"/>
    <w:rsid w:val="007D4FFD"/>
    <w:rsid w:val="007D622D"/>
    <w:rsid w:val="007D68B8"/>
    <w:rsid w:val="007E12D9"/>
    <w:rsid w:val="007E1F85"/>
    <w:rsid w:val="007E2805"/>
    <w:rsid w:val="007E32A5"/>
    <w:rsid w:val="007E3A06"/>
    <w:rsid w:val="007E3FCA"/>
    <w:rsid w:val="007E5050"/>
    <w:rsid w:val="007E77D8"/>
    <w:rsid w:val="007E7AAD"/>
    <w:rsid w:val="007F24FB"/>
    <w:rsid w:val="007F3DEE"/>
    <w:rsid w:val="007F4710"/>
    <w:rsid w:val="007F5572"/>
    <w:rsid w:val="007F7A61"/>
    <w:rsid w:val="007F7E6D"/>
    <w:rsid w:val="00803245"/>
    <w:rsid w:val="00803285"/>
    <w:rsid w:val="008038A9"/>
    <w:rsid w:val="00806085"/>
    <w:rsid w:val="0081086D"/>
    <w:rsid w:val="00810A53"/>
    <w:rsid w:val="00812811"/>
    <w:rsid w:val="00812B9E"/>
    <w:rsid w:val="008134C9"/>
    <w:rsid w:val="008134FC"/>
    <w:rsid w:val="00815CB3"/>
    <w:rsid w:val="00816732"/>
    <w:rsid w:val="00817935"/>
    <w:rsid w:val="00817B62"/>
    <w:rsid w:val="00821ADF"/>
    <w:rsid w:val="008233F0"/>
    <w:rsid w:val="00823D3E"/>
    <w:rsid w:val="0082407B"/>
    <w:rsid w:val="008244F9"/>
    <w:rsid w:val="00825BF7"/>
    <w:rsid w:val="00826AE6"/>
    <w:rsid w:val="008275CB"/>
    <w:rsid w:val="00830677"/>
    <w:rsid w:val="0083114C"/>
    <w:rsid w:val="00832C59"/>
    <w:rsid w:val="00833AFB"/>
    <w:rsid w:val="00834470"/>
    <w:rsid w:val="00837C83"/>
    <w:rsid w:val="00837DD4"/>
    <w:rsid w:val="00840612"/>
    <w:rsid w:val="0084219B"/>
    <w:rsid w:val="0084584F"/>
    <w:rsid w:val="008459BD"/>
    <w:rsid w:val="00846B95"/>
    <w:rsid w:val="0084702E"/>
    <w:rsid w:val="0084723E"/>
    <w:rsid w:val="00847930"/>
    <w:rsid w:val="0085063B"/>
    <w:rsid w:val="00851552"/>
    <w:rsid w:val="008515DB"/>
    <w:rsid w:val="00851622"/>
    <w:rsid w:val="0085192B"/>
    <w:rsid w:val="008524D5"/>
    <w:rsid w:val="00853260"/>
    <w:rsid w:val="0085506E"/>
    <w:rsid w:val="0085554D"/>
    <w:rsid w:val="00856300"/>
    <w:rsid w:val="00856694"/>
    <w:rsid w:val="0085758B"/>
    <w:rsid w:val="00857828"/>
    <w:rsid w:val="00860781"/>
    <w:rsid w:val="00861ADC"/>
    <w:rsid w:val="00863881"/>
    <w:rsid w:val="00864B4C"/>
    <w:rsid w:val="00865310"/>
    <w:rsid w:val="00865B40"/>
    <w:rsid w:val="0086656F"/>
    <w:rsid w:val="00867590"/>
    <w:rsid w:val="00870822"/>
    <w:rsid w:val="00870E05"/>
    <w:rsid w:val="00873DAB"/>
    <w:rsid w:val="00874391"/>
    <w:rsid w:val="00877654"/>
    <w:rsid w:val="00880667"/>
    <w:rsid w:val="008813AA"/>
    <w:rsid w:val="00890FC4"/>
    <w:rsid w:val="00891F99"/>
    <w:rsid w:val="0089283F"/>
    <w:rsid w:val="00892E20"/>
    <w:rsid w:val="00893A9E"/>
    <w:rsid w:val="00893D4D"/>
    <w:rsid w:val="008958D6"/>
    <w:rsid w:val="00895B72"/>
    <w:rsid w:val="00895C29"/>
    <w:rsid w:val="00895D4E"/>
    <w:rsid w:val="008A08D0"/>
    <w:rsid w:val="008A38B4"/>
    <w:rsid w:val="008A56BF"/>
    <w:rsid w:val="008A79C4"/>
    <w:rsid w:val="008B00E1"/>
    <w:rsid w:val="008B0A0D"/>
    <w:rsid w:val="008B13FF"/>
    <w:rsid w:val="008B1D06"/>
    <w:rsid w:val="008B29CA"/>
    <w:rsid w:val="008B45A8"/>
    <w:rsid w:val="008B477E"/>
    <w:rsid w:val="008B4BBC"/>
    <w:rsid w:val="008B4FD0"/>
    <w:rsid w:val="008B519F"/>
    <w:rsid w:val="008B5E2E"/>
    <w:rsid w:val="008B5F33"/>
    <w:rsid w:val="008B7C76"/>
    <w:rsid w:val="008B7CBF"/>
    <w:rsid w:val="008C0072"/>
    <w:rsid w:val="008C16EF"/>
    <w:rsid w:val="008C409E"/>
    <w:rsid w:val="008C40EE"/>
    <w:rsid w:val="008C770A"/>
    <w:rsid w:val="008C7CFB"/>
    <w:rsid w:val="008D15EA"/>
    <w:rsid w:val="008D15F8"/>
    <w:rsid w:val="008D2466"/>
    <w:rsid w:val="008D37E7"/>
    <w:rsid w:val="008D3D1C"/>
    <w:rsid w:val="008D412E"/>
    <w:rsid w:val="008D450E"/>
    <w:rsid w:val="008D5699"/>
    <w:rsid w:val="008E318E"/>
    <w:rsid w:val="008E39E5"/>
    <w:rsid w:val="008E3E53"/>
    <w:rsid w:val="008E6174"/>
    <w:rsid w:val="008E6935"/>
    <w:rsid w:val="008E7CF4"/>
    <w:rsid w:val="008F01BC"/>
    <w:rsid w:val="008F0D04"/>
    <w:rsid w:val="008F1850"/>
    <w:rsid w:val="008F4344"/>
    <w:rsid w:val="008F6983"/>
    <w:rsid w:val="008F6DE4"/>
    <w:rsid w:val="008F7F1F"/>
    <w:rsid w:val="009015F1"/>
    <w:rsid w:val="009039F8"/>
    <w:rsid w:val="00906008"/>
    <w:rsid w:val="0090619F"/>
    <w:rsid w:val="0090620B"/>
    <w:rsid w:val="00906A1C"/>
    <w:rsid w:val="009071A5"/>
    <w:rsid w:val="0091020B"/>
    <w:rsid w:val="00910835"/>
    <w:rsid w:val="0091393F"/>
    <w:rsid w:val="00916D4B"/>
    <w:rsid w:val="00921EBD"/>
    <w:rsid w:val="0092216D"/>
    <w:rsid w:val="00922B6A"/>
    <w:rsid w:val="00922C70"/>
    <w:rsid w:val="00924EAD"/>
    <w:rsid w:val="009277A9"/>
    <w:rsid w:val="00927B9D"/>
    <w:rsid w:val="00930E41"/>
    <w:rsid w:val="0093108A"/>
    <w:rsid w:val="0093298C"/>
    <w:rsid w:val="00932F63"/>
    <w:rsid w:val="00934333"/>
    <w:rsid w:val="009353CC"/>
    <w:rsid w:val="00940135"/>
    <w:rsid w:val="00941C46"/>
    <w:rsid w:val="0094227E"/>
    <w:rsid w:val="00942884"/>
    <w:rsid w:val="00943413"/>
    <w:rsid w:val="009445F6"/>
    <w:rsid w:val="00944B3D"/>
    <w:rsid w:val="00945AA9"/>
    <w:rsid w:val="0094686C"/>
    <w:rsid w:val="009507B1"/>
    <w:rsid w:val="00950E92"/>
    <w:rsid w:val="00953961"/>
    <w:rsid w:val="00953C30"/>
    <w:rsid w:val="00954D24"/>
    <w:rsid w:val="00956E25"/>
    <w:rsid w:val="00957F26"/>
    <w:rsid w:val="00960D61"/>
    <w:rsid w:val="00964D72"/>
    <w:rsid w:val="00965D1B"/>
    <w:rsid w:val="00966EFD"/>
    <w:rsid w:val="00967098"/>
    <w:rsid w:val="00967A56"/>
    <w:rsid w:val="00971F57"/>
    <w:rsid w:val="009730B2"/>
    <w:rsid w:val="009761E1"/>
    <w:rsid w:val="00976F00"/>
    <w:rsid w:val="00982988"/>
    <w:rsid w:val="0098426E"/>
    <w:rsid w:val="00984F29"/>
    <w:rsid w:val="009858EF"/>
    <w:rsid w:val="00987DD6"/>
    <w:rsid w:val="009918B1"/>
    <w:rsid w:val="00992787"/>
    <w:rsid w:val="00994920"/>
    <w:rsid w:val="00995042"/>
    <w:rsid w:val="00995E0A"/>
    <w:rsid w:val="009974E5"/>
    <w:rsid w:val="00997860"/>
    <w:rsid w:val="009A3633"/>
    <w:rsid w:val="009A3F08"/>
    <w:rsid w:val="009A4A0D"/>
    <w:rsid w:val="009A7072"/>
    <w:rsid w:val="009A7327"/>
    <w:rsid w:val="009A74C5"/>
    <w:rsid w:val="009A760F"/>
    <w:rsid w:val="009A77BE"/>
    <w:rsid w:val="009B0D89"/>
    <w:rsid w:val="009B0D8C"/>
    <w:rsid w:val="009B21B0"/>
    <w:rsid w:val="009B3F33"/>
    <w:rsid w:val="009B578D"/>
    <w:rsid w:val="009B5E4F"/>
    <w:rsid w:val="009B76B8"/>
    <w:rsid w:val="009C095D"/>
    <w:rsid w:val="009C0E72"/>
    <w:rsid w:val="009C16C7"/>
    <w:rsid w:val="009C17D1"/>
    <w:rsid w:val="009C2A48"/>
    <w:rsid w:val="009C39D2"/>
    <w:rsid w:val="009C441D"/>
    <w:rsid w:val="009C4A58"/>
    <w:rsid w:val="009C5CAA"/>
    <w:rsid w:val="009C6E59"/>
    <w:rsid w:val="009D0307"/>
    <w:rsid w:val="009D21A2"/>
    <w:rsid w:val="009D21B3"/>
    <w:rsid w:val="009D4B5C"/>
    <w:rsid w:val="009D4E2B"/>
    <w:rsid w:val="009D6ABE"/>
    <w:rsid w:val="009D6B4B"/>
    <w:rsid w:val="009D73E1"/>
    <w:rsid w:val="009E17E9"/>
    <w:rsid w:val="009E33F3"/>
    <w:rsid w:val="009E3ECB"/>
    <w:rsid w:val="009E51C3"/>
    <w:rsid w:val="009E5814"/>
    <w:rsid w:val="009E627B"/>
    <w:rsid w:val="009F4F75"/>
    <w:rsid w:val="009F65EA"/>
    <w:rsid w:val="009F76D4"/>
    <w:rsid w:val="00A011FE"/>
    <w:rsid w:val="00A02342"/>
    <w:rsid w:val="00A02416"/>
    <w:rsid w:val="00A03C45"/>
    <w:rsid w:val="00A05156"/>
    <w:rsid w:val="00A065C5"/>
    <w:rsid w:val="00A06C1E"/>
    <w:rsid w:val="00A1024B"/>
    <w:rsid w:val="00A10D1C"/>
    <w:rsid w:val="00A11D3C"/>
    <w:rsid w:val="00A14C74"/>
    <w:rsid w:val="00A154DC"/>
    <w:rsid w:val="00A16B9D"/>
    <w:rsid w:val="00A1772E"/>
    <w:rsid w:val="00A2017B"/>
    <w:rsid w:val="00A2024F"/>
    <w:rsid w:val="00A2034B"/>
    <w:rsid w:val="00A229E4"/>
    <w:rsid w:val="00A24CAD"/>
    <w:rsid w:val="00A2584C"/>
    <w:rsid w:val="00A275AE"/>
    <w:rsid w:val="00A30838"/>
    <w:rsid w:val="00A34682"/>
    <w:rsid w:val="00A34DD7"/>
    <w:rsid w:val="00A41159"/>
    <w:rsid w:val="00A41DAF"/>
    <w:rsid w:val="00A41E3F"/>
    <w:rsid w:val="00A421AD"/>
    <w:rsid w:val="00A427EA"/>
    <w:rsid w:val="00A42D37"/>
    <w:rsid w:val="00A44B8C"/>
    <w:rsid w:val="00A45EB6"/>
    <w:rsid w:val="00A4748C"/>
    <w:rsid w:val="00A50E7F"/>
    <w:rsid w:val="00A512A6"/>
    <w:rsid w:val="00A51A66"/>
    <w:rsid w:val="00A5227C"/>
    <w:rsid w:val="00A526B3"/>
    <w:rsid w:val="00A53659"/>
    <w:rsid w:val="00A549CF"/>
    <w:rsid w:val="00A54B43"/>
    <w:rsid w:val="00A5649C"/>
    <w:rsid w:val="00A56677"/>
    <w:rsid w:val="00A56C8A"/>
    <w:rsid w:val="00A57F27"/>
    <w:rsid w:val="00A60598"/>
    <w:rsid w:val="00A608B7"/>
    <w:rsid w:val="00A60A01"/>
    <w:rsid w:val="00A62118"/>
    <w:rsid w:val="00A64056"/>
    <w:rsid w:val="00A64438"/>
    <w:rsid w:val="00A65C99"/>
    <w:rsid w:val="00A67212"/>
    <w:rsid w:val="00A709C8"/>
    <w:rsid w:val="00A715AB"/>
    <w:rsid w:val="00A71E59"/>
    <w:rsid w:val="00A7237F"/>
    <w:rsid w:val="00A7257C"/>
    <w:rsid w:val="00A7324F"/>
    <w:rsid w:val="00A73FDF"/>
    <w:rsid w:val="00A75D5D"/>
    <w:rsid w:val="00A761DF"/>
    <w:rsid w:val="00A76DC9"/>
    <w:rsid w:val="00A77157"/>
    <w:rsid w:val="00A83C22"/>
    <w:rsid w:val="00A84C83"/>
    <w:rsid w:val="00A8540A"/>
    <w:rsid w:val="00A86CEA"/>
    <w:rsid w:val="00A87101"/>
    <w:rsid w:val="00A92B78"/>
    <w:rsid w:val="00A92CE3"/>
    <w:rsid w:val="00A960E3"/>
    <w:rsid w:val="00A96970"/>
    <w:rsid w:val="00A96C14"/>
    <w:rsid w:val="00AA0EB1"/>
    <w:rsid w:val="00AA206A"/>
    <w:rsid w:val="00AA27D4"/>
    <w:rsid w:val="00AA38C7"/>
    <w:rsid w:val="00AA39B2"/>
    <w:rsid w:val="00AA3AE5"/>
    <w:rsid w:val="00AA3D58"/>
    <w:rsid w:val="00AA4DFC"/>
    <w:rsid w:val="00AA4E33"/>
    <w:rsid w:val="00AA6EDD"/>
    <w:rsid w:val="00AA6F4F"/>
    <w:rsid w:val="00AA7398"/>
    <w:rsid w:val="00AA757C"/>
    <w:rsid w:val="00AA7C20"/>
    <w:rsid w:val="00AB10C5"/>
    <w:rsid w:val="00AB1197"/>
    <w:rsid w:val="00AB1ED9"/>
    <w:rsid w:val="00AB2DD2"/>
    <w:rsid w:val="00AB3535"/>
    <w:rsid w:val="00AB3716"/>
    <w:rsid w:val="00AB3B2D"/>
    <w:rsid w:val="00AB4ACD"/>
    <w:rsid w:val="00AB4B74"/>
    <w:rsid w:val="00AB4DC5"/>
    <w:rsid w:val="00AB5DA2"/>
    <w:rsid w:val="00AB6303"/>
    <w:rsid w:val="00AB6406"/>
    <w:rsid w:val="00AC0419"/>
    <w:rsid w:val="00AC2845"/>
    <w:rsid w:val="00AC2946"/>
    <w:rsid w:val="00AC2B94"/>
    <w:rsid w:val="00AC2D1D"/>
    <w:rsid w:val="00AC502D"/>
    <w:rsid w:val="00AC6724"/>
    <w:rsid w:val="00AC786A"/>
    <w:rsid w:val="00AC78D5"/>
    <w:rsid w:val="00AC79E8"/>
    <w:rsid w:val="00AC7F6A"/>
    <w:rsid w:val="00AD0991"/>
    <w:rsid w:val="00AD09A8"/>
    <w:rsid w:val="00AD0A55"/>
    <w:rsid w:val="00AD1138"/>
    <w:rsid w:val="00AD146A"/>
    <w:rsid w:val="00AD434C"/>
    <w:rsid w:val="00AD4931"/>
    <w:rsid w:val="00AD6390"/>
    <w:rsid w:val="00AD6F31"/>
    <w:rsid w:val="00AD6F86"/>
    <w:rsid w:val="00AD7814"/>
    <w:rsid w:val="00AD7D2B"/>
    <w:rsid w:val="00AE04AF"/>
    <w:rsid w:val="00AE290A"/>
    <w:rsid w:val="00AE38A9"/>
    <w:rsid w:val="00AE449B"/>
    <w:rsid w:val="00AE548C"/>
    <w:rsid w:val="00AE6AF8"/>
    <w:rsid w:val="00AE7C60"/>
    <w:rsid w:val="00AF12C2"/>
    <w:rsid w:val="00AF37DC"/>
    <w:rsid w:val="00AF5367"/>
    <w:rsid w:val="00AF735E"/>
    <w:rsid w:val="00AF7DE9"/>
    <w:rsid w:val="00B02C03"/>
    <w:rsid w:val="00B04119"/>
    <w:rsid w:val="00B04415"/>
    <w:rsid w:val="00B05E35"/>
    <w:rsid w:val="00B0761C"/>
    <w:rsid w:val="00B07DDB"/>
    <w:rsid w:val="00B115D8"/>
    <w:rsid w:val="00B11B96"/>
    <w:rsid w:val="00B12E00"/>
    <w:rsid w:val="00B15820"/>
    <w:rsid w:val="00B1770C"/>
    <w:rsid w:val="00B20FBE"/>
    <w:rsid w:val="00B220F6"/>
    <w:rsid w:val="00B248FF"/>
    <w:rsid w:val="00B24F11"/>
    <w:rsid w:val="00B259EF"/>
    <w:rsid w:val="00B25B95"/>
    <w:rsid w:val="00B25FA5"/>
    <w:rsid w:val="00B27552"/>
    <w:rsid w:val="00B27CE4"/>
    <w:rsid w:val="00B27D43"/>
    <w:rsid w:val="00B310E3"/>
    <w:rsid w:val="00B31352"/>
    <w:rsid w:val="00B3136A"/>
    <w:rsid w:val="00B32BB8"/>
    <w:rsid w:val="00B33100"/>
    <w:rsid w:val="00B33154"/>
    <w:rsid w:val="00B34D39"/>
    <w:rsid w:val="00B35AA6"/>
    <w:rsid w:val="00B36D20"/>
    <w:rsid w:val="00B40F8C"/>
    <w:rsid w:val="00B410BF"/>
    <w:rsid w:val="00B42D6E"/>
    <w:rsid w:val="00B45C41"/>
    <w:rsid w:val="00B46270"/>
    <w:rsid w:val="00B52B9D"/>
    <w:rsid w:val="00B53350"/>
    <w:rsid w:val="00B534DD"/>
    <w:rsid w:val="00B5430F"/>
    <w:rsid w:val="00B548F0"/>
    <w:rsid w:val="00B54B0E"/>
    <w:rsid w:val="00B55664"/>
    <w:rsid w:val="00B561B2"/>
    <w:rsid w:val="00B568CD"/>
    <w:rsid w:val="00B56FB3"/>
    <w:rsid w:val="00B5789C"/>
    <w:rsid w:val="00B600AC"/>
    <w:rsid w:val="00B63EF8"/>
    <w:rsid w:val="00B6533D"/>
    <w:rsid w:val="00B663C1"/>
    <w:rsid w:val="00B66C04"/>
    <w:rsid w:val="00B678F5"/>
    <w:rsid w:val="00B715D5"/>
    <w:rsid w:val="00B72255"/>
    <w:rsid w:val="00B722A1"/>
    <w:rsid w:val="00B73A20"/>
    <w:rsid w:val="00B75010"/>
    <w:rsid w:val="00B753DF"/>
    <w:rsid w:val="00B75D84"/>
    <w:rsid w:val="00B76189"/>
    <w:rsid w:val="00B76F49"/>
    <w:rsid w:val="00B80935"/>
    <w:rsid w:val="00B81409"/>
    <w:rsid w:val="00B81D2F"/>
    <w:rsid w:val="00B81E57"/>
    <w:rsid w:val="00B83266"/>
    <w:rsid w:val="00B83514"/>
    <w:rsid w:val="00B849D9"/>
    <w:rsid w:val="00B85DAF"/>
    <w:rsid w:val="00B878EB"/>
    <w:rsid w:val="00B8795E"/>
    <w:rsid w:val="00B90E88"/>
    <w:rsid w:val="00B917D7"/>
    <w:rsid w:val="00B918EB"/>
    <w:rsid w:val="00B93CA0"/>
    <w:rsid w:val="00B97CF5"/>
    <w:rsid w:val="00BA15A2"/>
    <w:rsid w:val="00BA1972"/>
    <w:rsid w:val="00BA19A9"/>
    <w:rsid w:val="00BA2989"/>
    <w:rsid w:val="00BA5525"/>
    <w:rsid w:val="00BA5EBE"/>
    <w:rsid w:val="00BB1375"/>
    <w:rsid w:val="00BB1AD3"/>
    <w:rsid w:val="00BB2B03"/>
    <w:rsid w:val="00BB40D5"/>
    <w:rsid w:val="00BB7911"/>
    <w:rsid w:val="00BC0435"/>
    <w:rsid w:val="00BC251F"/>
    <w:rsid w:val="00BC40A3"/>
    <w:rsid w:val="00BC4927"/>
    <w:rsid w:val="00BD0B85"/>
    <w:rsid w:val="00BD0CE1"/>
    <w:rsid w:val="00BD2BE2"/>
    <w:rsid w:val="00BD37A0"/>
    <w:rsid w:val="00BD3A06"/>
    <w:rsid w:val="00BD53AD"/>
    <w:rsid w:val="00BD6DB3"/>
    <w:rsid w:val="00BD73DF"/>
    <w:rsid w:val="00BD7C8D"/>
    <w:rsid w:val="00BE00D2"/>
    <w:rsid w:val="00BE00F3"/>
    <w:rsid w:val="00BE16B1"/>
    <w:rsid w:val="00BE350E"/>
    <w:rsid w:val="00BE4B8B"/>
    <w:rsid w:val="00BE53AB"/>
    <w:rsid w:val="00BE6287"/>
    <w:rsid w:val="00BE757B"/>
    <w:rsid w:val="00BE7622"/>
    <w:rsid w:val="00BE76BF"/>
    <w:rsid w:val="00BF08AB"/>
    <w:rsid w:val="00BF15A7"/>
    <w:rsid w:val="00BF16A7"/>
    <w:rsid w:val="00BF16C0"/>
    <w:rsid w:val="00BF1C82"/>
    <w:rsid w:val="00BF24E0"/>
    <w:rsid w:val="00BF2A87"/>
    <w:rsid w:val="00BF3100"/>
    <w:rsid w:val="00BF3234"/>
    <w:rsid w:val="00BF37CC"/>
    <w:rsid w:val="00BF3BCE"/>
    <w:rsid w:val="00BF427C"/>
    <w:rsid w:val="00BF4551"/>
    <w:rsid w:val="00BF522A"/>
    <w:rsid w:val="00BF600A"/>
    <w:rsid w:val="00BF6470"/>
    <w:rsid w:val="00BF710D"/>
    <w:rsid w:val="00BF7612"/>
    <w:rsid w:val="00C01796"/>
    <w:rsid w:val="00C0187B"/>
    <w:rsid w:val="00C01915"/>
    <w:rsid w:val="00C01937"/>
    <w:rsid w:val="00C0288E"/>
    <w:rsid w:val="00C03147"/>
    <w:rsid w:val="00C03703"/>
    <w:rsid w:val="00C03814"/>
    <w:rsid w:val="00C0410E"/>
    <w:rsid w:val="00C069A4"/>
    <w:rsid w:val="00C06D0D"/>
    <w:rsid w:val="00C07A7B"/>
    <w:rsid w:val="00C10D8F"/>
    <w:rsid w:val="00C12BBA"/>
    <w:rsid w:val="00C13921"/>
    <w:rsid w:val="00C141BA"/>
    <w:rsid w:val="00C15996"/>
    <w:rsid w:val="00C203F2"/>
    <w:rsid w:val="00C2056A"/>
    <w:rsid w:val="00C21017"/>
    <w:rsid w:val="00C220B6"/>
    <w:rsid w:val="00C22397"/>
    <w:rsid w:val="00C22513"/>
    <w:rsid w:val="00C23CC6"/>
    <w:rsid w:val="00C256ED"/>
    <w:rsid w:val="00C2651E"/>
    <w:rsid w:val="00C3000C"/>
    <w:rsid w:val="00C3443E"/>
    <w:rsid w:val="00C348DF"/>
    <w:rsid w:val="00C3666E"/>
    <w:rsid w:val="00C36B84"/>
    <w:rsid w:val="00C4199B"/>
    <w:rsid w:val="00C421AB"/>
    <w:rsid w:val="00C4370C"/>
    <w:rsid w:val="00C44F94"/>
    <w:rsid w:val="00C45B48"/>
    <w:rsid w:val="00C46632"/>
    <w:rsid w:val="00C46F68"/>
    <w:rsid w:val="00C47636"/>
    <w:rsid w:val="00C47C4F"/>
    <w:rsid w:val="00C526C0"/>
    <w:rsid w:val="00C52DDA"/>
    <w:rsid w:val="00C535AF"/>
    <w:rsid w:val="00C543A2"/>
    <w:rsid w:val="00C543F9"/>
    <w:rsid w:val="00C5648C"/>
    <w:rsid w:val="00C56766"/>
    <w:rsid w:val="00C5702B"/>
    <w:rsid w:val="00C612CE"/>
    <w:rsid w:val="00C618D0"/>
    <w:rsid w:val="00C64309"/>
    <w:rsid w:val="00C65884"/>
    <w:rsid w:val="00C71974"/>
    <w:rsid w:val="00C72F2B"/>
    <w:rsid w:val="00C731DE"/>
    <w:rsid w:val="00C74665"/>
    <w:rsid w:val="00C7502D"/>
    <w:rsid w:val="00C76C3C"/>
    <w:rsid w:val="00C775C0"/>
    <w:rsid w:val="00C77DCF"/>
    <w:rsid w:val="00C8003D"/>
    <w:rsid w:val="00C80649"/>
    <w:rsid w:val="00C81442"/>
    <w:rsid w:val="00C82D0A"/>
    <w:rsid w:val="00C82DDE"/>
    <w:rsid w:val="00C83068"/>
    <w:rsid w:val="00C830F5"/>
    <w:rsid w:val="00C8418A"/>
    <w:rsid w:val="00C84EBC"/>
    <w:rsid w:val="00C862A6"/>
    <w:rsid w:val="00C86B2B"/>
    <w:rsid w:val="00C86CFD"/>
    <w:rsid w:val="00C90D8C"/>
    <w:rsid w:val="00C90DE1"/>
    <w:rsid w:val="00C915EC"/>
    <w:rsid w:val="00C929CC"/>
    <w:rsid w:val="00C93040"/>
    <w:rsid w:val="00C93884"/>
    <w:rsid w:val="00C94128"/>
    <w:rsid w:val="00C946B7"/>
    <w:rsid w:val="00C954F0"/>
    <w:rsid w:val="00C96A04"/>
    <w:rsid w:val="00C97A3D"/>
    <w:rsid w:val="00CA00B5"/>
    <w:rsid w:val="00CA0658"/>
    <w:rsid w:val="00CA0AD9"/>
    <w:rsid w:val="00CA18AC"/>
    <w:rsid w:val="00CA3790"/>
    <w:rsid w:val="00CA3E53"/>
    <w:rsid w:val="00CB063E"/>
    <w:rsid w:val="00CB16E8"/>
    <w:rsid w:val="00CB25E9"/>
    <w:rsid w:val="00CB44D1"/>
    <w:rsid w:val="00CB4622"/>
    <w:rsid w:val="00CB7FC7"/>
    <w:rsid w:val="00CB7FE1"/>
    <w:rsid w:val="00CC0263"/>
    <w:rsid w:val="00CC158C"/>
    <w:rsid w:val="00CC1B90"/>
    <w:rsid w:val="00CC2E8B"/>
    <w:rsid w:val="00CC41F5"/>
    <w:rsid w:val="00CC4495"/>
    <w:rsid w:val="00CC4B37"/>
    <w:rsid w:val="00CC531E"/>
    <w:rsid w:val="00CC55B1"/>
    <w:rsid w:val="00CC5FE3"/>
    <w:rsid w:val="00CC68D6"/>
    <w:rsid w:val="00CD0F19"/>
    <w:rsid w:val="00CD14BC"/>
    <w:rsid w:val="00CD1FEE"/>
    <w:rsid w:val="00CD2C88"/>
    <w:rsid w:val="00CD2EA4"/>
    <w:rsid w:val="00CD3B7F"/>
    <w:rsid w:val="00CD4948"/>
    <w:rsid w:val="00CD4BE3"/>
    <w:rsid w:val="00CD651A"/>
    <w:rsid w:val="00CD660D"/>
    <w:rsid w:val="00CD6CF2"/>
    <w:rsid w:val="00CE0392"/>
    <w:rsid w:val="00CE15B6"/>
    <w:rsid w:val="00CF0100"/>
    <w:rsid w:val="00CF0E76"/>
    <w:rsid w:val="00CF290D"/>
    <w:rsid w:val="00CF35D9"/>
    <w:rsid w:val="00CF3AB2"/>
    <w:rsid w:val="00CF5D06"/>
    <w:rsid w:val="00CF6B09"/>
    <w:rsid w:val="00CF72AB"/>
    <w:rsid w:val="00CF7412"/>
    <w:rsid w:val="00CF7634"/>
    <w:rsid w:val="00D0412E"/>
    <w:rsid w:val="00D05744"/>
    <w:rsid w:val="00D10634"/>
    <w:rsid w:val="00D110AE"/>
    <w:rsid w:val="00D11BCC"/>
    <w:rsid w:val="00D12592"/>
    <w:rsid w:val="00D12D72"/>
    <w:rsid w:val="00D25DE7"/>
    <w:rsid w:val="00D26F5D"/>
    <w:rsid w:val="00D27F28"/>
    <w:rsid w:val="00D27FE7"/>
    <w:rsid w:val="00D30378"/>
    <w:rsid w:val="00D32877"/>
    <w:rsid w:val="00D337F8"/>
    <w:rsid w:val="00D339D8"/>
    <w:rsid w:val="00D35866"/>
    <w:rsid w:val="00D37966"/>
    <w:rsid w:val="00D40714"/>
    <w:rsid w:val="00D41182"/>
    <w:rsid w:val="00D41A50"/>
    <w:rsid w:val="00D43457"/>
    <w:rsid w:val="00D44DA9"/>
    <w:rsid w:val="00D45A77"/>
    <w:rsid w:val="00D45F06"/>
    <w:rsid w:val="00D47372"/>
    <w:rsid w:val="00D50EB9"/>
    <w:rsid w:val="00D50EEA"/>
    <w:rsid w:val="00D52A45"/>
    <w:rsid w:val="00D53C10"/>
    <w:rsid w:val="00D53C71"/>
    <w:rsid w:val="00D54450"/>
    <w:rsid w:val="00D544C2"/>
    <w:rsid w:val="00D56BAD"/>
    <w:rsid w:val="00D612DD"/>
    <w:rsid w:val="00D621AD"/>
    <w:rsid w:val="00D63192"/>
    <w:rsid w:val="00D635BC"/>
    <w:rsid w:val="00D63DBE"/>
    <w:rsid w:val="00D64DFC"/>
    <w:rsid w:val="00D64EB1"/>
    <w:rsid w:val="00D65ACC"/>
    <w:rsid w:val="00D66603"/>
    <w:rsid w:val="00D6764E"/>
    <w:rsid w:val="00D67F69"/>
    <w:rsid w:val="00D701B5"/>
    <w:rsid w:val="00D7046F"/>
    <w:rsid w:val="00D7096C"/>
    <w:rsid w:val="00D7284B"/>
    <w:rsid w:val="00D741A2"/>
    <w:rsid w:val="00D74C25"/>
    <w:rsid w:val="00D76546"/>
    <w:rsid w:val="00D76A24"/>
    <w:rsid w:val="00D76E99"/>
    <w:rsid w:val="00D815EB"/>
    <w:rsid w:val="00D85B0F"/>
    <w:rsid w:val="00D86017"/>
    <w:rsid w:val="00D8756B"/>
    <w:rsid w:val="00D921D0"/>
    <w:rsid w:val="00D92231"/>
    <w:rsid w:val="00D92ECA"/>
    <w:rsid w:val="00D9366C"/>
    <w:rsid w:val="00D95188"/>
    <w:rsid w:val="00D95F68"/>
    <w:rsid w:val="00D96750"/>
    <w:rsid w:val="00D97541"/>
    <w:rsid w:val="00DA4B13"/>
    <w:rsid w:val="00DA5F81"/>
    <w:rsid w:val="00DA626A"/>
    <w:rsid w:val="00DA7D3B"/>
    <w:rsid w:val="00DB03F7"/>
    <w:rsid w:val="00DB33B7"/>
    <w:rsid w:val="00DB3E4E"/>
    <w:rsid w:val="00DB4442"/>
    <w:rsid w:val="00DB5528"/>
    <w:rsid w:val="00DB6C6C"/>
    <w:rsid w:val="00DC0B5E"/>
    <w:rsid w:val="00DC30D0"/>
    <w:rsid w:val="00DC3662"/>
    <w:rsid w:val="00DC440E"/>
    <w:rsid w:val="00DC4542"/>
    <w:rsid w:val="00DC612A"/>
    <w:rsid w:val="00DC68AB"/>
    <w:rsid w:val="00DC6DB1"/>
    <w:rsid w:val="00DC7A6A"/>
    <w:rsid w:val="00DC7ACD"/>
    <w:rsid w:val="00DD08CB"/>
    <w:rsid w:val="00DD1EAA"/>
    <w:rsid w:val="00DD21E6"/>
    <w:rsid w:val="00DD3233"/>
    <w:rsid w:val="00DD3964"/>
    <w:rsid w:val="00DD5704"/>
    <w:rsid w:val="00DD6F49"/>
    <w:rsid w:val="00DE1002"/>
    <w:rsid w:val="00DE147C"/>
    <w:rsid w:val="00DE14C3"/>
    <w:rsid w:val="00DE14E8"/>
    <w:rsid w:val="00DE275F"/>
    <w:rsid w:val="00DE31DE"/>
    <w:rsid w:val="00DE4470"/>
    <w:rsid w:val="00DE5477"/>
    <w:rsid w:val="00DE5808"/>
    <w:rsid w:val="00DE731B"/>
    <w:rsid w:val="00DE731E"/>
    <w:rsid w:val="00DF0E39"/>
    <w:rsid w:val="00DF2603"/>
    <w:rsid w:val="00DF5FBF"/>
    <w:rsid w:val="00E00F64"/>
    <w:rsid w:val="00E010DF"/>
    <w:rsid w:val="00E017CC"/>
    <w:rsid w:val="00E01D8B"/>
    <w:rsid w:val="00E02375"/>
    <w:rsid w:val="00E02515"/>
    <w:rsid w:val="00E03866"/>
    <w:rsid w:val="00E03C23"/>
    <w:rsid w:val="00E04073"/>
    <w:rsid w:val="00E05350"/>
    <w:rsid w:val="00E060A8"/>
    <w:rsid w:val="00E062B3"/>
    <w:rsid w:val="00E07502"/>
    <w:rsid w:val="00E078B1"/>
    <w:rsid w:val="00E127B4"/>
    <w:rsid w:val="00E14274"/>
    <w:rsid w:val="00E1683D"/>
    <w:rsid w:val="00E16986"/>
    <w:rsid w:val="00E16FCF"/>
    <w:rsid w:val="00E20E50"/>
    <w:rsid w:val="00E211B4"/>
    <w:rsid w:val="00E21E7E"/>
    <w:rsid w:val="00E22117"/>
    <w:rsid w:val="00E224B1"/>
    <w:rsid w:val="00E231EF"/>
    <w:rsid w:val="00E235F2"/>
    <w:rsid w:val="00E2405F"/>
    <w:rsid w:val="00E258F3"/>
    <w:rsid w:val="00E25C34"/>
    <w:rsid w:val="00E266B7"/>
    <w:rsid w:val="00E26C55"/>
    <w:rsid w:val="00E27E7E"/>
    <w:rsid w:val="00E30816"/>
    <w:rsid w:val="00E32051"/>
    <w:rsid w:val="00E337CA"/>
    <w:rsid w:val="00E34BB9"/>
    <w:rsid w:val="00E34D46"/>
    <w:rsid w:val="00E34FF1"/>
    <w:rsid w:val="00E3534B"/>
    <w:rsid w:val="00E36876"/>
    <w:rsid w:val="00E37766"/>
    <w:rsid w:val="00E4029F"/>
    <w:rsid w:val="00E41145"/>
    <w:rsid w:val="00E41A50"/>
    <w:rsid w:val="00E4455C"/>
    <w:rsid w:val="00E4506A"/>
    <w:rsid w:val="00E46DE3"/>
    <w:rsid w:val="00E47C3F"/>
    <w:rsid w:val="00E47E07"/>
    <w:rsid w:val="00E51919"/>
    <w:rsid w:val="00E52749"/>
    <w:rsid w:val="00E54AEE"/>
    <w:rsid w:val="00E55373"/>
    <w:rsid w:val="00E57517"/>
    <w:rsid w:val="00E606CA"/>
    <w:rsid w:val="00E61367"/>
    <w:rsid w:val="00E6215F"/>
    <w:rsid w:val="00E62A60"/>
    <w:rsid w:val="00E632D0"/>
    <w:rsid w:val="00E63448"/>
    <w:rsid w:val="00E63478"/>
    <w:rsid w:val="00E6590F"/>
    <w:rsid w:val="00E65CBA"/>
    <w:rsid w:val="00E665CD"/>
    <w:rsid w:val="00E66AC8"/>
    <w:rsid w:val="00E67D23"/>
    <w:rsid w:val="00E67E99"/>
    <w:rsid w:val="00E7049E"/>
    <w:rsid w:val="00E73EAE"/>
    <w:rsid w:val="00E7761A"/>
    <w:rsid w:val="00E77A43"/>
    <w:rsid w:val="00E80970"/>
    <w:rsid w:val="00E81CFA"/>
    <w:rsid w:val="00E82874"/>
    <w:rsid w:val="00E83DF3"/>
    <w:rsid w:val="00E84DDD"/>
    <w:rsid w:val="00E84F65"/>
    <w:rsid w:val="00E86E5B"/>
    <w:rsid w:val="00E87306"/>
    <w:rsid w:val="00E90A04"/>
    <w:rsid w:val="00E92385"/>
    <w:rsid w:val="00E9289E"/>
    <w:rsid w:val="00E93781"/>
    <w:rsid w:val="00E93BBA"/>
    <w:rsid w:val="00E97323"/>
    <w:rsid w:val="00E97C34"/>
    <w:rsid w:val="00E97F45"/>
    <w:rsid w:val="00EA0641"/>
    <w:rsid w:val="00EA25A0"/>
    <w:rsid w:val="00EA2880"/>
    <w:rsid w:val="00EA2BA5"/>
    <w:rsid w:val="00EA4C0B"/>
    <w:rsid w:val="00EA5416"/>
    <w:rsid w:val="00EA5FDE"/>
    <w:rsid w:val="00EA6576"/>
    <w:rsid w:val="00EA7829"/>
    <w:rsid w:val="00EB1356"/>
    <w:rsid w:val="00EB157C"/>
    <w:rsid w:val="00EB2278"/>
    <w:rsid w:val="00EB3117"/>
    <w:rsid w:val="00EB48D0"/>
    <w:rsid w:val="00EB74E1"/>
    <w:rsid w:val="00EC2A74"/>
    <w:rsid w:val="00EC3C22"/>
    <w:rsid w:val="00EC639A"/>
    <w:rsid w:val="00EC78D2"/>
    <w:rsid w:val="00EC7D9D"/>
    <w:rsid w:val="00ED2BC7"/>
    <w:rsid w:val="00ED2FF7"/>
    <w:rsid w:val="00ED4996"/>
    <w:rsid w:val="00ED54B1"/>
    <w:rsid w:val="00ED5EB0"/>
    <w:rsid w:val="00ED6725"/>
    <w:rsid w:val="00ED690E"/>
    <w:rsid w:val="00ED692A"/>
    <w:rsid w:val="00ED69E9"/>
    <w:rsid w:val="00EE109B"/>
    <w:rsid w:val="00EE3E87"/>
    <w:rsid w:val="00EE4BE4"/>
    <w:rsid w:val="00EE5675"/>
    <w:rsid w:val="00EE575F"/>
    <w:rsid w:val="00EE5E67"/>
    <w:rsid w:val="00EE6ADC"/>
    <w:rsid w:val="00EE7196"/>
    <w:rsid w:val="00EF2537"/>
    <w:rsid w:val="00EF2CBE"/>
    <w:rsid w:val="00EF2E61"/>
    <w:rsid w:val="00EF4C53"/>
    <w:rsid w:val="00EF71F2"/>
    <w:rsid w:val="00F002E9"/>
    <w:rsid w:val="00F003DF"/>
    <w:rsid w:val="00F02039"/>
    <w:rsid w:val="00F031C4"/>
    <w:rsid w:val="00F1237A"/>
    <w:rsid w:val="00F12814"/>
    <w:rsid w:val="00F12DED"/>
    <w:rsid w:val="00F130EA"/>
    <w:rsid w:val="00F1430E"/>
    <w:rsid w:val="00F14A08"/>
    <w:rsid w:val="00F14B9E"/>
    <w:rsid w:val="00F16D37"/>
    <w:rsid w:val="00F1739A"/>
    <w:rsid w:val="00F17551"/>
    <w:rsid w:val="00F1758A"/>
    <w:rsid w:val="00F20002"/>
    <w:rsid w:val="00F20653"/>
    <w:rsid w:val="00F2299C"/>
    <w:rsid w:val="00F23395"/>
    <w:rsid w:val="00F25A10"/>
    <w:rsid w:val="00F27732"/>
    <w:rsid w:val="00F308D7"/>
    <w:rsid w:val="00F314ED"/>
    <w:rsid w:val="00F3164F"/>
    <w:rsid w:val="00F32D56"/>
    <w:rsid w:val="00F33A8E"/>
    <w:rsid w:val="00F33E9F"/>
    <w:rsid w:val="00F3430C"/>
    <w:rsid w:val="00F357D5"/>
    <w:rsid w:val="00F35C62"/>
    <w:rsid w:val="00F37A4C"/>
    <w:rsid w:val="00F407AD"/>
    <w:rsid w:val="00F418B1"/>
    <w:rsid w:val="00F42FC6"/>
    <w:rsid w:val="00F45B64"/>
    <w:rsid w:val="00F466E5"/>
    <w:rsid w:val="00F47679"/>
    <w:rsid w:val="00F47835"/>
    <w:rsid w:val="00F5081E"/>
    <w:rsid w:val="00F508CC"/>
    <w:rsid w:val="00F50D11"/>
    <w:rsid w:val="00F51490"/>
    <w:rsid w:val="00F5295C"/>
    <w:rsid w:val="00F5348B"/>
    <w:rsid w:val="00F53F19"/>
    <w:rsid w:val="00F546FF"/>
    <w:rsid w:val="00F5595E"/>
    <w:rsid w:val="00F5780E"/>
    <w:rsid w:val="00F637CE"/>
    <w:rsid w:val="00F65116"/>
    <w:rsid w:val="00F65678"/>
    <w:rsid w:val="00F65BA1"/>
    <w:rsid w:val="00F6708A"/>
    <w:rsid w:val="00F67D57"/>
    <w:rsid w:val="00F7350A"/>
    <w:rsid w:val="00F73683"/>
    <w:rsid w:val="00F73E2E"/>
    <w:rsid w:val="00F74E97"/>
    <w:rsid w:val="00F76273"/>
    <w:rsid w:val="00F77658"/>
    <w:rsid w:val="00F803D4"/>
    <w:rsid w:val="00F80CC0"/>
    <w:rsid w:val="00F81D3C"/>
    <w:rsid w:val="00F85654"/>
    <w:rsid w:val="00F8637E"/>
    <w:rsid w:val="00F86492"/>
    <w:rsid w:val="00F907A4"/>
    <w:rsid w:val="00F92B78"/>
    <w:rsid w:val="00F92D02"/>
    <w:rsid w:val="00F93539"/>
    <w:rsid w:val="00F93576"/>
    <w:rsid w:val="00F935A0"/>
    <w:rsid w:val="00F94D01"/>
    <w:rsid w:val="00F95361"/>
    <w:rsid w:val="00F95622"/>
    <w:rsid w:val="00F957DD"/>
    <w:rsid w:val="00F96876"/>
    <w:rsid w:val="00F96D79"/>
    <w:rsid w:val="00F97944"/>
    <w:rsid w:val="00FA0014"/>
    <w:rsid w:val="00FA0598"/>
    <w:rsid w:val="00FA14CD"/>
    <w:rsid w:val="00FA357E"/>
    <w:rsid w:val="00FA429B"/>
    <w:rsid w:val="00FA4F6B"/>
    <w:rsid w:val="00FA658C"/>
    <w:rsid w:val="00FA6EBA"/>
    <w:rsid w:val="00FA6FA1"/>
    <w:rsid w:val="00FA75B5"/>
    <w:rsid w:val="00FB10AB"/>
    <w:rsid w:val="00FB1791"/>
    <w:rsid w:val="00FB738B"/>
    <w:rsid w:val="00FC09E5"/>
    <w:rsid w:val="00FC285C"/>
    <w:rsid w:val="00FC2F4A"/>
    <w:rsid w:val="00FC3B0C"/>
    <w:rsid w:val="00FC4AAB"/>
    <w:rsid w:val="00FC591B"/>
    <w:rsid w:val="00FC6A89"/>
    <w:rsid w:val="00FC73DC"/>
    <w:rsid w:val="00FC7651"/>
    <w:rsid w:val="00FD0FA0"/>
    <w:rsid w:val="00FD1029"/>
    <w:rsid w:val="00FD15AE"/>
    <w:rsid w:val="00FD230B"/>
    <w:rsid w:val="00FD2F82"/>
    <w:rsid w:val="00FD33AC"/>
    <w:rsid w:val="00FD43DF"/>
    <w:rsid w:val="00FD4C9F"/>
    <w:rsid w:val="00FD4E2B"/>
    <w:rsid w:val="00FE0AE4"/>
    <w:rsid w:val="00FE1A87"/>
    <w:rsid w:val="00FE4716"/>
    <w:rsid w:val="00FE4931"/>
    <w:rsid w:val="00FE6FB1"/>
    <w:rsid w:val="00FE7D69"/>
    <w:rsid w:val="00FE7FA9"/>
    <w:rsid w:val="00FF0AA8"/>
    <w:rsid w:val="00FF1C2C"/>
    <w:rsid w:val="00FF4189"/>
    <w:rsid w:val="00FF4D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59DB8"/>
  <w15:chartTrackingRefBased/>
  <w15:docId w15:val="{D942B4F0-8C29-41FD-A126-4984F61CB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118"/>
    <w:pPr>
      <w:spacing w:line="480" w:lineRule="auto"/>
      <w:ind w:firstLine="420"/>
      <w:jc w:val="both"/>
    </w:pPr>
    <w:rPr>
      <w:rFonts w:ascii="Arial" w:hAnsi="Arial"/>
    </w:rPr>
  </w:style>
  <w:style w:type="paragraph" w:styleId="Heading2">
    <w:name w:val="heading 2"/>
    <w:basedOn w:val="Normal"/>
    <w:next w:val="Normal"/>
    <w:link w:val="Heading2Char"/>
    <w:uiPriority w:val="9"/>
    <w:unhideWhenUsed/>
    <w:qFormat/>
    <w:rsid w:val="0052507A"/>
    <w:pPr>
      <w:keepNext/>
      <w:keepLines/>
      <w:spacing w:before="40" w:after="0"/>
      <w:ind w:firstLine="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507FDB"/>
    <w:pPr>
      <w:keepNext/>
      <w:keepLines/>
      <w:spacing w:before="40" w:after="0"/>
      <w:ind w:firstLine="0"/>
      <w:outlineLvl w:val="2"/>
    </w:pPr>
    <w:rPr>
      <w:rFonts w:eastAsiaTheme="majorEastAsia" w:cstheme="majorBidi"/>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507A"/>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507FDB"/>
    <w:rPr>
      <w:rFonts w:ascii="Times New Roman" w:eastAsiaTheme="majorEastAsia" w:hAnsi="Times New Roman" w:cstheme="majorBidi"/>
      <w:sz w:val="24"/>
      <w:szCs w:val="24"/>
      <w:u w:val="single"/>
    </w:rPr>
  </w:style>
  <w:style w:type="character" w:customStyle="1" w:styleId="defaultfonthxmailstyle">
    <w:name w:val="defaultfonthxmailstyle"/>
    <w:basedOn w:val="DefaultParagraphFont"/>
    <w:rsid w:val="006D2985"/>
    <w:rPr>
      <w:rFonts w:ascii="Times New Roman" w:hAnsi="Times New Roman" w:cs="Times New Roman" w:hint="default"/>
      <w:b w:val="0"/>
      <w:bCs w:val="0"/>
      <w:i w:val="0"/>
      <w:iCs w:val="0"/>
      <w:strike w:val="0"/>
      <w:dstrike w:val="0"/>
      <w:color w:val="auto"/>
      <w:u w:val="none"/>
      <w:effect w:val="none"/>
    </w:rPr>
  </w:style>
  <w:style w:type="paragraph" w:customStyle="1" w:styleId="EndNoteBibliographyTitle">
    <w:name w:val="EndNote Bibliography Title"/>
    <w:basedOn w:val="Normal"/>
    <w:link w:val="EndNoteBibliographyTitleChar"/>
    <w:rsid w:val="00C731DE"/>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C731DE"/>
    <w:rPr>
      <w:rFonts w:ascii="Times New Roman" w:hAnsi="Times New Roman" w:cs="Times New Roman"/>
      <w:noProof/>
    </w:rPr>
  </w:style>
  <w:style w:type="paragraph" w:customStyle="1" w:styleId="EndNoteBibliography">
    <w:name w:val="EndNote Bibliography"/>
    <w:basedOn w:val="Normal"/>
    <w:link w:val="EndNoteBibliographyChar"/>
    <w:rsid w:val="00C731DE"/>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C731DE"/>
    <w:rPr>
      <w:rFonts w:ascii="Times New Roman" w:hAnsi="Times New Roman" w:cs="Times New Roman"/>
      <w:noProof/>
    </w:rPr>
  </w:style>
  <w:style w:type="paragraph" w:styleId="Title">
    <w:name w:val="Title"/>
    <w:basedOn w:val="Normal"/>
    <w:next w:val="Normal"/>
    <w:link w:val="TitleChar"/>
    <w:uiPriority w:val="10"/>
    <w:qFormat/>
    <w:rsid w:val="0017182A"/>
    <w:pPr>
      <w:spacing w:before="240" w:after="480" w:line="240" w:lineRule="auto"/>
      <w:ind w:firstLine="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17182A"/>
    <w:rPr>
      <w:rFonts w:ascii="Arial" w:eastAsiaTheme="majorEastAsia" w:hAnsi="Arial" w:cstheme="majorBidi"/>
      <w:spacing w:val="-10"/>
      <w:kern w:val="28"/>
      <w:sz w:val="44"/>
      <w:szCs w:val="56"/>
    </w:rPr>
  </w:style>
  <w:style w:type="paragraph" w:styleId="Caption">
    <w:name w:val="caption"/>
    <w:basedOn w:val="Normal"/>
    <w:next w:val="Normal"/>
    <w:uiPriority w:val="35"/>
    <w:unhideWhenUsed/>
    <w:qFormat/>
    <w:rsid w:val="00C830F5"/>
    <w:pPr>
      <w:spacing w:after="200"/>
      <w:ind w:firstLine="0"/>
    </w:pPr>
    <w:rPr>
      <w:iCs/>
      <w:szCs w:val="18"/>
    </w:rPr>
  </w:style>
  <w:style w:type="table" w:styleId="TableGrid">
    <w:name w:val="Table Grid"/>
    <w:basedOn w:val="TableNormal"/>
    <w:uiPriority w:val="39"/>
    <w:rsid w:val="00846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95853"/>
    <w:pPr>
      <w:spacing w:after="0" w:line="240" w:lineRule="auto"/>
      <w:ind w:firstLine="420"/>
    </w:pPr>
    <w:rPr>
      <w:rFonts w:ascii="Arial" w:hAnsi="Arial"/>
    </w:rPr>
  </w:style>
  <w:style w:type="paragraph" w:customStyle="1" w:styleId="Tablebody">
    <w:name w:val="Table body"/>
    <w:basedOn w:val="Normal"/>
    <w:qFormat/>
    <w:rsid w:val="00EC639A"/>
    <w:pPr>
      <w:spacing w:before="120" w:after="120" w:line="360" w:lineRule="auto"/>
      <w:ind w:firstLine="0"/>
    </w:pPr>
    <w:rPr>
      <w:sz w:val="18"/>
    </w:rPr>
  </w:style>
  <w:style w:type="character" w:styleId="PlaceholderText">
    <w:name w:val="Placeholder Text"/>
    <w:basedOn w:val="DefaultParagraphFont"/>
    <w:uiPriority w:val="99"/>
    <w:semiHidden/>
    <w:rsid w:val="00221B1E"/>
    <w:rPr>
      <w:color w:val="808080"/>
    </w:rPr>
  </w:style>
  <w:style w:type="character" w:styleId="Hyperlink">
    <w:name w:val="Hyperlink"/>
    <w:basedOn w:val="DefaultParagraphFont"/>
    <w:uiPriority w:val="99"/>
    <w:unhideWhenUsed/>
    <w:rsid w:val="002A29E8"/>
    <w:rPr>
      <w:color w:val="0563C1" w:themeColor="hyperlink"/>
      <w:u w:val="single"/>
    </w:rPr>
  </w:style>
  <w:style w:type="character" w:styleId="UnresolvedMention">
    <w:name w:val="Unresolved Mention"/>
    <w:basedOn w:val="DefaultParagraphFont"/>
    <w:uiPriority w:val="99"/>
    <w:semiHidden/>
    <w:unhideWhenUsed/>
    <w:rsid w:val="002A2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0479">
      <w:bodyDiv w:val="1"/>
      <w:marLeft w:val="0"/>
      <w:marRight w:val="0"/>
      <w:marTop w:val="0"/>
      <w:marBottom w:val="0"/>
      <w:divBdr>
        <w:top w:val="none" w:sz="0" w:space="0" w:color="auto"/>
        <w:left w:val="none" w:sz="0" w:space="0" w:color="auto"/>
        <w:bottom w:val="none" w:sz="0" w:space="0" w:color="auto"/>
        <w:right w:val="none" w:sz="0" w:space="0" w:color="auto"/>
      </w:divBdr>
    </w:div>
    <w:div w:id="333608685">
      <w:bodyDiv w:val="1"/>
      <w:marLeft w:val="0"/>
      <w:marRight w:val="0"/>
      <w:marTop w:val="0"/>
      <w:marBottom w:val="0"/>
      <w:divBdr>
        <w:top w:val="none" w:sz="0" w:space="0" w:color="auto"/>
        <w:left w:val="none" w:sz="0" w:space="0" w:color="auto"/>
        <w:bottom w:val="none" w:sz="0" w:space="0" w:color="auto"/>
        <w:right w:val="none" w:sz="0" w:space="0" w:color="auto"/>
      </w:divBdr>
    </w:div>
    <w:div w:id="858351001">
      <w:bodyDiv w:val="1"/>
      <w:marLeft w:val="0"/>
      <w:marRight w:val="0"/>
      <w:marTop w:val="0"/>
      <w:marBottom w:val="0"/>
      <w:divBdr>
        <w:top w:val="none" w:sz="0" w:space="0" w:color="auto"/>
        <w:left w:val="none" w:sz="0" w:space="0" w:color="auto"/>
        <w:bottom w:val="none" w:sz="0" w:space="0" w:color="auto"/>
        <w:right w:val="none" w:sz="0" w:space="0" w:color="auto"/>
      </w:divBdr>
    </w:div>
    <w:div w:id="973754963">
      <w:bodyDiv w:val="1"/>
      <w:marLeft w:val="0"/>
      <w:marRight w:val="0"/>
      <w:marTop w:val="0"/>
      <w:marBottom w:val="0"/>
      <w:divBdr>
        <w:top w:val="none" w:sz="0" w:space="0" w:color="auto"/>
        <w:left w:val="none" w:sz="0" w:space="0" w:color="auto"/>
        <w:bottom w:val="none" w:sz="0" w:space="0" w:color="auto"/>
        <w:right w:val="none" w:sz="0" w:space="0" w:color="auto"/>
      </w:divBdr>
    </w:div>
    <w:div w:id="1083331526">
      <w:bodyDiv w:val="1"/>
      <w:marLeft w:val="0"/>
      <w:marRight w:val="0"/>
      <w:marTop w:val="0"/>
      <w:marBottom w:val="0"/>
      <w:divBdr>
        <w:top w:val="none" w:sz="0" w:space="0" w:color="auto"/>
        <w:left w:val="none" w:sz="0" w:space="0" w:color="auto"/>
        <w:bottom w:val="none" w:sz="0" w:space="0" w:color="auto"/>
        <w:right w:val="none" w:sz="0" w:space="0" w:color="auto"/>
      </w:divBdr>
    </w:div>
    <w:div w:id="1100489690">
      <w:bodyDiv w:val="1"/>
      <w:marLeft w:val="0"/>
      <w:marRight w:val="0"/>
      <w:marTop w:val="0"/>
      <w:marBottom w:val="0"/>
      <w:divBdr>
        <w:top w:val="none" w:sz="0" w:space="0" w:color="auto"/>
        <w:left w:val="none" w:sz="0" w:space="0" w:color="auto"/>
        <w:bottom w:val="none" w:sz="0" w:space="0" w:color="auto"/>
        <w:right w:val="none" w:sz="0" w:space="0" w:color="auto"/>
      </w:divBdr>
    </w:div>
    <w:div w:id="1344287710">
      <w:bodyDiv w:val="1"/>
      <w:marLeft w:val="0"/>
      <w:marRight w:val="0"/>
      <w:marTop w:val="0"/>
      <w:marBottom w:val="0"/>
      <w:divBdr>
        <w:top w:val="none" w:sz="0" w:space="0" w:color="auto"/>
        <w:left w:val="none" w:sz="0" w:space="0" w:color="auto"/>
        <w:bottom w:val="none" w:sz="0" w:space="0" w:color="auto"/>
        <w:right w:val="none" w:sz="0" w:space="0" w:color="auto"/>
      </w:divBdr>
    </w:div>
    <w:div w:id="187488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810EC-F3F2-485B-BA2A-0E283354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5073</TotalTime>
  <Pages>40</Pages>
  <Words>7255</Words>
  <Characters>41355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quanchen feng</dc:creator>
  <cp:keywords/>
  <dc:description/>
  <cp:lastModifiedBy>quanchen feng</cp:lastModifiedBy>
  <cp:revision>2083</cp:revision>
  <cp:lastPrinted>2021-06-28T08:33:00Z</cp:lastPrinted>
  <dcterms:created xsi:type="dcterms:W3CDTF">2020-03-24T10:03:00Z</dcterms:created>
  <dcterms:modified xsi:type="dcterms:W3CDTF">2021-11-09T15:30:00Z</dcterms:modified>
</cp:coreProperties>
</file>