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42B4B">
      <w:pPr>
        <w:widowControl/>
        <w:spacing w:before="0" w:after="160" w:line="276" w:lineRule="auto"/>
        <w:jc w:val="center"/>
      </w:pPr>
      <w:r>
        <w:rPr>
          <w:rFonts w:ascii="Times New Roman" w:hAnsi="Times New Roman" w:eastAsia="Times New Roman"/>
          <w:b/>
          <w:i w:val="0"/>
          <w:sz w:val="28"/>
        </w:rPr>
        <w:t>Electronic Supplementary Material</w:t>
      </w:r>
    </w:p>
    <w:p w14:paraId="05C18DE1">
      <w:pPr>
        <w:widowControl/>
        <w:spacing w:before="0" w:after="140" w:line="276" w:lineRule="auto"/>
        <w:jc w:val="center"/>
        <w:rPr>
          <w:rFonts w:hint="eastAsia" w:ascii="Times New Roman" w:hAnsi="Times New Roman" w:eastAsia="Times New Roman"/>
          <w:b/>
          <w:i w:val="0"/>
          <w:sz w:val="24"/>
        </w:rPr>
      </w:pPr>
      <w:r>
        <w:rPr>
          <w:rFonts w:hint="eastAsia" w:ascii="Times New Roman" w:hAnsi="Times New Roman" w:eastAsia="Times New Roman"/>
          <w:b/>
          <w:i w:val="0"/>
          <w:sz w:val="24"/>
        </w:rPr>
        <w:t>Enhanced Sacrificial-Agent-Free Photocatalytic N₂ Reduction over a Co₃O₄/ZnS Heterojunction</w:t>
      </w:r>
    </w:p>
    <w:p w14:paraId="33600C05">
      <w:pPr>
        <w:widowControl/>
        <w:spacing w:before="0" w:after="140" w:line="276" w:lineRule="auto"/>
        <w:jc w:val="center"/>
      </w:pPr>
      <w:bookmarkStart w:id="0" w:name="_GoBack"/>
      <w:bookmarkEnd w:id="0"/>
      <w:r>
        <w:rPr>
          <w:rFonts w:ascii="Times New Roman" w:hAnsi="Times New Roman" w:eastAsia="Times New Roman"/>
          <w:b w:val="0"/>
          <w:i/>
          <w:sz w:val="20"/>
        </w:rPr>
        <w:t>Catalysis Letters</w:t>
      </w:r>
    </w:p>
    <w:p w14:paraId="6C59C37B">
      <w:pPr>
        <w:widowControl/>
        <w:spacing w:before="0" w:after="80" w:line="276" w:lineRule="auto"/>
        <w:jc w:val="center"/>
      </w:pPr>
      <w:r>
        <w:rPr>
          <w:rFonts w:ascii="Times New Roman" w:hAnsi="Times New Roman" w:eastAsia="Times New Roman"/>
          <w:b w:val="0"/>
          <w:i w:val="0"/>
          <w:sz w:val="20"/>
        </w:rPr>
        <w:t>Shenbin Fu, Xinjie Wang, Zhengcheng Liu, Jiahui Hao, Wenjing Li, Xinchang Chen, Jiajun Li and Qikun Zhang*</w:t>
      </w:r>
    </w:p>
    <w:p w14:paraId="3161120F">
      <w:pPr>
        <w:widowControl/>
        <w:spacing w:before="0" w:after="60" w:line="276" w:lineRule="auto"/>
        <w:jc w:val="center"/>
      </w:pPr>
      <w:r>
        <w:rPr>
          <w:rFonts w:ascii="Times New Roman" w:hAnsi="Times New Roman" w:eastAsia="Times New Roman"/>
          <w:b w:val="0"/>
          <w:i w:val="0"/>
          <w:sz w:val="18"/>
        </w:rPr>
        <w:t>College of Chemistry, Chemical Engineering and Materials Science, State Key Laboratory of Fluorine-Containing Functional Membrane Materials, Shandong Normal University, Jinan 250014, P. R. China</w:t>
      </w:r>
    </w:p>
    <w:p w14:paraId="255CDB01">
      <w:pPr>
        <w:widowControl/>
        <w:spacing w:before="0" w:after="200" w:line="276" w:lineRule="auto"/>
        <w:jc w:val="center"/>
      </w:pPr>
      <w:r>
        <w:rPr>
          <w:rFonts w:ascii="Times New Roman" w:hAnsi="Times New Roman" w:eastAsia="Times New Roman"/>
          <w:b w:val="0"/>
          <w:i w:val="0"/>
          <w:sz w:val="18"/>
        </w:rPr>
        <w:t>*Corresponding author: zhangqk@sdnu.edu.cn</w:t>
      </w:r>
    </w:p>
    <w:p w14:paraId="6BBC863D">
      <w:pPr>
        <w:pStyle w:val="164"/>
        <w:keepNext/>
        <w:keepLines/>
        <w:widowControl/>
      </w:pPr>
      <w:r>
        <w:rPr>
          <w:rFonts w:ascii="Times New Roman" w:hAnsi="Times New Roman" w:eastAsia="Times New Roman"/>
        </w:rPr>
        <w:t>S1. Supplementary Experimental Setup, Instrumentation, and Reaction Conditions</w:t>
      </w:r>
    </w:p>
    <w:p w14:paraId="72B4311E">
      <w:pPr>
        <w:keepNext/>
        <w:widowControl/>
        <w:spacing w:before="100" w:after="60"/>
      </w:pPr>
      <w:r>
        <w:rPr>
          <w:rFonts w:ascii="Times New Roman" w:hAnsi="Times New Roman" w:eastAsia="Times New Roman"/>
          <w:b/>
          <w:sz w:val="18"/>
        </w:rPr>
        <w:t>Table S1</w:t>
      </w:r>
      <w:r>
        <w:rPr>
          <w:rFonts w:ascii="Times New Roman" w:hAnsi="Times New Roman" w:eastAsia="Times New Roman"/>
          <w:sz w:val="18"/>
        </w:rPr>
        <w:t xml:space="preserve"> Supplementary reaction setup and operating conditions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9"/>
        <w:gridCol w:w="4649"/>
      </w:tblGrid>
      <w:tr w14:paraId="46C1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381" w:type="dxa"/>
            <w:shd w:val="clear" w:color="auto" w:fill="E7E6E6"/>
            <w:tcMar>
              <w:top w:w="70" w:type="dxa"/>
              <w:left w:w="90" w:type="dxa"/>
              <w:bottom w:w="70" w:type="dxa"/>
              <w:right w:w="90" w:type="dxa"/>
            </w:tcMar>
            <w:vAlign w:val="center"/>
          </w:tcPr>
          <w:p w14:paraId="405B713B">
            <w:pPr>
              <w:widowControl/>
              <w:spacing w:after="0" w:line="240" w:lineRule="auto"/>
            </w:pPr>
            <w:r>
              <w:rPr>
                <w:rFonts w:ascii="Times New Roman" w:hAnsi="Times New Roman" w:eastAsia="Times New Roman"/>
                <w:b/>
                <w:sz w:val="18"/>
              </w:rPr>
              <w:t>Item</w:t>
            </w:r>
          </w:p>
        </w:tc>
        <w:tc>
          <w:tcPr>
            <w:tcW w:w="6803" w:type="dxa"/>
            <w:shd w:val="clear" w:color="auto" w:fill="E7E6E6"/>
            <w:tcMar>
              <w:top w:w="70" w:type="dxa"/>
              <w:left w:w="90" w:type="dxa"/>
              <w:bottom w:w="70" w:type="dxa"/>
              <w:right w:w="90" w:type="dxa"/>
            </w:tcMar>
            <w:vAlign w:val="center"/>
          </w:tcPr>
          <w:p w14:paraId="4850C8DC">
            <w:pPr>
              <w:widowControl/>
              <w:spacing w:after="0" w:line="240" w:lineRule="auto"/>
            </w:pPr>
            <w:r>
              <w:rPr>
                <w:rFonts w:ascii="Times New Roman" w:hAnsi="Times New Roman" w:eastAsia="Times New Roman"/>
                <w:b/>
                <w:sz w:val="18"/>
              </w:rPr>
              <w:t>Supplementary information</w:t>
            </w:r>
          </w:p>
        </w:tc>
      </w:tr>
      <w:tr w14:paraId="4CCE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451C801D">
            <w:pPr>
              <w:widowControl/>
              <w:spacing w:after="0" w:line="240" w:lineRule="auto"/>
            </w:pPr>
            <w:r>
              <w:rPr>
                <w:rFonts w:ascii="Times New Roman" w:hAnsi="Times New Roman" w:eastAsia="Times New Roman"/>
                <w:b w:val="0"/>
                <w:sz w:val="18"/>
              </w:rPr>
              <w:t>Photocatalytic reactor</w:t>
            </w:r>
          </w:p>
        </w:tc>
        <w:tc>
          <w:tcPr>
            <w:tcW w:w="6803" w:type="dxa"/>
            <w:tcMar>
              <w:top w:w="70" w:type="dxa"/>
              <w:left w:w="90" w:type="dxa"/>
              <w:bottom w:w="70" w:type="dxa"/>
              <w:right w:w="90" w:type="dxa"/>
            </w:tcMar>
            <w:vAlign w:val="center"/>
          </w:tcPr>
          <w:p w14:paraId="06CB1C31">
            <w:pPr>
              <w:widowControl/>
              <w:spacing w:after="0" w:line="240" w:lineRule="auto"/>
            </w:pPr>
            <w:r>
              <w:rPr>
                <w:rFonts w:ascii="Times New Roman" w:hAnsi="Times New Roman" w:eastAsia="Times New Roman"/>
                <w:b w:val="0"/>
                <w:sz w:val="18"/>
              </w:rPr>
              <w:t>Quartz reactor; the reactor diameter was approximately 5.6 cm and the reaction-solution volume was 100 mL.</w:t>
            </w:r>
          </w:p>
        </w:tc>
      </w:tr>
      <w:tr w14:paraId="4BE8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1E59BA58">
            <w:pPr>
              <w:widowControl/>
              <w:spacing w:after="0" w:line="240" w:lineRule="auto"/>
            </w:pPr>
            <w:r>
              <w:rPr>
                <w:rFonts w:ascii="Times New Roman" w:hAnsi="Times New Roman" w:eastAsia="Times New Roman"/>
                <w:b w:val="0"/>
                <w:sz w:val="18"/>
              </w:rPr>
              <w:t>Light source</w:t>
            </w:r>
          </w:p>
        </w:tc>
        <w:tc>
          <w:tcPr>
            <w:tcW w:w="6803" w:type="dxa"/>
            <w:tcMar>
              <w:top w:w="70" w:type="dxa"/>
              <w:left w:w="90" w:type="dxa"/>
              <w:bottom w:w="70" w:type="dxa"/>
              <w:right w:w="90" w:type="dxa"/>
            </w:tcMar>
            <w:vAlign w:val="center"/>
          </w:tcPr>
          <w:p w14:paraId="61DEC2F7">
            <w:pPr>
              <w:widowControl/>
              <w:spacing w:after="0" w:line="240" w:lineRule="auto"/>
            </w:pPr>
            <w:r>
              <w:rPr>
                <w:rFonts w:ascii="Times New Roman" w:hAnsi="Times New Roman" w:eastAsia="Times New Roman"/>
                <w:b w:val="0"/>
                <w:sz w:val="18"/>
              </w:rPr>
              <w:t>300 W Xe lamp (CEL-HXF300, Beijing China Education Au-light Co., Ltd., China).</w:t>
            </w:r>
          </w:p>
        </w:tc>
      </w:tr>
      <w:tr w14:paraId="724B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4C9A74F3">
            <w:pPr>
              <w:widowControl/>
              <w:spacing w:after="0" w:line="240" w:lineRule="auto"/>
            </w:pPr>
            <w:r>
              <w:rPr>
                <w:rFonts w:ascii="Times New Roman" w:hAnsi="Times New Roman" w:eastAsia="Times New Roman"/>
                <w:b w:val="0"/>
                <w:sz w:val="18"/>
              </w:rPr>
              <w:t>Reaction temperature</w:t>
            </w:r>
          </w:p>
        </w:tc>
        <w:tc>
          <w:tcPr>
            <w:tcW w:w="6803" w:type="dxa"/>
            <w:tcMar>
              <w:top w:w="70" w:type="dxa"/>
              <w:left w:w="90" w:type="dxa"/>
              <w:bottom w:w="70" w:type="dxa"/>
              <w:right w:w="90" w:type="dxa"/>
            </w:tcMar>
            <w:vAlign w:val="center"/>
          </w:tcPr>
          <w:p w14:paraId="086E0042">
            <w:pPr>
              <w:widowControl/>
              <w:spacing w:after="0" w:line="240" w:lineRule="auto"/>
            </w:pPr>
            <w:r>
              <w:rPr>
                <w:rFonts w:ascii="Times New Roman" w:hAnsi="Times New Roman" w:eastAsia="Times New Roman"/>
                <w:b w:val="0"/>
                <w:sz w:val="18"/>
              </w:rPr>
              <w:t>Maintained at approximately 25 °C by circulating cooling water.</w:t>
            </w:r>
          </w:p>
        </w:tc>
      </w:tr>
      <w:tr w14:paraId="6885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7906BE21">
            <w:pPr>
              <w:widowControl/>
              <w:spacing w:after="0" w:line="240" w:lineRule="auto"/>
            </w:pPr>
            <w:r>
              <w:rPr>
                <w:rFonts w:ascii="Times New Roman" w:hAnsi="Times New Roman" w:eastAsia="Times New Roman"/>
                <w:b w:val="0"/>
                <w:sz w:val="18"/>
              </w:rPr>
              <w:t>Gases</w:t>
            </w:r>
          </w:p>
        </w:tc>
        <w:tc>
          <w:tcPr>
            <w:tcW w:w="6803" w:type="dxa"/>
            <w:tcMar>
              <w:top w:w="70" w:type="dxa"/>
              <w:left w:w="90" w:type="dxa"/>
              <w:bottom w:w="70" w:type="dxa"/>
              <w:right w:w="90" w:type="dxa"/>
            </w:tcMar>
            <w:vAlign w:val="center"/>
          </w:tcPr>
          <w:p w14:paraId="2B5A7585">
            <w:pPr>
              <w:widowControl/>
              <w:spacing w:after="0" w:line="240" w:lineRule="auto"/>
            </w:pPr>
            <w:r>
              <w:rPr>
                <w:rFonts w:ascii="Times New Roman" w:hAnsi="Times New Roman" w:eastAsia="Times New Roman"/>
                <w:b w:val="0"/>
                <w:sz w:val="18"/>
              </w:rPr>
              <w:t>High-purity N₂ and Ar (99.999%).</w:t>
            </w:r>
          </w:p>
        </w:tc>
      </w:tr>
      <w:tr w14:paraId="05E2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7C0C0F72">
            <w:pPr>
              <w:widowControl/>
              <w:spacing w:after="0" w:line="240" w:lineRule="auto"/>
            </w:pPr>
            <w:r>
              <w:rPr>
                <w:rFonts w:ascii="Times New Roman" w:hAnsi="Times New Roman" w:eastAsia="Times New Roman"/>
                <w:b w:val="0"/>
                <w:sz w:val="18"/>
              </w:rPr>
              <w:t>Upstream gas purification</w:t>
            </w:r>
          </w:p>
        </w:tc>
        <w:tc>
          <w:tcPr>
            <w:tcW w:w="6803" w:type="dxa"/>
            <w:tcMar>
              <w:top w:w="70" w:type="dxa"/>
              <w:left w:w="90" w:type="dxa"/>
              <w:bottom w:w="70" w:type="dxa"/>
              <w:right w:w="90" w:type="dxa"/>
            </w:tcMar>
            <w:vAlign w:val="center"/>
          </w:tcPr>
          <w:p w14:paraId="4B847A95">
            <w:pPr>
              <w:widowControl/>
              <w:spacing w:after="0" w:line="240" w:lineRule="auto"/>
            </w:pPr>
            <w:r>
              <w:rPr>
                <w:rFonts w:ascii="Times New Roman" w:hAnsi="Times New Roman" w:eastAsia="Times New Roman"/>
                <w:b w:val="0"/>
                <w:sz w:val="18"/>
              </w:rPr>
              <w:t>Before entering the reactor, N₂ was passed through an upstream purification/absorption bottle containing 10 mL of absorption solution to reduce trace ammonia-containing contaminants in the gas feed.</w:t>
            </w:r>
          </w:p>
        </w:tc>
      </w:tr>
      <w:tr w14:paraId="341E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7E3244F9">
            <w:pPr>
              <w:widowControl/>
              <w:spacing w:after="0" w:line="240" w:lineRule="auto"/>
            </w:pPr>
            <w:r>
              <w:rPr>
                <w:rFonts w:ascii="Times New Roman" w:hAnsi="Times New Roman" w:eastAsia="Times New Roman"/>
                <w:b w:val="0"/>
                <w:sz w:val="18"/>
              </w:rPr>
              <w:t>Off-gas absorption</w:t>
            </w:r>
          </w:p>
        </w:tc>
        <w:tc>
          <w:tcPr>
            <w:tcW w:w="6803" w:type="dxa"/>
            <w:tcMar>
              <w:top w:w="70" w:type="dxa"/>
              <w:left w:w="90" w:type="dxa"/>
              <w:bottom w:w="70" w:type="dxa"/>
              <w:right w:w="90" w:type="dxa"/>
            </w:tcMar>
            <w:vAlign w:val="center"/>
          </w:tcPr>
          <w:p w14:paraId="365BAC99">
            <w:pPr>
              <w:widowControl/>
              <w:spacing w:after="0" w:line="240" w:lineRule="auto"/>
            </w:pPr>
            <w:r>
              <w:rPr>
                <w:rFonts w:ascii="Times New Roman" w:hAnsi="Times New Roman" w:eastAsia="Times New Roman"/>
                <w:b w:val="0"/>
                <w:sz w:val="18"/>
              </w:rPr>
              <w:t>The reactor outlet was connected to an absorption bottle containing 100 mL of absorption solution to capture NH₃ potentially carried out by the gas stream and to minimize interference from ambient ammonia.</w:t>
            </w:r>
          </w:p>
        </w:tc>
      </w:tr>
      <w:tr w14:paraId="5AAC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6B4C120B">
            <w:pPr>
              <w:widowControl/>
              <w:spacing w:after="0" w:line="240" w:lineRule="auto"/>
            </w:pPr>
            <w:r>
              <w:rPr>
                <w:rFonts w:ascii="Times New Roman" w:hAnsi="Times New Roman" w:eastAsia="Times New Roman"/>
                <w:b w:val="0"/>
                <w:sz w:val="18"/>
              </w:rPr>
              <w:t>N₂ pre-purge</w:t>
            </w:r>
          </w:p>
        </w:tc>
        <w:tc>
          <w:tcPr>
            <w:tcW w:w="6803" w:type="dxa"/>
            <w:tcMar>
              <w:top w:w="70" w:type="dxa"/>
              <w:left w:w="90" w:type="dxa"/>
              <w:bottom w:w="70" w:type="dxa"/>
              <w:right w:w="90" w:type="dxa"/>
            </w:tcMar>
            <w:vAlign w:val="center"/>
          </w:tcPr>
          <w:p w14:paraId="11F32367">
            <w:pPr>
              <w:widowControl/>
              <w:spacing w:after="0" w:line="240" w:lineRule="auto"/>
            </w:pPr>
            <w:r>
              <w:rPr>
                <w:rFonts w:ascii="Times New Roman" w:hAnsi="Times New Roman" w:eastAsia="Times New Roman"/>
                <w:b w:val="0"/>
                <w:sz w:val="18"/>
              </w:rPr>
              <w:t>N₂ was introduced for 1 h before irradiation to remove residual air and establish sufficient contact between N₂ and the reaction system.</w:t>
            </w:r>
          </w:p>
        </w:tc>
      </w:tr>
      <w:tr w14:paraId="3BD9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23247DC8">
            <w:pPr>
              <w:widowControl/>
              <w:spacing w:after="0" w:line="240" w:lineRule="auto"/>
            </w:pPr>
            <w:r>
              <w:rPr>
                <w:rFonts w:ascii="Times New Roman" w:hAnsi="Times New Roman" w:eastAsia="Times New Roman"/>
                <w:b w:val="0"/>
                <w:sz w:val="18"/>
              </w:rPr>
              <w:t>N₂ supply</w:t>
            </w:r>
          </w:p>
        </w:tc>
        <w:tc>
          <w:tcPr>
            <w:tcW w:w="6803" w:type="dxa"/>
            <w:tcMar>
              <w:top w:w="70" w:type="dxa"/>
              <w:left w:w="90" w:type="dxa"/>
              <w:bottom w:w="70" w:type="dxa"/>
              <w:right w:w="90" w:type="dxa"/>
            </w:tcMar>
            <w:vAlign w:val="center"/>
          </w:tcPr>
          <w:p w14:paraId="7DDC7770">
            <w:pPr>
              <w:widowControl/>
              <w:spacing w:after="0" w:line="240" w:lineRule="auto"/>
            </w:pPr>
            <w:r>
              <w:rPr>
                <w:rFonts w:ascii="Times New Roman" w:hAnsi="Times New Roman" w:eastAsia="Times New Roman"/>
                <w:b w:val="0"/>
                <w:sz w:val="18"/>
              </w:rPr>
              <w:t>N₂ was continuously introduced at approximately 2–3 bubbles s⁻¹ during the reaction.</w:t>
            </w:r>
          </w:p>
        </w:tc>
      </w:tr>
      <w:tr w14:paraId="2CDC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3835E134">
            <w:pPr>
              <w:widowControl/>
              <w:spacing w:after="0" w:line="240" w:lineRule="auto"/>
            </w:pPr>
            <w:r>
              <w:rPr>
                <w:rFonts w:ascii="Times New Roman" w:hAnsi="Times New Roman" w:eastAsia="Times New Roman"/>
                <w:b w:val="0"/>
                <w:sz w:val="18"/>
              </w:rPr>
              <w:t>Sample pretreatment</w:t>
            </w:r>
          </w:p>
        </w:tc>
        <w:tc>
          <w:tcPr>
            <w:tcW w:w="6803" w:type="dxa"/>
            <w:tcMar>
              <w:top w:w="70" w:type="dxa"/>
              <w:left w:w="90" w:type="dxa"/>
              <w:bottom w:w="70" w:type="dxa"/>
              <w:right w:w="90" w:type="dxa"/>
            </w:tcMar>
            <w:vAlign w:val="center"/>
          </w:tcPr>
          <w:p w14:paraId="5B3D65B1">
            <w:pPr>
              <w:widowControl/>
              <w:spacing w:after="0" w:line="240" w:lineRule="auto"/>
            </w:pPr>
            <w:r>
              <w:rPr>
                <w:rFonts w:ascii="Times New Roman" w:hAnsi="Times New Roman" w:eastAsia="Times New Roman"/>
                <w:b w:val="0"/>
                <w:sz w:val="18"/>
              </w:rPr>
              <w:t>Catalyst (50 mg) was added to 100 mL of deionized water, ultrasonically dispersed for 30 min, and stirred in the dark before irradiation.</w:t>
            </w:r>
          </w:p>
        </w:tc>
      </w:tr>
      <w:tr w14:paraId="5C6D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4B2CD128">
            <w:pPr>
              <w:widowControl/>
              <w:spacing w:after="0" w:line="240" w:lineRule="auto"/>
            </w:pPr>
            <w:r>
              <w:rPr>
                <w:rFonts w:ascii="Times New Roman" w:hAnsi="Times New Roman" w:eastAsia="Times New Roman"/>
                <w:b w:val="0"/>
                <w:sz w:val="18"/>
              </w:rPr>
              <w:t>Reaction time</w:t>
            </w:r>
          </w:p>
        </w:tc>
        <w:tc>
          <w:tcPr>
            <w:tcW w:w="6803" w:type="dxa"/>
            <w:tcMar>
              <w:top w:w="70" w:type="dxa"/>
              <w:left w:w="90" w:type="dxa"/>
              <w:bottom w:w="70" w:type="dxa"/>
              <w:right w:w="90" w:type="dxa"/>
            </w:tcMar>
            <w:vAlign w:val="center"/>
          </w:tcPr>
          <w:p w14:paraId="338BC3C0">
            <w:pPr>
              <w:widowControl/>
              <w:spacing w:after="0" w:line="240" w:lineRule="auto"/>
            </w:pPr>
            <w:r>
              <w:rPr>
                <w:rFonts w:ascii="Times New Roman" w:hAnsi="Times New Roman" w:eastAsia="Times New Roman"/>
                <w:b w:val="0"/>
                <w:sz w:val="18"/>
              </w:rPr>
              <w:t>Reaction-time screening was conducted at 0.5, 1, 2, 3, and 4 h. A reaction time of 3 h was used for catalytic performance comparison and cycling tests.</w:t>
            </w:r>
          </w:p>
        </w:tc>
      </w:tr>
      <w:tr w14:paraId="4239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81" w:type="dxa"/>
            <w:tcMar>
              <w:top w:w="70" w:type="dxa"/>
              <w:left w:w="90" w:type="dxa"/>
              <w:bottom w:w="70" w:type="dxa"/>
              <w:right w:w="90" w:type="dxa"/>
            </w:tcMar>
            <w:vAlign w:val="center"/>
          </w:tcPr>
          <w:p w14:paraId="1A3837E2">
            <w:pPr>
              <w:widowControl/>
              <w:spacing w:after="0" w:line="240" w:lineRule="auto"/>
            </w:pPr>
            <w:r>
              <w:rPr>
                <w:rFonts w:ascii="Times New Roman" w:hAnsi="Times New Roman" w:eastAsia="Times New Roman"/>
                <w:b w:val="0"/>
                <w:sz w:val="18"/>
              </w:rPr>
              <w:t>Post-treatment</w:t>
            </w:r>
          </w:p>
        </w:tc>
        <w:tc>
          <w:tcPr>
            <w:tcW w:w="6803" w:type="dxa"/>
            <w:tcMar>
              <w:top w:w="70" w:type="dxa"/>
              <w:left w:w="90" w:type="dxa"/>
              <w:bottom w:w="70" w:type="dxa"/>
              <w:right w:w="90" w:type="dxa"/>
            </w:tcMar>
            <w:vAlign w:val="center"/>
          </w:tcPr>
          <w:p w14:paraId="3E5080CB">
            <w:pPr>
              <w:widowControl/>
              <w:spacing w:after="0" w:line="240" w:lineRule="auto"/>
            </w:pPr>
            <w:r>
              <w:rPr>
                <w:rFonts w:ascii="Times New Roman" w:hAnsi="Times New Roman" w:eastAsia="Times New Roman"/>
                <w:b w:val="0"/>
                <w:sz w:val="18"/>
              </w:rPr>
              <w:t>After reaction, the catalyst was removed by membrane filtration before ammonia quantification.</w:t>
            </w:r>
          </w:p>
        </w:tc>
      </w:tr>
    </w:tbl>
    <w:p w14:paraId="1CB58CF9">
      <w:pPr>
        <w:widowControl/>
        <w:spacing w:after="0"/>
      </w:pPr>
    </w:p>
    <w:p w14:paraId="131DA15F">
      <w:pPr>
        <w:pStyle w:val="165"/>
        <w:keepNext/>
        <w:keepLines/>
        <w:pageBreakBefore/>
        <w:widowControl/>
      </w:pPr>
      <w:r>
        <w:rPr>
          <w:rFonts w:ascii="Times New Roman" w:hAnsi="Times New Roman" w:eastAsia="Times New Roman"/>
        </w:rPr>
        <w:t>S1.1 Main Instrumentation</w:t>
      </w:r>
    </w:p>
    <w:p w14:paraId="39AEEE66">
      <w:pPr>
        <w:keepNext/>
        <w:widowControl/>
        <w:spacing w:before="100" w:after="60"/>
      </w:pPr>
      <w:r>
        <w:rPr>
          <w:rFonts w:ascii="Times New Roman" w:hAnsi="Times New Roman" w:eastAsia="Times New Roman"/>
          <w:b/>
          <w:sz w:val="18"/>
        </w:rPr>
        <w:t>Table S2</w:t>
      </w:r>
      <w:r>
        <w:rPr>
          <w:rFonts w:ascii="Times New Roman" w:hAnsi="Times New Roman" w:eastAsia="Times New Roman"/>
          <w:sz w:val="18"/>
        </w:rPr>
        <w:t xml:space="preserve"> Main instruments used in this study</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9"/>
        <w:gridCol w:w="4649"/>
      </w:tblGrid>
      <w:tr w14:paraId="5048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969" w:type="dxa"/>
            <w:shd w:val="clear" w:color="auto" w:fill="E7E6E6"/>
            <w:tcMar>
              <w:top w:w="70" w:type="dxa"/>
              <w:left w:w="90" w:type="dxa"/>
              <w:bottom w:w="70" w:type="dxa"/>
              <w:right w:w="90" w:type="dxa"/>
            </w:tcMar>
            <w:vAlign w:val="center"/>
          </w:tcPr>
          <w:p w14:paraId="3D587BCD">
            <w:pPr>
              <w:widowControl/>
              <w:spacing w:after="0" w:line="240" w:lineRule="auto"/>
            </w:pPr>
            <w:r>
              <w:rPr>
                <w:rFonts w:ascii="Times New Roman" w:hAnsi="Times New Roman" w:eastAsia="Times New Roman"/>
                <w:b/>
                <w:sz w:val="18"/>
              </w:rPr>
              <w:t>Measurement/equipment</w:t>
            </w:r>
          </w:p>
        </w:tc>
        <w:tc>
          <w:tcPr>
            <w:tcW w:w="5216" w:type="dxa"/>
            <w:shd w:val="clear" w:color="auto" w:fill="E7E6E6"/>
            <w:tcMar>
              <w:top w:w="70" w:type="dxa"/>
              <w:left w:w="90" w:type="dxa"/>
              <w:bottom w:w="70" w:type="dxa"/>
              <w:right w:w="90" w:type="dxa"/>
            </w:tcMar>
            <w:vAlign w:val="center"/>
          </w:tcPr>
          <w:p w14:paraId="19A4B3C0">
            <w:pPr>
              <w:widowControl/>
              <w:spacing w:after="0" w:line="240" w:lineRule="auto"/>
            </w:pPr>
            <w:r>
              <w:rPr>
                <w:rFonts w:ascii="Times New Roman" w:hAnsi="Times New Roman" w:eastAsia="Times New Roman"/>
                <w:b/>
                <w:sz w:val="18"/>
              </w:rPr>
              <w:t>Manufacturer or model</w:t>
            </w:r>
          </w:p>
        </w:tc>
      </w:tr>
      <w:tr w14:paraId="27AD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2FFE3074">
            <w:pPr>
              <w:widowControl/>
              <w:spacing w:after="0" w:line="240" w:lineRule="auto"/>
            </w:pPr>
            <w:r>
              <w:rPr>
                <w:rFonts w:ascii="Times New Roman" w:hAnsi="Times New Roman" w:eastAsia="Times New Roman"/>
                <w:b w:val="0"/>
                <w:sz w:val="18"/>
              </w:rPr>
              <w:t>X-ray diffraction (XRD)</w:t>
            </w:r>
          </w:p>
        </w:tc>
        <w:tc>
          <w:tcPr>
            <w:tcW w:w="5216" w:type="dxa"/>
            <w:tcMar>
              <w:top w:w="70" w:type="dxa"/>
              <w:left w:w="90" w:type="dxa"/>
              <w:bottom w:w="70" w:type="dxa"/>
              <w:right w:w="90" w:type="dxa"/>
            </w:tcMar>
            <w:vAlign w:val="center"/>
          </w:tcPr>
          <w:p w14:paraId="2F7479DD">
            <w:pPr>
              <w:widowControl/>
              <w:spacing w:after="0" w:line="240" w:lineRule="auto"/>
            </w:pPr>
            <w:r>
              <w:rPr>
                <w:rFonts w:ascii="Times New Roman" w:hAnsi="Times New Roman" w:eastAsia="Times New Roman"/>
                <w:b w:val="0"/>
                <w:sz w:val="18"/>
              </w:rPr>
              <w:t>Rigaku, Japan</w:t>
            </w:r>
          </w:p>
        </w:tc>
      </w:tr>
      <w:tr w14:paraId="50DE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533BA228">
            <w:pPr>
              <w:widowControl/>
              <w:spacing w:after="0" w:line="240" w:lineRule="auto"/>
            </w:pPr>
            <w:r>
              <w:rPr>
                <w:rFonts w:ascii="Times New Roman" w:hAnsi="Times New Roman" w:eastAsia="Times New Roman"/>
                <w:b w:val="0"/>
                <w:sz w:val="18"/>
              </w:rPr>
              <w:t>X-ray photoelectron spectroscopy (XPS)</w:t>
            </w:r>
          </w:p>
        </w:tc>
        <w:tc>
          <w:tcPr>
            <w:tcW w:w="5216" w:type="dxa"/>
            <w:tcMar>
              <w:top w:w="70" w:type="dxa"/>
              <w:left w:w="90" w:type="dxa"/>
              <w:bottom w:w="70" w:type="dxa"/>
              <w:right w:w="90" w:type="dxa"/>
            </w:tcMar>
            <w:vAlign w:val="center"/>
          </w:tcPr>
          <w:p w14:paraId="571085A4">
            <w:pPr>
              <w:widowControl/>
              <w:spacing w:after="0" w:line="240" w:lineRule="auto"/>
            </w:pPr>
            <w:r>
              <w:rPr>
                <w:rFonts w:ascii="Times New Roman" w:hAnsi="Times New Roman" w:eastAsia="Times New Roman"/>
                <w:b w:val="0"/>
                <w:sz w:val="18"/>
              </w:rPr>
              <w:t>Rigaku, Japan</w:t>
            </w:r>
          </w:p>
        </w:tc>
      </w:tr>
      <w:tr w14:paraId="2BD0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44F570FD">
            <w:pPr>
              <w:widowControl/>
              <w:spacing w:after="0" w:line="240" w:lineRule="auto"/>
            </w:pPr>
            <w:r>
              <w:rPr>
                <w:rFonts w:ascii="Times New Roman" w:hAnsi="Times New Roman" w:eastAsia="Times New Roman"/>
                <w:b w:val="0"/>
                <w:sz w:val="18"/>
              </w:rPr>
              <w:t>Scanning electron microscopy (SEM)</w:t>
            </w:r>
          </w:p>
        </w:tc>
        <w:tc>
          <w:tcPr>
            <w:tcW w:w="5216" w:type="dxa"/>
            <w:tcMar>
              <w:top w:w="70" w:type="dxa"/>
              <w:left w:w="90" w:type="dxa"/>
              <w:bottom w:w="70" w:type="dxa"/>
              <w:right w:w="90" w:type="dxa"/>
            </w:tcMar>
            <w:vAlign w:val="center"/>
          </w:tcPr>
          <w:p w14:paraId="1D67B786">
            <w:pPr>
              <w:widowControl/>
              <w:spacing w:after="0" w:line="240" w:lineRule="auto"/>
            </w:pPr>
            <w:r>
              <w:rPr>
                <w:rFonts w:ascii="Times New Roman" w:hAnsi="Times New Roman" w:eastAsia="Times New Roman"/>
                <w:b w:val="0"/>
                <w:sz w:val="18"/>
              </w:rPr>
              <w:t>Hitachi High-Technologies, Japan</w:t>
            </w:r>
          </w:p>
        </w:tc>
      </w:tr>
      <w:tr w14:paraId="4DEE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65572326">
            <w:pPr>
              <w:widowControl/>
              <w:spacing w:after="0" w:line="240" w:lineRule="auto"/>
            </w:pPr>
            <w:r>
              <w:rPr>
                <w:rFonts w:ascii="Times New Roman" w:hAnsi="Times New Roman" w:eastAsia="Times New Roman"/>
                <w:b w:val="0"/>
                <w:sz w:val="18"/>
              </w:rPr>
              <w:t>Transmission/high-resolution transmission electron microscopy (TEM/HRTEM)</w:t>
            </w:r>
          </w:p>
        </w:tc>
        <w:tc>
          <w:tcPr>
            <w:tcW w:w="5216" w:type="dxa"/>
            <w:tcMar>
              <w:top w:w="70" w:type="dxa"/>
              <w:left w:w="90" w:type="dxa"/>
              <w:bottom w:w="70" w:type="dxa"/>
              <w:right w:w="90" w:type="dxa"/>
            </w:tcMar>
            <w:vAlign w:val="center"/>
          </w:tcPr>
          <w:p w14:paraId="7DE1761E">
            <w:pPr>
              <w:widowControl/>
              <w:spacing w:after="0" w:line="240" w:lineRule="auto"/>
            </w:pPr>
            <w:r>
              <w:rPr>
                <w:rFonts w:ascii="Times New Roman" w:hAnsi="Times New Roman" w:eastAsia="Times New Roman"/>
                <w:b w:val="0"/>
                <w:sz w:val="18"/>
              </w:rPr>
              <w:t>JEOL, Japan</w:t>
            </w:r>
          </w:p>
        </w:tc>
      </w:tr>
      <w:tr w14:paraId="7E1A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47B8BD64">
            <w:pPr>
              <w:widowControl/>
              <w:spacing w:after="0" w:line="240" w:lineRule="auto"/>
            </w:pPr>
            <w:r>
              <w:rPr>
                <w:rFonts w:ascii="Times New Roman" w:hAnsi="Times New Roman" w:eastAsia="Times New Roman"/>
                <w:b w:val="0"/>
                <w:sz w:val="18"/>
              </w:rPr>
              <w:t>Electrochemical workstation</w:t>
            </w:r>
          </w:p>
        </w:tc>
        <w:tc>
          <w:tcPr>
            <w:tcW w:w="5216" w:type="dxa"/>
            <w:tcMar>
              <w:top w:w="70" w:type="dxa"/>
              <w:left w:w="90" w:type="dxa"/>
              <w:bottom w:w="70" w:type="dxa"/>
              <w:right w:w="90" w:type="dxa"/>
            </w:tcMar>
            <w:vAlign w:val="center"/>
          </w:tcPr>
          <w:p w14:paraId="70708DC8">
            <w:pPr>
              <w:widowControl/>
              <w:spacing w:after="0" w:line="240" w:lineRule="auto"/>
            </w:pPr>
            <w:r>
              <w:rPr>
                <w:rFonts w:ascii="Times New Roman" w:hAnsi="Times New Roman" w:eastAsia="Times New Roman"/>
                <w:b w:val="0"/>
                <w:sz w:val="18"/>
              </w:rPr>
              <w:t>Princeton VersaSTAT3</w:t>
            </w:r>
          </w:p>
        </w:tc>
      </w:tr>
      <w:tr w14:paraId="4A6D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2CE68053">
            <w:pPr>
              <w:widowControl/>
              <w:spacing w:after="0" w:line="240" w:lineRule="auto"/>
            </w:pPr>
            <w:r>
              <w:rPr>
                <w:rFonts w:ascii="Times New Roman" w:hAnsi="Times New Roman" w:eastAsia="Times New Roman"/>
                <w:b w:val="0"/>
                <w:sz w:val="18"/>
              </w:rPr>
              <w:t>Xe lamp light source</w:t>
            </w:r>
          </w:p>
        </w:tc>
        <w:tc>
          <w:tcPr>
            <w:tcW w:w="5216" w:type="dxa"/>
            <w:tcMar>
              <w:top w:w="70" w:type="dxa"/>
              <w:left w:w="90" w:type="dxa"/>
              <w:bottom w:w="70" w:type="dxa"/>
              <w:right w:w="90" w:type="dxa"/>
            </w:tcMar>
            <w:vAlign w:val="center"/>
          </w:tcPr>
          <w:p w14:paraId="27ED83CB">
            <w:pPr>
              <w:widowControl/>
              <w:spacing w:after="0" w:line="240" w:lineRule="auto"/>
            </w:pPr>
            <w:r>
              <w:rPr>
                <w:rFonts w:ascii="Times New Roman" w:hAnsi="Times New Roman" w:eastAsia="Times New Roman"/>
                <w:b w:val="0"/>
                <w:sz w:val="18"/>
              </w:rPr>
              <w:t>CEL-HXF300, Beijing China Education Au-light Co., Ltd., China</w:t>
            </w:r>
          </w:p>
        </w:tc>
      </w:tr>
      <w:tr w14:paraId="4FE4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440E2D20">
            <w:pPr>
              <w:widowControl/>
              <w:spacing w:after="0" w:line="240" w:lineRule="auto"/>
            </w:pPr>
            <w:r>
              <w:rPr>
                <w:rFonts w:ascii="Times New Roman" w:hAnsi="Times New Roman" w:eastAsia="Times New Roman"/>
                <w:b w:val="0"/>
                <w:sz w:val="18"/>
              </w:rPr>
              <w:t>UV–Vis spectrophotometer</w:t>
            </w:r>
          </w:p>
        </w:tc>
        <w:tc>
          <w:tcPr>
            <w:tcW w:w="5216" w:type="dxa"/>
            <w:tcMar>
              <w:top w:w="70" w:type="dxa"/>
              <w:left w:w="90" w:type="dxa"/>
              <w:bottom w:w="70" w:type="dxa"/>
              <w:right w:w="90" w:type="dxa"/>
            </w:tcMar>
            <w:vAlign w:val="center"/>
          </w:tcPr>
          <w:p w14:paraId="2D249961">
            <w:pPr>
              <w:widowControl/>
              <w:spacing w:after="0" w:line="240" w:lineRule="auto"/>
            </w:pPr>
            <w:r>
              <w:rPr>
                <w:rFonts w:ascii="Times New Roman" w:hAnsi="Times New Roman" w:eastAsia="Times New Roman"/>
                <w:b w:val="0"/>
                <w:sz w:val="18"/>
              </w:rPr>
              <w:t>Beijing Purkinje General Instrument Co., Ltd., China</w:t>
            </w:r>
          </w:p>
        </w:tc>
      </w:tr>
      <w:tr w14:paraId="7B61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69" w:type="dxa"/>
            <w:tcMar>
              <w:top w:w="70" w:type="dxa"/>
              <w:left w:w="90" w:type="dxa"/>
              <w:bottom w:w="70" w:type="dxa"/>
              <w:right w:w="90" w:type="dxa"/>
            </w:tcMar>
            <w:vAlign w:val="center"/>
          </w:tcPr>
          <w:p w14:paraId="65F64A72">
            <w:pPr>
              <w:widowControl/>
              <w:spacing w:after="0" w:line="240" w:lineRule="auto"/>
            </w:pPr>
            <w:r>
              <w:rPr>
                <w:rFonts w:ascii="Times New Roman" w:hAnsi="Times New Roman" w:eastAsia="Times New Roman"/>
                <w:b w:val="0"/>
                <w:sz w:val="18"/>
              </w:rPr>
              <w:t>Muffle furnace</w:t>
            </w:r>
          </w:p>
        </w:tc>
        <w:tc>
          <w:tcPr>
            <w:tcW w:w="5216" w:type="dxa"/>
            <w:tcMar>
              <w:top w:w="70" w:type="dxa"/>
              <w:left w:w="90" w:type="dxa"/>
              <w:bottom w:w="70" w:type="dxa"/>
              <w:right w:w="90" w:type="dxa"/>
            </w:tcMar>
            <w:vAlign w:val="center"/>
          </w:tcPr>
          <w:p w14:paraId="3B9D9570">
            <w:pPr>
              <w:widowControl/>
              <w:spacing w:after="0" w:line="240" w:lineRule="auto"/>
            </w:pPr>
            <w:r>
              <w:rPr>
                <w:rFonts w:ascii="Times New Roman" w:hAnsi="Times New Roman" w:eastAsia="Times New Roman"/>
                <w:b w:val="0"/>
                <w:sz w:val="18"/>
              </w:rPr>
              <w:t>TG30L-14, Shanghai Muffle Furnace Technology Co., Ltd., China</w:t>
            </w:r>
          </w:p>
        </w:tc>
      </w:tr>
    </w:tbl>
    <w:p w14:paraId="2930B003">
      <w:pPr>
        <w:widowControl/>
        <w:spacing w:after="0"/>
      </w:pPr>
    </w:p>
    <w:p w14:paraId="4B71C53C">
      <w:pPr>
        <w:pStyle w:val="164"/>
        <w:keepNext/>
        <w:keepLines/>
        <w:widowControl/>
      </w:pPr>
      <w:r>
        <w:rPr>
          <w:rFonts w:ascii="Times New Roman" w:hAnsi="Times New Roman" w:eastAsia="Times New Roman"/>
        </w:rPr>
        <w:t>S2. Determination of NH₃ by the Indophenol Blue Spectrophotometric Method</w:t>
      </w:r>
    </w:p>
    <w:p w14:paraId="0D7FE49B">
      <w:pPr>
        <w:widowControl/>
        <w:spacing w:before="0" w:after="100" w:line="276" w:lineRule="auto"/>
      </w:pPr>
      <w:r>
        <w:rPr>
          <w:rFonts w:ascii="Times New Roman" w:hAnsi="Times New Roman" w:eastAsia="Times New Roman"/>
          <w:b w:val="0"/>
          <w:i w:val="0"/>
        </w:rPr>
        <w:t>Ammonia generated in the reaction solution was quantified using the indophenol blue spectrophotometric method. After completion of the photocatalytic reaction, the solid catalyst was removed and the clarified reaction solution was collected for color development. The sample was sequentially treated with the salicylic acid color-development system, sodium nitroprusside solution, and sodium hypochlorite solution, followed by color development at room temperature for 1 h. After color development, water was used as the reference and the absorbance was measured at 697.5 nm. The ammonia concentration in the sample was then determined from the calibration curve.</w:t>
      </w:r>
    </w:p>
    <w:p w14:paraId="7D01AC42">
      <w:pPr>
        <w:widowControl/>
        <w:spacing w:before="0" w:after="100" w:line="276" w:lineRule="auto"/>
      </w:pPr>
      <w:r>
        <w:rPr>
          <w:rFonts w:ascii="Times New Roman" w:hAnsi="Times New Roman" w:eastAsia="Times New Roman"/>
          <w:b w:val="0"/>
          <w:i w:val="0"/>
        </w:rPr>
        <w:t>In this method, the salicylic acid system forms the colored product, sodium nitroprusside acts as a catalyst, and sodium hypochlorite provides the oxidizing conditions. To minimize background errors in trace-ammonia determination, calibration standards, blanks, and reaction samples were subjected to identical color-reagent volumes, reaction times, and matrix conditions.</w:t>
      </w:r>
    </w:p>
    <w:p w14:paraId="5BF8D24D">
      <w:pPr>
        <w:widowControl/>
        <w:spacing w:before="80" w:after="40"/>
        <w:jc w:val="center"/>
      </w:pPr>
      <w:r>
        <w:rPr>
          <w:rFonts w:ascii="Times New Roman" w:hAnsi="Times New Roman" w:eastAsia="Times New Roman"/>
        </w:rPr>
        <w:drawing>
          <wp:inline distT="0" distB="0" distL="114300" distR="114300">
            <wp:extent cx="4859655" cy="3272790"/>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4860000" cy="3272942"/>
                    </a:xfrm>
                    <a:prstGeom prst="rect">
                      <a:avLst/>
                    </a:prstGeom>
                  </pic:spPr>
                </pic:pic>
              </a:graphicData>
            </a:graphic>
          </wp:inline>
        </w:drawing>
      </w:r>
    </w:p>
    <w:p w14:paraId="1F66986D">
      <w:pPr>
        <w:widowControl/>
        <w:spacing w:after="120"/>
        <w:jc w:val="center"/>
      </w:pPr>
      <w:r>
        <w:rPr>
          <w:rFonts w:ascii="Times New Roman" w:hAnsi="Times New Roman" w:eastAsia="Times New Roman"/>
          <w:b/>
          <w:sz w:val="18"/>
        </w:rPr>
        <w:t>Fig. S1</w:t>
      </w:r>
      <w:r>
        <w:rPr>
          <w:rFonts w:ascii="Times New Roman" w:hAnsi="Times New Roman" w:eastAsia="Times New Roman"/>
          <w:sz w:val="18"/>
        </w:rPr>
        <w:t xml:space="preserve"> Color changes of samples after indophenol blue color development (original experimental record)</w:t>
      </w:r>
    </w:p>
    <w:p w14:paraId="73AA8BCC">
      <w:pPr>
        <w:pStyle w:val="165"/>
        <w:keepNext/>
        <w:keepLines/>
        <w:widowControl/>
      </w:pPr>
      <w:r>
        <w:rPr>
          <w:rFonts w:ascii="Times New Roman" w:hAnsi="Times New Roman" w:eastAsia="Times New Roman"/>
        </w:rPr>
        <w:t>S2.1 Standard Calibration Curve</w:t>
      </w:r>
    </w:p>
    <w:p w14:paraId="2293F80B">
      <w:pPr>
        <w:widowControl/>
        <w:spacing w:before="0" w:after="80" w:line="276" w:lineRule="auto"/>
      </w:pPr>
      <w:r>
        <w:rPr>
          <w:rFonts w:ascii="Times New Roman" w:hAnsi="Times New Roman" w:eastAsia="Times New Roman"/>
          <w:b w:val="0"/>
          <w:i w:val="0"/>
        </w:rPr>
        <w:t>The calibration curve used for ammonia quantification was fitted according to the following linear equation:</w:t>
      </w:r>
    </w:p>
    <w:p w14:paraId="098F9420">
      <w:pPr>
        <w:widowControl/>
        <w:spacing w:before="0" w:after="80" w:line="276" w:lineRule="auto"/>
        <w:jc w:val="center"/>
      </w:pPr>
      <w:r>
        <w:rPr>
          <w:rFonts w:ascii="Times New Roman" w:hAnsi="Times New Roman" w:eastAsia="Times New Roman"/>
          <w:b/>
          <w:i w:val="0"/>
          <w:sz w:val="20"/>
        </w:rPr>
        <w:t>A = 0.74949 C + 0.0274    (R² = 0.99912)</w:t>
      </w:r>
    </w:p>
    <w:p w14:paraId="23B6A746">
      <w:pPr>
        <w:widowControl/>
        <w:spacing w:before="0" w:after="100" w:line="276" w:lineRule="auto"/>
      </w:pPr>
      <w:r>
        <w:rPr>
          <w:rFonts w:ascii="Times New Roman" w:hAnsi="Times New Roman" w:eastAsia="Times New Roman"/>
          <w:b w:val="0"/>
          <w:i w:val="0"/>
        </w:rPr>
        <w:t>where A is the absorbance at 697.5 nm and C is the NH₃–N concentration (mg L⁻¹), as labeled in the original calibration plot. The linear relationship indicates a good response over the investigated concentration range.</w:t>
      </w:r>
    </w:p>
    <w:p w14:paraId="60D99A81">
      <w:pPr>
        <w:widowControl/>
        <w:spacing w:before="80" w:after="40"/>
        <w:jc w:val="center"/>
      </w:pPr>
      <w:r>
        <w:rPr>
          <w:rFonts w:ascii="Times New Roman" w:hAnsi="Times New Roman" w:eastAsia="Times New Roman"/>
        </w:rPr>
        <w:drawing>
          <wp:inline distT="0" distB="0" distL="114300" distR="114300">
            <wp:extent cx="4247515" cy="3298825"/>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4248000" cy="3299417"/>
                    </a:xfrm>
                    <a:prstGeom prst="rect">
                      <a:avLst/>
                    </a:prstGeom>
                  </pic:spPr>
                </pic:pic>
              </a:graphicData>
            </a:graphic>
          </wp:inline>
        </w:drawing>
      </w:r>
    </w:p>
    <w:p w14:paraId="4AF05AE7">
      <w:pPr>
        <w:widowControl/>
        <w:spacing w:after="120"/>
        <w:jc w:val="center"/>
      </w:pPr>
      <w:r>
        <w:rPr>
          <w:rFonts w:ascii="Times New Roman" w:hAnsi="Times New Roman" w:eastAsia="Times New Roman"/>
          <w:b/>
          <w:sz w:val="18"/>
        </w:rPr>
        <w:t>Fig. S2</w:t>
      </w:r>
      <w:r>
        <w:rPr>
          <w:rFonts w:ascii="Times New Roman" w:hAnsi="Times New Roman" w:eastAsia="Times New Roman"/>
          <w:sz w:val="18"/>
        </w:rPr>
        <w:t xml:space="preserve"> Standard calibration curve for the indophenol blue method</w:t>
      </w:r>
    </w:p>
    <w:p w14:paraId="40A90129">
      <w:pPr>
        <w:pStyle w:val="165"/>
        <w:keepNext/>
        <w:keepLines/>
        <w:widowControl/>
      </w:pPr>
      <w:r>
        <w:rPr>
          <w:rFonts w:ascii="Times New Roman" w:hAnsi="Times New Roman" w:eastAsia="Times New Roman"/>
        </w:rPr>
        <w:t>S2.2 Calculation of the NH₃ Formation Rate</w:t>
      </w:r>
    </w:p>
    <w:p w14:paraId="13325F6D">
      <w:pPr>
        <w:widowControl/>
        <w:spacing w:before="0" w:after="80" w:line="276" w:lineRule="auto"/>
      </w:pPr>
      <w:r>
        <w:rPr>
          <w:rFonts w:ascii="Times New Roman" w:hAnsi="Times New Roman" w:eastAsia="Times New Roman"/>
          <w:b w:val="0"/>
          <w:i w:val="0"/>
        </w:rPr>
        <w:t>After subtraction of the corresponding blank, the NH₃ formation rate was calculated as follows:</w:t>
      </w:r>
    </w:p>
    <w:p w14:paraId="2CF352C4">
      <w:pPr>
        <w:widowControl/>
        <w:spacing w:before="0" w:after="80" w:line="276" w:lineRule="auto"/>
        <w:jc w:val="center"/>
      </w:pPr>
      <w:r>
        <w:rPr>
          <w:rFonts w:ascii="Times New Roman" w:hAnsi="Times New Roman" w:eastAsia="Times New Roman"/>
          <w:b/>
          <w:i w:val="0"/>
          <w:sz w:val="20"/>
        </w:rPr>
        <w:t>r(NH₃) = C × V / (m × t)</w:t>
      </w:r>
    </w:p>
    <w:p w14:paraId="056D964D">
      <w:pPr>
        <w:widowControl/>
        <w:spacing w:before="0" w:after="100" w:line="276" w:lineRule="auto"/>
      </w:pPr>
      <w:r>
        <w:rPr>
          <w:rFonts w:ascii="Times New Roman" w:hAnsi="Times New Roman" w:eastAsia="Times New Roman"/>
          <w:b w:val="0"/>
          <w:i w:val="0"/>
        </w:rPr>
        <w:t>where C is the blank-corrected NH₃ concentration, V is the reaction-solution volume, m is the catalyst mass, and t is the irradiation time. When repeated aliquot withdrawal was performed without equivalent liquid replenishment, the cumulative sampling volume was considered when calculating the final NH₃ amount.</w:t>
      </w:r>
    </w:p>
    <w:p w14:paraId="6AA78202">
      <w:pPr>
        <w:pStyle w:val="164"/>
        <w:keepNext/>
        <w:keepLines/>
        <w:widowControl/>
      </w:pPr>
      <w:r>
        <w:rPr>
          <w:rFonts w:ascii="Times New Roman" w:hAnsi="Times New Roman" w:eastAsia="Times New Roman"/>
        </w:rPr>
        <w:t>S3. Supplementary Conditions for Reaction Time and Catalyst Dosage</w:t>
      </w:r>
    </w:p>
    <w:p w14:paraId="1E796815">
      <w:pPr>
        <w:keepNext/>
        <w:widowControl/>
        <w:spacing w:before="100" w:after="60"/>
      </w:pPr>
      <w:r>
        <w:rPr>
          <w:rFonts w:ascii="Times New Roman" w:hAnsi="Times New Roman" w:eastAsia="Times New Roman"/>
          <w:b/>
          <w:sz w:val="18"/>
        </w:rPr>
        <w:t>Table S3</w:t>
      </w:r>
      <w:r>
        <w:rPr>
          <w:rFonts w:ascii="Times New Roman" w:hAnsi="Times New Roman" w:eastAsia="Times New Roman"/>
          <w:sz w:val="18"/>
        </w:rPr>
        <w:t xml:space="preserve"> Supplementary reaction-time and catalyst-dosage conditions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9"/>
        <w:gridCol w:w="3099"/>
        <w:gridCol w:w="3099"/>
      </w:tblGrid>
      <w:tr w14:paraId="39E8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871" w:type="dxa"/>
            <w:shd w:val="clear" w:color="auto" w:fill="E7E6E6"/>
            <w:tcMar>
              <w:top w:w="70" w:type="dxa"/>
              <w:left w:w="90" w:type="dxa"/>
              <w:bottom w:w="70" w:type="dxa"/>
              <w:right w:w="90" w:type="dxa"/>
            </w:tcMar>
            <w:vAlign w:val="center"/>
          </w:tcPr>
          <w:p w14:paraId="46D9D7F8">
            <w:pPr>
              <w:widowControl/>
              <w:spacing w:after="0" w:line="240" w:lineRule="auto"/>
            </w:pPr>
            <w:r>
              <w:rPr>
                <w:rFonts w:ascii="Times New Roman" w:hAnsi="Times New Roman" w:eastAsia="Times New Roman"/>
                <w:b/>
                <w:sz w:val="18"/>
              </w:rPr>
              <w:t>Factor</w:t>
            </w:r>
          </w:p>
        </w:tc>
        <w:tc>
          <w:tcPr>
            <w:tcW w:w="2835" w:type="dxa"/>
            <w:shd w:val="clear" w:color="auto" w:fill="E7E6E6"/>
            <w:tcMar>
              <w:top w:w="70" w:type="dxa"/>
              <w:left w:w="90" w:type="dxa"/>
              <w:bottom w:w="70" w:type="dxa"/>
              <w:right w:w="90" w:type="dxa"/>
            </w:tcMar>
            <w:vAlign w:val="center"/>
          </w:tcPr>
          <w:p w14:paraId="6C74B041">
            <w:pPr>
              <w:widowControl/>
              <w:spacing w:after="0" w:line="240" w:lineRule="auto"/>
            </w:pPr>
            <w:r>
              <w:rPr>
                <w:rFonts w:ascii="Times New Roman" w:hAnsi="Times New Roman" w:eastAsia="Times New Roman"/>
                <w:b/>
                <w:sz w:val="18"/>
              </w:rPr>
              <w:t>Experimental setting</w:t>
            </w:r>
          </w:p>
        </w:tc>
        <w:tc>
          <w:tcPr>
            <w:tcW w:w="4479" w:type="dxa"/>
            <w:shd w:val="clear" w:color="auto" w:fill="E7E6E6"/>
            <w:tcMar>
              <w:top w:w="70" w:type="dxa"/>
              <w:left w:w="90" w:type="dxa"/>
              <w:bottom w:w="70" w:type="dxa"/>
              <w:right w:w="90" w:type="dxa"/>
            </w:tcMar>
            <w:vAlign w:val="center"/>
          </w:tcPr>
          <w:p w14:paraId="4F4AE6BE">
            <w:pPr>
              <w:widowControl/>
              <w:spacing w:after="0" w:line="240" w:lineRule="auto"/>
            </w:pPr>
            <w:r>
              <w:rPr>
                <w:rFonts w:ascii="Times New Roman" w:hAnsi="Times New Roman" w:eastAsia="Times New Roman"/>
                <w:b/>
                <w:sz w:val="18"/>
              </w:rPr>
              <w:t>Supplementary description</w:t>
            </w:r>
          </w:p>
        </w:tc>
      </w:tr>
      <w:tr w14:paraId="759E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71" w:type="dxa"/>
            <w:tcMar>
              <w:top w:w="70" w:type="dxa"/>
              <w:left w:w="90" w:type="dxa"/>
              <w:bottom w:w="70" w:type="dxa"/>
              <w:right w:w="90" w:type="dxa"/>
            </w:tcMar>
            <w:vAlign w:val="center"/>
          </w:tcPr>
          <w:p w14:paraId="49D080E6">
            <w:pPr>
              <w:widowControl/>
              <w:spacing w:after="0" w:line="240" w:lineRule="auto"/>
            </w:pPr>
            <w:r>
              <w:rPr>
                <w:rFonts w:ascii="Times New Roman" w:hAnsi="Times New Roman" w:eastAsia="Times New Roman"/>
                <w:b w:val="0"/>
                <w:sz w:val="18"/>
              </w:rPr>
              <w:t>Irradiation time</w:t>
            </w:r>
          </w:p>
        </w:tc>
        <w:tc>
          <w:tcPr>
            <w:tcW w:w="2835" w:type="dxa"/>
            <w:tcMar>
              <w:top w:w="70" w:type="dxa"/>
              <w:left w:w="90" w:type="dxa"/>
              <w:bottom w:w="70" w:type="dxa"/>
              <w:right w:w="90" w:type="dxa"/>
            </w:tcMar>
            <w:vAlign w:val="center"/>
          </w:tcPr>
          <w:p w14:paraId="6AC26F51">
            <w:pPr>
              <w:widowControl/>
              <w:spacing w:after="0" w:line="240" w:lineRule="auto"/>
            </w:pPr>
            <w:r>
              <w:rPr>
                <w:rFonts w:ascii="Times New Roman" w:hAnsi="Times New Roman" w:eastAsia="Times New Roman"/>
                <w:b w:val="0"/>
                <w:sz w:val="18"/>
              </w:rPr>
              <w:t>0.5, 1, 2, 3, and 4 h</w:t>
            </w:r>
          </w:p>
        </w:tc>
        <w:tc>
          <w:tcPr>
            <w:tcW w:w="4479" w:type="dxa"/>
            <w:tcMar>
              <w:top w:w="70" w:type="dxa"/>
              <w:left w:w="90" w:type="dxa"/>
              <w:bottom w:w="70" w:type="dxa"/>
              <w:right w:w="90" w:type="dxa"/>
            </w:tcMar>
            <w:vAlign w:val="center"/>
          </w:tcPr>
          <w:p w14:paraId="614878AC">
            <w:pPr>
              <w:widowControl/>
              <w:spacing w:after="0" w:line="240" w:lineRule="auto"/>
            </w:pPr>
            <w:r>
              <w:rPr>
                <w:rFonts w:ascii="Times New Roman" w:hAnsi="Times New Roman" w:eastAsia="Times New Roman"/>
                <w:b w:val="0"/>
                <w:sz w:val="18"/>
              </w:rPr>
              <w:t>N₂ was continuously supplied during the reaction. The increase in NH₃ formation became less pronounced after 3 h; therefore, 3 h was selected as the principal reaction time.</w:t>
            </w:r>
          </w:p>
        </w:tc>
      </w:tr>
      <w:tr w14:paraId="1BD6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71" w:type="dxa"/>
            <w:tcMar>
              <w:top w:w="70" w:type="dxa"/>
              <w:left w:w="90" w:type="dxa"/>
              <w:bottom w:w="70" w:type="dxa"/>
              <w:right w:w="90" w:type="dxa"/>
            </w:tcMar>
            <w:vAlign w:val="center"/>
          </w:tcPr>
          <w:p w14:paraId="0F017A25">
            <w:pPr>
              <w:widowControl/>
              <w:spacing w:after="0" w:line="240" w:lineRule="auto"/>
            </w:pPr>
            <w:r>
              <w:rPr>
                <w:rFonts w:ascii="Times New Roman" w:hAnsi="Times New Roman" w:eastAsia="Times New Roman"/>
                <w:b w:val="0"/>
                <w:sz w:val="18"/>
              </w:rPr>
              <w:t>Catalyst dosage</w:t>
            </w:r>
          </w:p>
        </w:tc>
        <w:tc>
          <w:tcPr>
            <w:tcW w:w="2835" w:type="dxa"/>
            <w:tcMar>
              <w:top w:w="70" w:type="dxa"/>
              <w:left w:w="90" w:type="dxa"/>
              <w:bottom w:w="70" w:type="dxa"/>
              <w:right w:w="90" w:type="dxa"/>
            </w:tcMar>
            <w:vAlign w:val="center"/>
          </w:tcPr>
          <w:p w14:paraId="23E2272F">
            <w:pPr>
              <w:widowControl/>
              <w:spacing w:after="0" w:line="240" w:lineRule="auto"/>
            </w:pPr>
            <w:r>
              <w:rPr>
                <w:rFonts w:ascii="Times New Roman" w:hAnsi="Times New Roman" w:eastAsia="Times New Roman"/>
                <w:b w:val="0"/>
                <w:sz w:val="18"/>
              </w:rPr>
              <w:t>0, 10, 20, 50, and 100 mg</w:t>
            </w:r>
          </w:p>
        </w:tc>
        <w:tc>
          <w:tcPr>
            <w:tcW w:w="4479" w:type="dxa"/>
            <w:tcMar>
              <w:top w:w="70" w:type="dxa"/>
              <w:left w:w="90" w:type="dxa"/>
              <w:bottom w:w="70" w:type="dxa"/>
              <w:right w:w="90" w:type="dxa"/>
            </w:tcMar>
            <w:vAlign w:val="center"/>
          </w:tcPr>
          <w:p w14:paraId="744D4F5C">
            <w:pPr>
              <w:widowControl/>
              <w:spacing w:after="0" w:line="240" w:lineRule="auto"/>
            </w:pPr>
            <w:r>
              <w:rPr>
                <w:rFonts w:ascii="Times New Roman" w:hAnsi="Times New Roman" w:eastAsia="Times New Roman"/>
                <w:b w:val="0"/>
                <w:sz w:val="18"/>
              </w:rPr>
              <w:t>The reaction volume was 100 mL. NH₃ formation increased markedly up to a catalyst dosage of 50 mg, whereas the additional increase became smaller at 100 mg.</w:t>
            </w:r>
          </w:p>
        </w:tc>
      </w:tr>
      <w:tr w14:paraId="769B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71" w:type="dxa"/>
            <w:tcMar>
              <w:top w:w="70" w:type="dxa"/>
              <w:left w:w="90" w:type="dxa"/>
              <w:bottom w:w="70" w:type="dxa"/>
              <w:right w:w="90" w:type="dxa"/>
            </w:tcMar>
            <w:vAlign w:val="center"/>
          </w:tcPr>
          <w:p w14:paraId="667C44A0">
            <w:pPr>
              <w:widowControl/>
              <w:spacing w:after="0" w:line="240" w:lineRule="auto"/>
            </w:pPr>
            <w:r>
              <w:rPr>
                <w:rFonts w:ascii="Times New Roman" w:hAnsi="Times New Roman" w:eastAsia="Times New Roman"/>
                <w:b w:val="0"/>
                <w:sz w:val="18"/>
              </w:rPr>
              <w:t>Standard reaction conditions</w:t>
            </w:r>
          </w:p>
        </w:tc>
        <w:tc>
          <w:tcPr>
            <w:tcW w:w="2835" w:type="dxa"/>
            <w:tcMar>
              <w:top w:w="70" w:type="dxa"/>
              <w:left w:w="90" w:type="dxa"/>
              <w:bottom w:w="70" w:type="dxa"/>
              <w:right w:w="90" w:type="dxa"/>
            </w:tcMar>
            <w:vAlign w:val="center"/>
          </w:tcPr>
          <w:p w14:paraId="4266E1BE">
            <w:pPr>
              <w:widowControl/>
              <w:spacing w:after="0" w:line="240" w:lineRule="auto"/>
            </w:pPr>
            <w:r>
              <w:rPr>
                <w:rFonts w:ascii="Times New Roman" w:hAnsi="Times New Roman" w:eastAsia="Times New Roman"/>
                <w:b w:val="0"/>
                <w:sz w:val="18"/>
              </w:rPr>
              <w:t>50 mg catalyst, 100 mL water, 300 W Xe lamp, N₂ atmosphere, approximately 25 °C, 3 h</w:t>
            </w:r>
          </w:p>
        </w:tc>
        <w:tc>
          <w:tcPr>
            <w:tcW w:w="4479" w:type="dxa"/>
            <w:tcMar>
              <w:top w:w="70" w:type="dxa"/>
              <w:left w:w="90" w:type="dxa"/>
              <w:bottom w:w="70" w:type="dxa"/>
              <w:right w:w="90" w:type="dxa"/>
            </w:tcMar>
            <w:vAlign w:val="center"/>
          </w:tcPr>
          <w:p w14:paraId="597A1F54">
            <w:pPr>
              <w:widowControl/>
              <w:spacing w:after="0" w:line="240" w:lineRule="auto"/>
            </w:pPr>
            <w:r>
              <w:rPr>
                <w:rFonts w:ascii="Times New Roman" w:hAnsi="Times New Roman" w:eastAsia="Times New Roman"/>
                <w:b w:val="0"/>
                <w:sz w:val="18"/>
              </w:rPr>
              <w:t>These conditions were used for comparison of different Co₃O₄/ZnS compositions and for cycling-stability measurements.</w:t>
            </w:r>
          </w:p>
        </w:tc>
      </w:tr>
    </w:tbl>
    <w:p w14:paraId="3C2BCFEF">
      <w:pPr>
        <w:widowControl/>
        <w:spacing w:after="0"/>
      </w:pPr>
    </w:p>
    <w:p w14:paraId="22201A25">
      <w:pPr>
        <w:pStyle w:val="164"/>
        <w:keepNext/>
        <w:keepLines/>
        <w:widowControl/>
      </w:pPr>
      <w:r>
        <w:rPr>
          <w:rFonts w:ascii="Times New Roman" w:hAnsi="Times New Roman" w:eastAsia="Times New Roman"/>
        </w:rPr>
        <w:t>S4. Supplementary Photoelectrochemical Measurement Information</w:t>
      </w:r>
    </w:p>
    <w:p w14:paraId="2EFFAE1A">
      <w:pPr>
        <w:keepNext/>
        <w:widowControl/>
        <w:spacing w:before="100" w:after="60"/>
      </w:pPr>
      <w:r>
        <w:rPr>
          <w:rFonts w:ascii="Times New Roman" w:hAnsi="Times New Roman" w:eastAsia="Times New Roman"/>
          <w:b/>
          <w:sz w:val="18"/>
        </w:rPr>
        <w:t>Table S4</w:t>
      </w:r>
      <w:r>
        <w:rPr>
          <w:rFonts w:ascii="Times New Roman" w:hAnsi="Times New Roman" w:eastAsia="Times New Roman"/>
          <w:sz w:val="18"/>
        </w:rPr>
        <w:t xml:space="preserve"> Supplementary parameters for photoelectrochemical measurements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9"/>
        <w:gridCol w:w="4649"/>
      </w:tblGrid>
      <w:tr w14:paraId="2C51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948" w:type="dxa"/>
            <w:shd w:val="clear" w:color="auto" w:fill="E7E6E6"/>
            <w:tcMar>
              <w:top w:w="70" w:type="dxa"/>
              <w:left w:w="90" w:type="dxa"/>
              <w:bottom w:w="70" w:type="dxa"/>
              <w:right w:w="90" w:type="dxa"/>
            </w:tcMar>
            <w:vAlign w:val="center"/>
          </w:tcPr>
          <w:p w14:paraId="763DD71C">
            <w:pPr>
              <w:widowControl/>
              <w:spacing w:after="0" w:line="240" w:lineRule="auto"/>
            </w:pPr>
            <w:r>
              <w:rPr>
                <w:rFonts w:ascii="Times New Roman" w:hAnsi="Times New Roman" w:eastAsia="Times New Roman"/>
                <w:b/>
                <w:sz w:val="18"/>
              </w:rPr>
              <w:t>Item</w:t>
            </w:r>
          </w:p>
        </w:tc>
        <w:tc>
          <w:tcPr>
            <w:tcW w:w="6236" w:type="dxa"/>
            <w:shd w:val="clear" w:color="auto" w:fill="E7E6E6"/>
            <w:tcMar>
              <w:top w:w="70" w:type="dxa"/>
              <w:left w:w="90" w:type="dxa"/>
              <w:bottom w:w="70" w:type="dxa"/>
              <w:right w:w="90" w:type="dxa"/>
            </w:tcMar>
            <w:vAlign w:val="center"/>
          </w:tcPr>
          <w:p w14:paraId="4276E69F">
            <w:pPr>
              <w:widowControl/>
              <w:spacing w:after="0" w:line="240" w:lineRule="auto"/>
            </w:pPr>
            <w:r>
              <w:rPr>
                <w:rFonts w:ascii="Times New Roman" w:hAnsi="Times New Roman" w:eastAsia="Times New Roman"/>
                <w:b/>
                <w:sz w:val="18"/>
              </w:rPr>
              <w:t>Parameter</w:t>
            </w:r>
          </w:p>
        </w:tc>
      </w:tr>
      <w:tr w14:paraId="371D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8" w:type="dxa"/>
            <w:tcMar>
              <w:top w:w="70" w:type="dxa"/>
              <w:left w:w="90" w:type="dxa"/>
              <w:bottom w:w="70" w:type="dxa"/>
              <w:right w:w="90" w:type="dxa"/>
            </w:tcMar>
            <w:vAlign w:val="center"/>
          </w:tcPr>
          <w:p w14:paraId="5776A9C8">
            <w:pPr>
              <w:widowControl/>
              <w:spacing w:after="0" w:line="240" w:lineRule="auto"/>
            </w:pPr>
            <w:r>
              <w:rPr>
                <w:rFonts w:ascii="Times New Roman" w:hAnsi="Times New Roman" w:eastAsia="Times New Roman"/>
                <w:b w:val="0"/>
                <w:sz w:val="18"/>
              </w:rPr>
              <w:t>Working-electrode preparation</w:t>
            </w:r>
          </w:p>
        </w:tc>
        <w:tc>
          <w:tcPr>
            <w:tcW w:w="6236" w:type="dxa"/>
            <w:tcMar>
              <w:top w:w="70" w:type="dxa"/>
              <w:left w:w="90" w:type="dxa"/>
              <w:bottom w:w="70" w:type="dxa"/>
              <w:right w:w="90" w:type="dxa"/>
            </w:tcMar>
            <w:vAlign w:val="center"/>
          </w:tcPr>
          <w:p w14:paraId="5DE7CB6A">
            <w:pPr>
              <w:widowControl/>
              <w:spacing w:after="0" w:line="240" w:lineRule="auto"/>
            </w:pPr>
            <w:r>
              <w:rPr>
                <w:rFonts w:ascii="Times New Roman" w:hAnsi="Times New Roman" w:eastAsia="Times New Roman"/>
                <w:b w:val="0"/>
                <w:sz w:val="18"/>
              </w:rPr>
              <w:t>Catalyst (5 mg) was dispersed in 0.8 mL absolute ethanol and 0.2 mL Nafion solution by ultrasonication. An aliquot of 100 μL was drop-cast onto ITO conductive glass and dried.</w:t>
            </w:r>
          </w:p>
        </w:tc>
      </w:tr>
      <w:tr w14:paraId="2786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8" w:type="dxa"/>
            <w:tcMar>
              <w:top w:w="70" w:type="dxa"/>
              <w:left w:w="90" w:type="dxa"/>
              <w:bottom w:w="70" w:type="dxa"/>
              <w:right w:w="90" w:type="dxa"/>
            </w:tcMar>
            <w:vAlign w:val="center"/>
          </w:tcPr>
          <w:p w14:paraId="7B107068">
            <w:pPr>
              <w:widowControl/>
              <w:spacing w:after="0" w:line="240" w:lineRule="auto"/>
            </w:pPr>
            <w:r>
              <w:rPr>
                <w:rFonts w:ascii="Times New Roman" w:hAnsi="Times New Roman" w:eastAsia="Times New Roman"/>
                <w:b w:val="0"/>
                <w:sz w:val="18"/>
              </w:rPr>
              <w:t>Electrochemical configuration</w:t>
            </w:r>
          </w:p>
        </w:tc>
        <w:tc>
          <w:tcPr>
            <w:tcW w:w="6236" w:type="dxa"/>
            <w:tcMar>
              <w:top w:w="70" w:type="dxa"/>
              <w:left w:w="90" w:type="dxa"/>
              <w:bottom w:w="70" w:type="dxa"/>
              <w:right w:w="90" w:type="dxa"/>
            </w:tcMar>
            <w:vAlign w:val="center"/>
          </w:tcPr>
          <w:p w14:paraId="6A21071E">
            <w:pPr>
              <w:widowControl/>
              <w:spacing w:after="0" w:line="240" w:lineRule="auto"/>
            </w:pPr>
            <w:r>
              <w:rPr>
                <w:rFonts w:ascii="Times New Roman" w:hAnsi="Times New Roman" w:eastAsia="Times New Roman"/>
                <w:b w:val="0"/>
                <w:sz w:val="18"/>
              </w:rPr>
              <w:t>Three-electrode system: catalyst/ITO working electrode, Pt-sheet counter electrode, and Ag/AgCl reference electrode.</w:t>
            </w:r>
          </w:p>
        </w:tc>
      </w:tr>
      <w:tr w14:paraId="1321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8" w:type="dxa"/>
            <w:tcMar>
              <w:top w:w="70" w:type="dxa"/>
              <w:left w:w="90" w:type="dxa"/>
              <w:bottom w:w="70" w:type="dxa"/>
              <w:right w:w="90" w:type="dxa"/>
            </w:tcMar>
            <w:vAlign w:val="center"/>
          </w:tcPr>
          <w:p w14:paraId="5DEA4DA3">
            <w:pPr>
              <w:widowControl/>
              <w:spacing w:after="0" w:line="240" w:lineRule="auto"/>
            </w:pPr>
            <w:r>
              <w:rPr>
                <w:rFonts w:ascii="Times New Roman" w:hAnsi="Times New Roman" w:eastAsia="Times New Roman"/>
                <w:b w:val="0"/>
                <w:sz w:val="18"/>
              </w:rPr>
              <w:t>Electrolyte</w:t>
            </w:r>
          </w:p>
        </w:tc>
        <w:tc>
          <w:tcPr>
            <w:tcW w:w="6236" w:type="dxa"/>
            <w:tcMar>
              <w:top w:w="70" w:type="dxa"/>
              <w:left w:w="90" w:type="dxa"/>
              <w:bottom w:w="70" w:type="dxa"/>
              <w:right w:w="90" w:type="dxa"/>
            </w:tcMar>
            <w:vAlign w:val="center"/>
          </w:tcPr>
          <w:p w14:paraId="19D5A296">
            <w:pPr>
              <w:widowControl/>
              <w:spacing w:after="0" w:line="240" w:lineRule="auto"/>
            </w:pPr>
            <w:r>
              <w:rPr>
                <w:rFonts w:ascii="Times New Roman" w:hAnsi="Times New Roman" w:eastAsia="Times New Roman"/>
                <w:b w:val="0"/>
                <w:sz w:val="18"/>
              </w:rPr>
              <w:t>0.5 mol L⁻¹ Na₂SO₄.</w:t>
            </w:r>
          </w:p>
        </w:tc>
      </w:tr>
      <w:tr w14:paraId="1235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8" w:type="dxa"/>
            <w:tcMar>
              <w:top w:w="70" w:type="dxa"/>
              <w:left w:w="90" w:type="dxa"/>
              <w:bottom w:w="70" w:type="dxa"/>
              <w:right w:w="90" w:type="dxa"/>
            </w:tcMar>
            <w:vAlign w:val="center"/>
          </w:tcPr>
          <w:p w14:paraId="2C8FA2A2">
            <w:pPr>
              <w:widowControl/>
              <w:spacing w:after="0" w:line="240" w:lineRule="auto"/>
            </w:pPr>
            <w:r>
              <w:rPr>
                <w:rFonts w:ascii="Times New Roman" w:hAnsi="Times New Roman" w:eastAsia="Times New Roman"/>
                <w:b w:val="0"/>
                <w:sz w:val="18"/>
              </w:rPr>
              <w:t>Electrochemical workstation</w:t>
            </w:r>
          </w:p>
        </w:tc>
        <w:tc>
          <w:tcPr>
            <w:tcW w:w="6236" w:type="dxa"/>
            <w:tcMar>
              <w:top w:w="70" w:type="dxa"/>
              <w:left w:w="90" w:type="dxa"/>
              <w:bottom w:w="70" w:type="dxa"/>
              <w:right w:w="90" w:type="dxa"/>
            </w:tcMar>
            <w:vAlign w:val="center"/>
          </w:tcPr>
          <w:p w14:paraId="1C59866B">
            <w:pPr>
              <w:widowControl/>
              <w:spacing w:after="0" w:line="240" w:lineRule="auto"/>
            </w:pPr>
            <w:r>
              <w:rPr>
                <w:rFonts w:ascii="Times New Roman" w:hAnsi="Times New Roman" w:eastAsia="Times New Roman"/>
                <w:b w:val="0"/>
                <w:sz w:val="18"/>
              </w:rPr>
              <w:t>Princeton VersaSTAT3.</w:t>
            </w:r>
          </w:p>
        </w:tc>
      </w:tr>
      <w:tr w14:paraId="1AF9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8" w:type="dxa"/>
            <w:tcMar>
              <w:top w:w="70" w:type="dxa"/>
              <w:left w:w="90" w:type="dxa"/>
              <w:bottom w:w="70" w:type="dxa"/>
              <w:right w:w="90" w:type="dxa"/>
            </w:tcMar>
            <w:vAlign w:val="center"/>
          </w:tcPr>
          <w:p w14:paraId="5997DC42">
            <w:pPr>
              <w:widowControl/>
              <w:spacing w:after="0" w:line="240" w:lineRule="auto"/>
            </w:pPr>
            <w:r>
              <w:rPr>
                <w:rFonts w:ascii="Times New Roman" w:hAnsi="Times New Roman" w:eastAsia="Times New Roman"/>
                <w:b w:val="0"/>
                <w:sz w:val="18"/>
              </w:rPr>
              <w:t>Bias for transient photocurrent</w:t>
            </w:r>
          </w:p>
        </w:tc>
        <w:tc>
          <w:tcPr>
            <w:tcW w:w="6236" w:type="dxa"/>
            <w:tcMar>
              <w:top w:w="70" w:type="dxa"/>
              <w:left w:w="90" w:type="dxa"/>
              <w:bottom w:w="70" w:type="dxa"/>
              <w:right w:w="90" w:type="dxa"/>
            </w:tcMar>
            <w:vAlign w:val="center"/>
          </w:tcPr>
          <w:p w14:paraId="5296B19C">
            <w:pPr>
              <w:widowControl/>
              <w:spacing w:after="0" w:line="240" w:lineRule="auto"/>
            </w:pPr>
            <w:r>
              <w:rPr>
                <w:rFonts w:ascii="Times New Roman" w:hAnsi="Times New Roman" w:eastAsia="Times New Roman"/>
                <w:b w:val="0"/>
                <w:sz w:val="18"/>
              </w:rPr>
              <w:t>0.5 V vs. Ag/AgCl.</w:t>
            </w:r>
          </w:p>
        </w:tc>
      </w:tr>
      <w:tr w14:paraId="0F39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8" w:type="dxa"/>
            <w:tcMar>
              <w:top w:w="70" w:type="dxa"/>
              <w:left w:w="90" w:type="dxa"/>
              <w:bottom w:w="70" w:type="dxa"/>
              <w:right w:w="90" w:type="dxa"/>
            </w:tcMar>
            <w:vAlign w:val="center"/>
          </w:tcPr>
          <w:p w14:paraId="136AC9A8">
            <w:pPr>
              <w:widowControl/>
              <w:spacing w:after="0" w:line="240" w:lineRule="auto"/>
            </w:pPr>
            <w:r>
              <w:rPr>
                <w:rFonts w:ascii="Times New Roman" w:hAnsi="Times New Roman" w:eastAsia="Times New Roman"/>
                <w:b w:val="0"/>
                <w:sz w:val="18"/>
              </w:rPr>
              <w:t>Light/dark cycle</w:t>
            </w:r>
          </w:p>
        </w:tc>
        <w:tc>
          <w:tcPr>
            <w:tcW w:w="6236" w:type="dxa"/>
            <w:tcMar>
              <w:top w:w="70" w:type="dxa"/>
              <w:left w:w="90" w:type="dxa"/>
              <w:bottom w:w="70" w:type="dxa"/>
              <w:right w:w="90" w:type="dxa"/>
            </w:tcMar>
            <w:vAlign w:val="center"/>
          </w:tcPr>
          <w:p w14:paraId="5F21720A">
            <w:pPr>
              <w:widowControl/>
              <w:spacing w:after="0" w:line="240" w:lineRule="auto"/>
            </w:pPr>
            <w:r>
              <w:rPr>
                <w:rFonts w:ascii="Times New Roman" w:hAnsi="Times New Roman" w:eastAsia="Times New Roman"/>
                <w:b w:val="0"/>
                <w:sz w:val="18"/>
              </w:rPr>
              <w:t>30 s dark / 30 s light for four consecutive cycles.</w:t>
            </w:r>
          </w:p>
        </w:tc>
      </w:tr>
      <w:tr w14:paraId="3329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948" w:type="dxa"/>
            <w:tcMar>
              <w:top w:w="70" w:type="dxa"/>
              <w:left w:w="90" w:type="dxa"/>
              <w:bottom w:w="70" w:type="dxa"/>
              <w:right w:w="90" w:type="dxa"/>
            </w:tcMar>
            <w:vAlign w:val="center"/>
          </w:tcPr>
          <w:p w14:paraId="75B3E31D">
            <w:pPr>
              <w:widowControl/>
              <w:spacing w:after="0" w:line="240" w:lineRule="auto"/>
            </w:pPr>
            <w:r>
              <w:rPr>
                <w:rFonts w:ascii="Times New Roman" w:hAnsi="Times New Roman" w:eastAsia="Times New Roman"/>
                <w:b w:val="0"/>
                <w:sz w:val="18"/>
              </w:rPr>
              <w:t>Light source</w:t>
            </w:r>
          </w:p>
        </w:tc>
        <w:tc>
          <w:tcPr>
            <w:tcW w:w="6236" w:type="dxa"/>
            <w:tcMar>
              <w:top w:w="70" w:type="dxa"/>
              <w:left w:w="90" w:type="dxa"/>
              <w:bottom w:w="70" w:type="dxa"/>
              <w:right w:w="90" w:type="dxa"/>
            </w:tcMar>
            <w:vAlign w:val="center"/>
          </w:tcPr>
          <w:p w14:paraId="6133D798">
            <w:pPr>
              <w:widowControl/>
              <w:spacing w:after="0" w:line="240" w:lineRule="auto"/>
            </w:pPr>
            <w:r>
              <w:rPr>
                <w:rFonts w:ascii="Times New Roman" w:hAnsi="Times New Roman" w:eastAsia="Times New Roman"/>
                <w:b w:val="0"/>
                <w:sz w:val="18"/>
              </w:rPr>
              <w:t>300 W Xe lamp.</w:t>
            </w:r>
          </w:p>
        </w:tc>
      </w:tr>
    </w:tbl>
    <w:p w14:paraId="375DA10C">
      <w:pPr>
        <w:widowControl/>
        <w:spacing w:after="0"/>
      </w:pPr>
    </w:p>
    <w:p w14:paraId="4724B781">
      <w:pPr>
        <w:pStyle w:val="164"/>
        <w:keepNext/>
        <w:keepLines/>
        <w:widowControl/>
      </w:pPr>
      <w:r>
        <w:rPr>
          <w:rFonts w:ascii="Times New Roman" w:hAnsi="Times New Roman" w:eastAsia="Times New Roman"/>
        </w:rPr>
        <w:t>S5. Raw Data for Cycling Stability</w:t>
      </w:r>
    </w:p>
    <w:p w14:paraId="6A23A3BA">
      <w:pPr>
        <w:widowControl/>
        <w:spacing w:before="0" w:after="100" w:line="276" w:lineRule="auto"/>
      </w:pPr>
      <w:r>
        <w:rPr>
          <w:rFonts w:ascii="Times New Roman" w:hAnsi="Times New Roman" w:eastAsia="Times New Roman"/>
          <w:b w:val="0"/>
          <w:i w:val="0"/>
        </w:rPr>
        <w:t>The Co₃O₄/ZnS = 2:1 sample was subjected to five consecutive photocatalytic cycles. The NH₃ formation rates are listed below.</w:t>
      </w:r>
    </w:p>
    <w:p w14:paraId="726F4E35">
      <w:pPr>
        <w:keepNext/>
        <w:widowControl/>
        <w:spacing w:before="100" w:after="60"/>
      </w:pPr>
      <w:r>
        <w:rPr>
          <w:rFonts w:ascii="Times New Roman" w:hAnsi="Times New Roman" w:eastAsia="Times New Roman"/>
          <w:b/>
          <w:sz w:val="18"/>
        </w:rPr>
        <w:t>Table S5</w:t>
      </w:r>
      <w:r>
        <w:rPr>
          <w:rFonts w:ascii="Times New Roman" w:hAnsi="Times New Roman" w:eastAsia="Times New Roman"/>
          <w:sz w:val="18"/>
        </w:rPr>
        <w:t xml:space="preserve"> NH₃ formation rates during five consecutive photocatalytic cycles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9"/>
        <w:gridCol w:w="3099"/>
        <w:gridCol w:w="3099"/>
      </w:tblGrid>
      <w:tr w14:paraId="5DA5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247" w:type="dxa"/>
            <w:shd w:val="clear" w:color="auto" w:fill="E7E6E6"/>
            <w:tcMar>
              <w:top w:w="70" w:type="dxa"/>
              <w:left w:w="90" w:type="dxa"/>
              <w:bottom w:w="70" w:type="dxa"/>
              <w:right w:w="90" w:type="dxa"/>
            </w:tcMar>
            <w:vAlign w:val="center"/>
          </w:tcPr>
          <w:p w14:paraId="2C3982D5">
            <w:pPr>
              <w:widowControl/>
              <w:spacing w:after="0" w:line="240" w:lineRule="auto"/>
            </w:pPr>
            <w:r>
              <w:rPr>
                <w:rFonts w:ascii="Times New Roman" w:hAnsi="Times New Roman" w:eastAsia="Times New Roman"/>
                <w:b/>
                <w:sz w:val="18"/>
              </w:rPr>
              <w:t>Cycle</w:t>
            </w:r>
          </w:p>
        </w:tc>
        <w:tc>
          <w:tcPr>
            <w:tcW w:w="3969" w:type="dxa"/>
            <w:shd w:val="clear" w:color="auto" w:fill="E7E6E6"/>
            <w:tcMar>
              <w:top w:w="70" w:type="dxa"/>
              <w:left w:w="90" w:type="dxa"/>
              <w:bottom w:w="70" w:type="dxa"/>
              <w:right w:w="90" w:type="dxa"/>
            </w:tcMar>
            <w:vAlign w:val="center"/>
          </w:tcPr>
          <w:p w14:paraId="49B97559">
            <w:pPr>
              <w:widowControl/>
              <w:spacing w:after="0" w:line="240" w:lineRule="auto"/>
            </w:pPr>
            <w:r>
              <w:rPr>
                <w:rFonts w:ascii="Times New Roman" w:hAnsi="Times New Roman" w:eastAsia="Times New Roman"/>
                <w:b/>
                <w:sz w:val="18"/>
              </w:rPr>
              <w:t>NH₃ formation rate (μg h⁻¹ gcat⁻¹)</w:t>
            </w:r>
          </w:p>
        </w:tc>
        <w:tc>
          <w:tcPr>
            <w:tcW w:w="3969" w:type="dxa"/>
            <w:shd w:val="clear" w:color="auto" w:fill="E7E6E6"/>
            <w:tcMar>
              <w:top w:w="70" w:type="dxa"/>
              <w:left w:w="90" w:type="dxa"/>
              <w:bottom w:w="70" w:type="dxa"/>
              <w:right w:w="90" w:type="dxa"/>
            </w:tcMar>
            <w:vAlign w:val="center"/>
          </w:tcPr>
          <w:p w14:paraId="429A9825">
            <w:pPr>
              <w:widowControl/>
              <w:spacing w:after="0" w:line="240" w:lineRule="auto"/>
            </w:pPr>
            <w:r>
              <w:rPr>
                <w:rFonts w:ascii="Times New Roman" w:hAnsi="Times New Roman" w:eastAsia="Times New Roman"/>
                <w:b/>
                <w:sz w:val="18"/>
              </w:rPr>
              <w:t>Activity relative to the first cycle (%)</w:t>
            </w:r>
          </w:p>
        </w:tc>
      </w:tr>
      <w:tr w14:paraId="44F7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47" w:type="dxa"/>
            <w:tcMar>
              <w:top w:w="70" w:type="dxa"/>
              <w:left w:w="90" w:type="dxa"/>
              <w:bottom w:w="70" w:type="dxa"/>
              <w:right w:w="90" w:type="dxa"/>
            </w:tcMar>
            <w:vAlign w:val="center"/>
          </w:tcPr>
          <w:p w14:paraId="15B1BC76">
            <w:pPr>
              <w:widowControl/>
              <w:spacing w:after="0" w:line="240" w:lineRule="auto"/>
            </w:pPr>
            <w:r>
              <w:rPr>
                <w:rFonts w:ascii="Times New Roman" w:hAnsi="Times New Roman" w:eastAsia="Times New Roman"/>
                <w:b w:val="0"/>
                <w:sz w:val="18"/>
              </w:rPr>
              <w:t>1</w:t>
            </w:r>
          </w:p>
        </w:tc>
        <w:tc>
          <w:tcPr>
            <w:tcW w:w="3969" w:type="dxa"/>
            <w:tcMar>
              <w:top w:w="70" w:type="dxa"/>
              <w:left w:w="90" w:type="dxa"/>
              <w:bottom w:w="70" w:type="dxa"/>
              <w:right w:w="90" w:type="dxa"/>
            </w:tcMar>
            <w:vAlign w:val="center"/>
          </w:tcPr>
          <w:p w14:paraId="6B319405">
            <w:pPr>
              <w:widowControl/>
              <w:spacing w:after="0" w:line="240" w:lineRule="auto"/>
            </w:pPr>
            <w:r>
              <w:rPr>
                <w:rFonts w:ascii="Times New Roman" w:hAnsi="Times New Roman" w:eastAsia="Times New Roman"/>
                <w:b w:val="0"/>
                <w:sz w:val="18"/>
              </w:rPr>
              <w:t>612.7</w:t>
            </w:r>
          </w:p>
        </w:tc>
        <w:tc>
          <w:tcPr>
            <w:tcW w:w="3969" w:type="dxa"/>
            <w:tcMar>
              <w:top w:w="70" w:type="dxa"/>
              <w:left w:w="90" w:type="dxa"/>
              <w:bottom w:w="70" w:type="dxa"/>
              <w:right w:w="90" w:type="dxa"/>
            </w:tcMar>
            <w:vAlign w:val="center"/>
          </w:tcPr>
          <w:p w14:paraId="408162D0">
            <w:pPr>
              <w:widowControl/>
              <w:spacing w:after="0" w:line="240" w:lineRule="auto"/>
            </w:pPr>
            <w:r>
              <w:rPr>
                <w:rFonts w:ascii="Times New Roman" w:hAnsi="Times New Roman" w:eastAsia="Times New Roman"/>
                <w:b w:val="0"/>
                <w:sz w:val="18"/>
              </w:rPr>
              <w:t>100.0</w:t>
            </w:r>
          </w:p>
        </w:tc>
      </w:tr>
      <w:tr w14:paraId="271A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47" w:type="dxa"/>
            <w:tcMar>
              <w:top w:w="70" w:type="dxa"/>
              <w:left w:w="90" w:type="dxa"/>
              <w:bottom w:w="70" w:type="dxa"/>
              <w:right w:w="90" w:type="dxa"/>
            </w:tcMar>
            <w:vAlign w:val="center"/>
          </w:tcPr>
          <w:p w14:paraId="0720E713">
            <w:pPr>
              <w:widowControl/>
              <w:spacing w:after="0" w:line="240" w:lineRule="auto"/>
            </w:pPr>
            <w:r>
              <w:rPr>
                <w:rFonts w:ascii="Times New Roman" w:hAnsi="Times New Roman" w:eastAsia="Times New Roman"/>
                <w:b w:val="0"/>
                <w:sz w:val="18"/>
              </w:rPr>
              <w:t>2</w:t>
            </w:r>
          </w:p>
        </w:tc>
        <w:tc>
          <w:tcPr>
            <w:tcW w:w="3969" w:type="dxa"/>
            <w:tcMar>
              <w:top w:w="70" w:type="dxa"/>
              <w:left w:w="90" w:type="dxa"/>
              <w:bottom w:w="70" w:type="dxa"/>
              <w:right w:w="90" w:type="dxa"/>
            </w:tcMar>
            <w:vAlign w:val="center"/>
          </w:tcPr>
          <w:p w14:paraId="7756B2E1">
            <w:pPr>
              <w:widowControl/>
              <w:spacing w:after="0" w:line="240" w:lineRule="auto"/>
            </w:pPr>
            <w:r>
              <w:rPr>
                <w:rFonts w:ascii="Times New Roman" w:hAnsi="Times New Roman" w:eastAsia="Times New Roman"/>
                <w:b w:val="0"/>
                <w:sz w:val="18"/>
              </w:rPr>
              <w:t>610.2</w:t>
            </w:r>
          </w:p>
        </w:tc>
        <w:tc>
          <w:tcPr>
            <w:tcW w:w="3969" w:type="dxa"/>
            <w:tcMar>
              <w:top w:w="70" w:type="dxa"/>
              <w:left w:w="90" w:type="dxa"/>
              <w:bottom w:w="70" w:type="dxa"/>
              <w:right w:w="90" w:type="dxa"/>
            </w:tcMar>
            <w:vAlign w:val="center"/>
          </w:tcPr>
          <w:p w14:paraId="3365B915">
            <w:pPr>
              <w:widowControl/>
              <w:spacing w:after="0" w:line="240" w:lineRule="auto"/>
            </w:pPr>
            <w:r>
              <w:rPr>
                <w:rFonts w:ascii="Times New Roman" w:hAnsi="Times New Roman" w:eastAsia="Times New Roman"/>
                <w:b w:val="0"/>
                <w:sz w:val="18"/>
              </w:rPr>
              <w:t>99.6</w:t>
            </w:r>
          </w:p>
        </w:tc>
      </w:tr>
      <w:tr w14:paraId="5F05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47" w:type="dxa"/>
            <w:tcMar>
              <w:top w:w="70" w:type="dxa"/>
              <w:left w:w="90" w:type="dxa"/>
              <w:bottom w:w="70" w:type="dxa"/>
              <w:right w:w="90" w:type="dxa"/>
            </w:tcMar>
            <w:vAlign w:val="center"/>
          </w:tcPr>
          <w:p w14:paraId="5C355289">
            <w:pPr>
              <w:widowControl/>
              <w:spacing w:after="0" w:line="240" w:lineRule="auto"/>
            </w:pPr>
            <w:r>
              <w:rPr>
                <w:rFonts w:ascii="Times New Roman" w:hAnsi="Times New Roman" w:eastAsia="Times New Roman"/>
                <w:b w:val="0"/>
                <w:sz w:val="18"/>
              </w:rPr>
              <w:t>3</w:t>
            </w:r>
          </w:p>
        </w:tc>
        <w:tc>
          <w:tcPr>
            <w:tcW w:w="3969" w:type="dxa"/>
            <w:tcMar>
              <w:top w:w="70" w:type="dxa"/>
              <w:left w:w="90" w:type="dxa"/>
              <w:bottom w:w="70" w:type="dxa"/>
              <w:right w:w="90" w:type="dxa"/>
            </w:tcMar>
            <w:vAlign w:val="center"/>
          </w:tcPr>
          <w:p w14:paraId="04AA8E15">
            <w:pPr>
              <w:widowControl/>
              <w:spacing w:after="0" w:line="240" w:lineRule="auto"/>
            </w:pPr>
            <w:r>
              <w:rPr>
                <w:rFonts w:ascii="Times New Roman" w:hAnsi="Times New Roman" w:eastAsia="Times New Roman"/>
                <w:b w:val="0"/>
                <w:sz w:val="18"/>
              </w:rPr>
              <w:t>609.8</w:t>
            </w:r>
          </w:p>
        </w:tc>
        <w:tc>
          <w:tcPr>
            <w:tcW w:w="3969" w:type="dxa"/>
            <w:tcMar>
              <w:top w:w="70" w:type="dxa"/>
              <w:left w:w="90" w:type="dxa"/>
              <w:bottom w:w="70" w:type="dxa"/>
              <w:right w:w="90" w:type="dxa"/>
            </w:tcMar>
            <w:vAlign w:val="center"/>
          </w:tcPr>
          <w:p w14:paraId="43FF43BA">
            <w:pPr>
              <w:widowControl/>
              <w:spacing w:after="0" w:line="240" w:lineRule="auto"/>
            </w:pPr>
            <w:r>
              <w:rPr>
                <w:rFonts w:ascii="Times New Roman" w:hAnsi="Times New Roman" w:eastAsia="Times New Roman"/>
                <w:b w:val="0"/>
                <w:sz w:val="18"/>
              </w:rPr>
              <w:t>99.5</w:t>
            </w:r>
          </w:p>
        </w:tc>
      </w:tr>
      <w:tr w14:paraId="38C5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47" w:type="dxa"/>
            <w:tcMar>
              <w:top w:w="70" w:type="dxa"/>
              <w:left w:w="90" w:type="dxa"/>
              <w:bottom w:w="70" w:type="dxa"/>
              <w:right w:w="90" w:type="dxa"/>
            </w:tcMar>
            <w:vAlign w:val="center"/>
          </w:tcPr>
          <w:p w14:paraId="37B9021E">
            <w:pPr>
              <w:widowControl/>
              <w:spacing w:after="0" w:line="240" w:lineRule="auto"/>
            </w:pPr>
            <w:r>
              <w:rPr>
                <w:rFonts w:ascii="Times New Roman" w:hAnsi="Times New Roman" w:eastAsia="Times New Roman"/>
                <w:b w:val="0"/>
                <w:sz w:val="18"/>
              </w:rPr>
              <w:t>4</w:t>
            </w:r>
          </w:p>
        </w:tc>
        <w:tc>
          <w:tcPr>
            <w:tcW w:w="3969" w:type="dxa"/>
            <w:tcMar>
              <w:top w:w="70" w:type="dxa"/>
              <w:left w:w="90" w:type="dxa"/>
              <w:bottom w:w="70" w:type="dxa"/>
              <w:right w:w="90" w:type="dxa"/>
            </w:tcMar>
            <w:vAlign w:val="center"/>
          </w:tcPr>
          <w:p w14:paraId="33FDF3A5">
            <w:pPr>
              <w:widowControl/>
              <w:spacing w:after="0" w:line="240" w:lineRule="auto"/>
            </w:pPr>
            <w:r>
              <w:rPr>
                <w:rFonts w:ascii="Times New Roman" w:hAnsi="Times New Roman" w:eastAsia="Times New Roman"/>
                <w:b w:val="0"/>
                <w:sz w:val="18"/>
              </w:rPr>
              <w:t>604.3</w:t>
            </w:r>
          </w:p>
        </w:tc>
        <w:tc>
          <w:tcPr>
            <w:tcW w:w="3969" w:type="dxa"/>
            <w:tcMar>
              <w:top w:w="70" w:type="dxa"/>
              <w:left w:w="90" w:type="dxa"/>
              <w:bottom w:w="70" w:type="dxa"/>
              <w:right w:w="90" w:type="dxa"/>
            </w:tcMar>
            <w:vAlign w:val="center"/>
          </w:tcPr>
          <w:p w14:paraId="21C8ECF6">
            <w:pPr>
              <w:widowControl/>
              <w:spacing w:after="0" w:line="240" w:lineRule="auto"/>
            </w:pPr>
            <w:r>
              <w:rPr>
                <w:rFonts w:ascii="Times New Roman" w:hAnsi="Times New Roman" w:eastAsia="Times New Roman"/>
                <w:b w:val="0"/>
                <w:sz w:val="18"/>
              </w:rPr>
              <w:t>98.6</w:t>
            </w:r>
          </w:p>
        </w:tc>
      </w:tr>
      <w:tr w14:paraId="6967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47" w:type="dxa"/>
            <w:tcMar>
              <w:top w:w="70" w:type="dxa"/>
              <w:left w:w="90" w:type="dxa"/>
              <w:bottom w:w="70" w:type="dxa"/>
              <w:right w:w="90" w:type="dxa"/>
            </w:tcMar>
            <w:vAlign w:val="center"/>
          </w:tcPr>
          <w:p w14:paraId="141E7762">
            <w:pPr>
              <w:widowControl/>
              <w:spacing w:after="0" w:line="240" w:lineRule="auto"/>
            </w:pPr>
            <w:r>
              <w:rPr>
                <w:rFonts w:ascii="Times New Roman" w:hAnsi="Times New Roman" w:eastAsia="Times New Roman"/>
                <w:b w:val="0"/>
                <w:sz w:val="18"/>
              </w:rPr>
              <w:t>5</w:t>
            </w:r>
          </w:p>
        </w:tc>
        <w:tc>
          <w:tcPr>
            <w:tcW w:w="3969" w:type="dxa"/>
            <w:tcMar>
              <w:top w:w="70" w:type="dxa"/>
              <w:left w:w="90" w:type="dxa"/>
              <w:bottom w:w="70" w:type="dxa"/>
              <w:right w:w="90" w:type="dxa"/>
            </w:tcMar>
            <w:vAlign w:val="center"/>
          </w:tcPr>
          <w:p w14:paraId="4C51579D">
            <w:pPr>
              <w:widowControl/>
              <w:spacing w:after="0" w:line="240" w:lineRule="auto"/>
            </w:pPr>
            <w:r>
              <w:rPr>
                <w:rFonts w:ascii="Times New Roman" w:hAnsi="Times New Roman" w:eastAsia="Times New Roman"/>
                <w:b w:val="0"/>
                <w:sz w:val="18"/>
              </w:rPr>
              <w:t>602.7</w:t>
            </w:r>
          </w:p>
        </w:tc>
        <w:tc>
          <w:tcPr>
            <w:tcW w:w="3969" w:type="dxa"/>
            <w:tcMar>
              <w:top w:w="70" w:type="dxa"/>
              <w:left w:w="90" w:type="dxa"/>
              <w:bottom w:w="70" w:type="dxa"/>
              <w:right w:w="90" w:type="dxa"/>
            </w:tcMar>
            <w:vAlign w:val="center"/>
          </w:tcPr>
          <w:p w14:paraId="690C02DE">
            <w:pPr>
              <w:widowControl/>
              <w:spacing w:after="0" w:line="240" w:lineRule="auto"/>
            </w:pPr>
            <w:r>
              <w:rPr>
                <w:rFonts w:ascii="Times New Roman" w:hAnsi="Times New Roman" w:eastAsia="Times New Roman"/>
                <w:b w:val="0"/>
                <w:sz w:val="18"/>
              </w:rPr>
              <w:t>98.4</w:t>
            </w:r>
          </w:p>
        </w:tc>
      </w:tr>
    </w:tbl>
    <w:p w14:paraId="708EFDC9">
      <w:pPr>
        <w:widowControl/>
        <w:spacing w:after="0"/>
      </w:pPr>
    </w:p>
    <w:p w14:paraId="1B73453F">
      <w:pPr>
        <w:widowControl/>
        <w:spacing w:before="0" w:after="100" w:line="276" w:lineRule="auto"/>
      </w:pPr>
      <w:r>
        <w:rPr>
          <w:rFonts w:ascii="Times New Roman" w:hAnsi="Times New Roman" w:eastAsia="Times New Roman"/>
          <w:b w:val="0"/>
          <w:i w:val="0"/>
        </w:rPr>
        <w:t>The average NH₃ formation rate over the five cycles was 607.94 μg h⁻¹ gcat⁻¹, with a standard deviation of 4.37 μg h⁻¹ gcat⁻¹. The activity retention after the fifth cycle was approximately 98.4% relative to the first cycle.</w:t>
      </w:r>
    </w:p>
    <w:p w14:paraId="10ADE2B7">
      <w:pPr>
        <w:widowControl/>
        <w:spacing w:before="80" w:after="40"/>
        <w:jc w:val="center"/>
      </w:pPr>
      <w:r>
        <w:rPr>
          <w:rFonts w:ascii="Times New Roman" w:hAnsi="Times New Roman" w:eastAsia="Times New Roman"/>
        </w:rPr>
        <w:drawing>
          <wp:inline distT="0" distB="0" distL="114300" distR="114300">
            <wp:extent cx="5219700" cy="4254500"/>
            <wp:effectExtent l="0" t="0" r="762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stretch>
                      <a:fillRect/>
                    </a:stretch>
                  </pic:blipFill>
                  <pic:spPr>
                    <a:xfrm>
                      <a:off x="0" y="0"/>
                      <a:ext cx="5220000" cy="4254958"/>
                    </a:xfrm>
                    <a:prstGeom prst="rect">
                      <a:avLst/>
                    </a:prstGeom>
                  </pic:spPr>
                </pic:pic>
              </a:graphicData>
            </a:graphic>
          </wp:inline>
        </w:drawing>
      </w:r>
    </w:p>
    <w:p w14:paraId="5B425CDF">
      <w:pPr>
        <w:widowControl/>
        <w:spacing w:after="120"/>
        <w:jc w:val="center"/>
      </w:pPr>
      <w:r>
        <w:rPr>
          <w:rFonts w:ascii="Times New Roman" w:hAnsi="Times New Roman" w:eastAsia="Times New Roman"/>
          <w:b/>
          <w:sz w:val="18"/>
        </w:rPr>
        <w:t>Fig. S3</w:t>
      </w:r>
      <w:r>
        <w:rPr>
          <w:rFonts w:ascii="Times New Roman" w:hAnsi="Times New Roman" w:eastAsia="Times New Roman"/>
          <w:sz w:val="18"/>
        </w:rPr>
        <w:t xml:space="preserve"> EDS mapping image of Co₃O₄/ZnS = 2:1</w:t>
      </w:r>
    </w:p>
    <w:sectPr>
      <w:footerReference r:id="rId5" w:type="default"/>
      <w:pgSz w:w="11906" w:h="16838"/>
      <w:pgMar w:top="1247" w:right="1304" w:bottom="1134" w:left="130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1" w:fontKey="{A758CDC1-414A-4785-B675-224942C7D7E2}"/>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embedRegular r:id="rId2" w:fontKey="{569F0E28-1910-4FBA-94BF-CCA2540565CA}"/>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C8B87">
    <w:pPr>
      <w:pStyle w:val="24"/>
      <w:jc w:val="center"/>
    </w:pPr>
    <w:r>
      <w:rPr>
        <w:rFonts w:ascii="Times New Roman" w:hAnsi="Times New Roman"/>
        <w:sz w:val="18"/>
      </w:rPr>
      <w:fldChar w:fldCharType="begin"/>
    </w:r>
    <w:r>
      <w:rPr>
        <w:rFonts w:ascii="Times New Roman" w:hAnsi="Times New Roman"/>
        <w:sz w:val="18"/>
      </w:rPr>
      <w:instrText xml:space="preserve"> PAGE </w:instrText>
    </w:r>
    <w:r>
      <w:rPr>
        <w:rFonts w:ascii="Times New Roman" w:hAnsi="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BC429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76" w:lineRule="auto"/>
      <w:jc w:val="both"/>
    </w:pPr>
    <w:rPr>
      <w:rFonts w:ascii="Times New Roman" w:hAnsi="Times New Roman" w:eastAsia="Times New Roman" w:cstheme="minorBidi"/>
      <w:sz w:val="20"/>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SI Heading 1"/>
    <w:uiPriority w:val="0"/>
    <w:pPr>
      <w:keepNext/>
      <w:spacing w:before="160" w:after="80" w:line="276" w:lineRule="auto"/>
    </w:pPr>
    <w:rPr>
      <w:rFonts w:ascii="Times New Roman" w:hAnsi="Times New Roman" w:eastAsia="Times New Roman" w:cstheme="minorBidi"/>
      <w:b/>
      <w:sz w:val="24"/>
      <w:szCs w:val="22"/>
      <w:lang w:val="en-US" w:eastAsia="en-US" w:bidi="ar-SA"/>
    </w:rPr>
  </w:style>
  <w:style w:type="paragraph" w:customStyle="1" w:styleId="165">
    <w:name w:val="SI Heading 2"/>
    <w:uiPriority w:val="0"/>
    <w:pPr>
      <w:keepNext/>
      <w:spacing w:before="160" w:after="80" w:line="276" w:lineRule="auto"/>
    </w:pPr>
    <w:rPr>
      <w:rFonts w:ascii="Times New Roman" w:hAnsi="Times New Roman" w:eastAsia="Times New Roman" w:cstheme="minorBidi"/>
      <w:b/>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1021</Words>
  <Characters>6161</Characters>
  <Lines>0</Lines>
  <Paragraphs>0</Paragraphs>
  <TotalTime>0</TotalTime>
  <ScaleCrop>false</ScaleCrop>
  <LinksUpToDate>false</LinksUpToDate>
  <CharactersWithSpaces>7065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Shenbin Fu et al.</dc:creator>
  <dc:description>generated by python-docx</dc:description>
  <cp:lastModifiedBy>老实憨厚的熊</cp:lastModifiedBy>
  <dcterms:modified xsi:type="dcterms:W3CDTF">2026-08-12T04:42:53Z</dcterms:modified>
  <dc:subject>Supplementary Information for Catalysis Letters</dc:subject>
  <dc:title>Electronic Supplementary Material - Co3O4/ZnS photocatalytic nitrogen fixation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eyJoZGlkIjoiOTFhZmNjNWM5ZTYyNzQzMmE5MWQ4MDk5M2ZiMjVkZjIiLCJ1c2VySWQiOiIyMzk3NDM3NDcifQ==</vt:lpwstr>
  </property>
  <property fmtid="{D5CDD505-2E9C-101B-9397-08002B2CF9AE}" pid="3" name="KSOProductBuildVer">
    <vt:lpwstr>2052-12.1.0.28043</vt:lpwstr>
  </property>
  <property fmtid="{D5CDD505-2E9C-101B-9397-08002B2CF9AE}" pid="4" name="ICV">
    <vt:lpwstr>90F6BFB09BE64BAB973BC2D8C796F7A6_13</vt:lpwstr>
  </property>
</Properties>
</file>