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2610" w:rsidRDefault="00000000">
      <w:pPr>
        <w:spacing w:before="20" w:after="20"/>
        <w:jc w:val="center"/>
      </w:pPr>
      <w:r>
        <w:rPr>
          <w:rFonts w:cs="Times New Roman"/>
          <w:b/>
          <w:bCs/>
          <w:sz w:val="26"/>
          <w:szCs w:val="26"/>
        </w:rPr>
        <w:t>CARE Checklist of information to include when writing a case report</w:t>
      </w:r>
    </w:p>
    <w:p w:rsidR="002A2610" w:rsidRDefault="00000000">
      <w:pPr>
        <w:spacing w:before="20" w:after="20"/>
        <w:jc w:val="center"/>
      </w:pPr>
      <w:r>
        <w:rPr>
          <w:rFonts w:cs="Times New Roman"/>
          <w:b/>
          <w:bCs/>
          <w:sz w:val="22"/>
          <w:szCs w:val="22"/>
        </w:rPr>
        <w:t>Completed checklist</w:t>
      </w:r>
    </w:p>
    <w:p w:rsidR="002A2610" w:rsidRDefault="002A2610">
      <w:pPr>
        <w:spacing w:after="120"/>
      </w:pPr>
    </w:p>
    <w:p w:rsidR="002A2610" w:rsidRDefault="00000000">
      <w:pPr>
        <w:spacing w:before="20" w:after="20"/>
      </w:pPr>
      <w:r>
        <w:rPr>
          <w:rFonts w:cs="Times New Roman"/>
          <w:b/>
          <w:bCs/>
        </w:rPr>
        <w:t>Manuscript: Fatal Refeeding Syndrome Despite Cautious Inpatient Refeeding in Severe Anorexia Nervosa: A Case Report</w:t>
      </w:r>
    </w:p>
    <w:p w:rsidR="002A2610" w:rsidRDefault="00000000">
      <w:pPr>
        <w:spacing w:before="20" w:after="20"/>
      </w:pPr>
      <w:r>
        <w:rPr>
          <w:rFonts w:cs="Times New Roman"/>
        </w:rPr>
        <w:t xml:space="preserve">Authors: Amit Kumar Soni, Nisha </w:t>
      </w:r>
      <w:proofErr w:type="spellStart"/>
      <w:r>
        <w:rPr>
          <w:rFonts w:cs="Times New Roman"/>
        </w:rPr>
        <w:t>Kaithwas</w:t>
      </w:r>
      <w:proofErr w:type="spellEnd"/>
    </w:p>
    <w:p w:rsidR="002A2610" w:rsidRDefault="00000000">
      <w:pPr>
        <w:spacing w:before="20" w:after="20"/>
      </w:pPr>
      <w:r>
        <w:rPr>
          <w:rFonts w:cs="Times New Roman"/>
        </w:rPr>
        <w:t>Corresponding author: Dr. Amit Kumar Soni (amit.ksoni@mp.gov.in); ORCID 0000-0002-7154-8474</w:t>
      </w:r>
    </w:p>
    <w:p w:rsidR="002A2610" w:rsidRDefault="002A2610">
      <w:pPr>
        <w:spacing w:after="120"/>
      </w:pPr>
    </w:p>
    <w:p w:rsidR="002A2610" w:rsidRDefault="00000000">
      <w:pPr>
        <w:spacing w:before="20" w:after="20"/>
      </w:pPr>
      <w:r>
        <w:rPr>
          <w:rFonts w:cs="Times New Roman"/>
          <w:i/>
          <w:iCs/>
          <w:sz w:val="18"/>
          <w:szCs w:val="18"/>
        </w:rPr>
        <w:t>Note on line numbers: all line references correspond to the continuously numbered manuscript file submitted alongside this checklist. Line numbering restarts at line 1 on the title page and runs continuously to the end of the reference list. Where an item is reported in a table or figure, the table or figure number is given.</w:t>
      </w:r>
    </w:p>
    <w:p w:rsidR="002A2610" w:rsidRDefault="002A2610">
      <w:pPr>
        <w:spacing w:after="16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0"/>
        <w:gridCol w:w="620"/>
        <w:gridCol w:w="4520"/>
        <w:gridCol w:w="2770"/>
      </w:tblGrid>
      <w:tr w:rsidR="002A261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450" w:type="dxa"/>
            <w:shd w:val="clear" w:color="auto" w:fill="8C1D2C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color w:val="FFFFFF"/>
                <w:sz w:val="19"/>
                <w:szCs w:val="19"/>
              </w:rPr>
              <w:t>Topic</w:t>
            </w:r>
          </w:p>
        </w:tc>
        <w:tc>
          <w:tcPr>
            <w:tcW w:w="620" w:type="dxa"/>
            <w:shd w:val="clear" w:color="auto" w:fill="8C1D2C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color w:val="FFFFFF"/>
                <w:sz w:val="19"/>
                <w:szCs w:val="19"/>
              </w:rPr>
              <w:t>Item</w:t>
            </w:r>
          </w:p>
        </w:tc>
        <w:tc>
          <w:tcPr>
            <w:tcW w:w="4520" w:type="dxa"/>
            <w:shd w:val="clear" w:color="auto" w:fill="8C1D2C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color w:val="FFFFFF"/>
                <w:sz w:val="19"/>
                <w:szCs w:val="19"/>
              </w:rPr>
              <w:t>Checklist item description</w:t>
            </w:r>
          </w:p>
        </w:tc>
        <w:tc>
          <w:tcPr>
            <w:tcW w:w="2770" w:type="dxa"/>
            <w:shd w:val="clear" w:color="auto" w:fill="8C1D2C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color w:val="FFFFFF"/>
                <w:sz w:val="19"/>
                <w:szCs w:val="19"/>
              </w:rPr>
              <w:t>Reported on Line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Title</w:t>
            </w: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The diagnosis or intervention of primary focus followed by the words "case report"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1–2 (title page)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Key Words</w:t>
            </w: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2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2 to 5 key words that identify diagnoses or interventions in this case report, including "case report"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48–49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Abstract</w:t>
            </w:r>
            <w:r>
              <w:rPr>
                <w:rFonts w:cs="Times New Roman"/>
                <w:b/>
                <w:bCs/>
                <w:sz w:val="19"/>
                <w:szCs w:val="19"/>
              </w:rPr>
              <w:br/>
              <w:t>(no references)</w:t>
            </w: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3a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Introduction: What is unique about this case and what does it add to the scientific literature?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27–30 (Background)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3b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Main symptoms and/or important clinical findings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31–35 (Case)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3c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The main diagnoses, therapeutic interventions, and outcomes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33–42 (Case; Outcome)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3d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Conclusion — What is the main "take-away" lesson(s) from this case?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43–47 (Conclusion)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Introduction</w:t>
            </w: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4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One or two paragraphs summarizing why this case is unique (may include references)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52–68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Patient Information</w:t>
            </w: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5a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De-identified patient specific information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70–75; Table 2 (line 120)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5b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Primary concerns and symptoms of the patient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70–75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5c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Medical, family, and psycho-social history including relevant genetic information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76–82 (family psychiatric history non-contributory; no genetic information available)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5d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Relevant past interventions with outcomes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81–82 (no prior psychiatric treatment); Lines 143–145 (prior non-psychiatric contacts without recognition of eating pathology)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Clinical Findings</w:t>
            </w: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6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Describe significant physical examination (PE) and important clinical findings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70–75 (physical examination); Lines 83–92 (laboratory and ECG findings)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Timeline</w:t>
            </w: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7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Historical and current information from this episode of care organized as a timeline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Table 2, line 120 (with note, lines 121–122)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Diagnostic Assessment</w:t>
            </w: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8a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Diagnostic testing (such as PE, laboratory testing, imaging, surveys)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83–92; Table 1 (line 95); Figure 1 and legend (lines 101–106)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8b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Diagnostic challenges (such as access to testing, financial, or cultural)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55–57; Lines 143–148; Lines 170–172; Lines 181–184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8c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Diagnosis (including other diagnoses considered)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74–75 (ICD-10/DSM-5 criteria); Table 2, Day 0; differential considerations lines 85–88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8d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Prognosis (such as staging in oncology) where applicable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59–63; Lines 124–130 (adverse prognostic indicators)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Therapeutic Intervention</w:t>
            </w: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9a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Types of therapeutic intervention (such as pharmacologic, surgical, preventive, self-care)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108–113; Table 2, Day 1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9b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Administration of therapeutic intervention (such as dosage, strength, duration)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108–113; Table 2, Days 1–4. Caloric prescription and daily escalation were not recorded in auditable form — stated as a limitation, lines 186–188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9c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Changes in therapeutic intervention (with rationale)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114–119; Table 2, Day 5 (escalation to intensive care following clinical deterioration)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Follow-up and Outcomes</w:t>
            </w: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10a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Clinician and patient-assessed outcomes (if available)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114–119; Table 2, Days 2–7. Patient-assessed outcomes were not obtainable owing to the fatal outcome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10b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Important follow-up diagnostic and other test results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116–118 (electrolyte instability during refeeding). Serial phosphate/magnesium/potassium values were not obtained at recommended frequency — stated as a limitation, lines 181–186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10c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Intervention adherence and tolerability (How was this assessed?)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114–115 (partial cooperation with oral intake; refusal of nasogastric feeding; assessed by direct clinical observation and multidisciplinary ward review); Table 2, Days 2–4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10d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Adverse and unanticipated events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 xml:space="preserve">Lines 115–119 (hypotension, confusion, </w:t>
            </w:r>
            <w:proofErr w:type="spellStart"/>
            <w:r>
              <w:rPr>
                <w:rFonts w:cs="Times New Roman"/>
                <w:sz w:val="19"/>
                <w:szCs w:val="19"/>
              </w:rPr>
              <w:t>generalised</w:t>
            </w:r>
            <w:proofErr w:type="spellEnd"/>
            <w:r>
              <w:rPr>
                <w:rFonts w:cs="Times New Roman"/>
                <w:sz w:val="19"/>
                <w:szCs w:val="19"/>
              </w:rPr>
              <w:t xml:space="preserve"> edema, electrolyte instability, death); Table 2, Days 5–7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Discussion</w:t>
            </w: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11a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A scientific discussion of the strengths AND limitations associated with this case report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176–191 ("Strengths and limitations")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11b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Discussion of the relevant medical literature with references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124–175 (references 10–18)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11c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The scientific rationale for any conclusions (including assessment of possible causes)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131–140; Lines 159–164; Lines 184–189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2A2610">
            <w:pPr>
              <w:spacing w:before="20" w:after="20"/>
            </w:pP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11d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The primary "take-away" lessons of this case report (without references) in a one paragraph conclusion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Lines 193–202 (Conclusion)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t>Patient Perspective</w:t>
            </w:r>
          </w:p>
        </w:tc>
        <w:tc>
          <w:tcPr>
            <w:tcW w:w="6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12</w:t>
            </w:r>
          </w:p>
        </w:tc>
        <w:tc>
          <w:tcPr>
            <w:tcW w:w="452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The patient should share their perspective in one to two paragraphs on the treatment(s) they received</w:t>
            </w:r>
          </w:p>
        </w:tc>
        <w:tc>
          <w:tcPr>
            <w:tcW w:w="277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 xml:space="preserve">Lines 203–218. The patient died; the perspective was provided by her parents (legal next of kin) at a </w:t>
            </w:r>
            <w:r>
              <w:rPr>
                <w:rFonts w:cs="Times New Roman"/>
                <w:sz w:val="19"/>
                <w:szCs w:val="19"/>
              </w:rPr>
              <w:lastRenderedPageBreak/>
              <w:t>post-bereavement contact and is reported with their permission</w:t>
            </w:r>
          </w:p>
        </w:tc>
      </w:tr>
      <w:tr w:rsidR="002A2610">
        <w:tblPrEx>
          <w:tblCellMar>
            <w:top w:w="0" w:type="dxa"/>
            <w:bottom w:w="0" w:type="dxa"/>
          </w:tblCellMar>
        </w:tblPrEx>
        <w:tc>
          <w:tcPr>
            <w:tcW w:w="145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b/>
                <w:bCs/>
                <w:sz w:val="19"/>
                <w:szCs w:val="19"/>
              </w:rPr>
              <w:lastRenderedPageBreak/>
              <w:t>Informed Consent</w:t>
            </w:r>
          </w:p>
        </w:tc>
        <w:tc>
          <w:tcPr>
            <w:tcW w:w="6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  <w:jc w:val="center"/>
            </w:pPr>
            <w:r>
              <w:rPr>
                <w:rFonts w:cs="Times New Roman"/>
                <w:b/>
                <w:bCs/>
                <w:sz w:val="19"/>
                <w:szCs w:val="19"/>
              </w:rPr>
              <w:t>13</w:t>
            </w:r>
          </w:p>
        </w:tc>
        <w:tc>
          <w:tcPr>
            <w:tcW w:w="452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Did the patient give informed consent? Please provide if requested</w:t>
            </w:r>
          </w:p>
        </w:tc>
        <w:tc>
          <w:tcPr>
            <w:tcW w:w="2770" w:type="dxa"/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:rsidR="002A2610" w:rsidRDefault="00000000">
            <w:pPr>
              <w:spacing w:before="20" w:after="20"/>
            </w:pPr>
            <w:r>
              <w:rPr>
                <w:rFonts w:cs="Times New Roman"/>
                <w:sz w:val="19"/>
                <w:szCs w:val="19"/>
              </w:rPr>
              <w:t>Yes ☒   No ☐</w:t>
            </w:r>
            <w:r>
              <w:rPr>
                <w:rFonts w:cs="Times New Roman"/>
                <w:sz w:val="19"/>
                <w:szCs w:val="19"/>
              </w:rPr>
              <w:br/>
              <w:t>Lines 236–239 (consent to participate) and lines 240–244 (written consent for publication, obtained from the legal next of kin; copy held by the corresponding author)</w:t>
            </w:r>
          </w:p>
        </w:tc>
      </w:tr>
    </w:tbl>
    <w:p w:rsidR="002A2610" w:rsidRDefault="002A2610">
      <w:pPr>
        <w:spacing w:before="240"/>
      </w:pPr>
    </w:p>
    <w:p w:rsidR="002A2610" w:rsidRDefault="00000000">
      <w:pPr>
        <w:spacing w:before="20" w:after="20"/>
      </w:pPr>
      <w:r>
        <w:rPr>
          <w:rFonts w:cs="Times New Roman"/>
          <w:i/>
          <w:iCs/>
          <w:sz w:val="16"/>
          <w:szCs w:val="16"/>
        </w:rPr>
        <w:t>CARE guidelines: Gagnier JJ, Kienle G, Altman DG, Moher D, Sox H, Riley D; the CARE Group. The CARE guidelines: consensus-based clinical case reporting guideline development. BMJ Case Reports 2013. Checklist reproduced under CC BY-NC-ND from www.care-statement.org.</w:t>
      </w:r>
    </w:p>
    <w:sectPr w:rsidR="002A2610"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B6D04"/>
    <w:multiLevelType w:val="hybridMultilevel"/>
    <w:tmpl w:val="E83C0226"/>
    <w:lvl w:ilvl="0" w:tplc="BF024244">
      <w:start w:val="1"/>
      <w:numFmt w:val="bullet"/>
      <w:lvlText w:val="●"/>
      <w:lvlJc w:val="left"/>
      <w:pPr>
        <w:ind w:left="720" w:hanging="360"/>
      </w:pPr>
    </w:lvl>
    <w:lvl w:ilvl="1" w:tplc="8364051E">
      <w:start w:val="1"/>
      <w:numFmt w:val="bullet"/>
      <w:lvlText w:val="○"/>
      <w:lvlJc w:val="left"/>
      <w:pPr>
        <w:ind w:left="1440" w:hanging="360"/>
      </w:pPr>
    </w:lvl>
    <w:lvl w:ilvl="2" w:tplc="929258D2">
      <w:start w:val="1"/>
      <w:numFmt w:val="bullet"/>
      <w:lvlText w:val="■"/>
      <w:lvlJc w:val="left"/>
      <w:pPr>
        <w:ind w:left="2160" w:hanging="360"/>
      </w:pPr>
    </w:lvl>
    <w:lvl w:ilvl="3" w:tplc="E844390E">
      <w:start w:val="1"/>
      <w:numFmt w:val="bullet"/>
      <w:lvlText w:val="●"/>
      <w:lvlJc w:val="left"/>
      <w:pPr>
        <w:ind w:left="2880" w:hanging="360"/>
      </w:pPr>
    </w:lvl>
    <w:lvl w:ilvl="4" w:tplc="4A062116">
      <w:start w:val="1"/>
      <w:numFmt w:val="bullet"/>
      <w:lvlText w:val="○"/>
      <w:lvlJc w:val="left"/>
      <w:pPr>
        <w:ind w:left="3600" w:hanging="360"/>
      </w:pPr>
    </w:lvl>
    <w:lvl w:ilvl="5" w:tplc="C4BA9EFE">
      <w:start w:val="1"/>
      <w:numFmt w:val="bullet"/>
      <w:lvlText w:val="■"/>
      <w:lvlJc w:val="left"/>
      <w:pPr>
        <w:ind w:left="4320" w:hanging="360"/>
      </w:pPr>
    </w:lvl>
    <w:lvl w:ilvl="6" w:tplc="17905D8C">
      <w:start w:val="1"/>
      <w:numFmt w:val="bullet"/>
      <w:lvlText w:val="●"/>
      <w:lvlJc w:val="left"/>
      <w:pPr>
        <w:ind w:left="5040" w:hanging="360"/>
      </w:pPr>
    </w:lvl>
    <w:lvl w:ilvl="7" w:tplc="4268F282">
      <w:start w:val="1"/>
      <w:numFmt w:val="bullet"/>
      <w:lvlText w:val="●"/>
      <w:lvlJc w:val="left"/>
      <w:pPr>
        <w:ind w:left="5760" w:hanging="360"/>
      </w:pPr>
    </w:lvl>
    <w:lvl w:ilvl="8" w:tplc="0AE6904E">
      <w:start w:val="1"/>
      <w:numFmt w:val="bullet"/>
      <w:lvlText w:val="●"/>
      <w:lvlJc w:val="left"/>
      <w:pPr>
        <w:ind w:left="6480" w:hanging="360"/>
      </w:pPr>
    </w:lvl>
  </w:abstractNum>
  <w:num w:numId="1" w16cid:durableId="6599712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7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610"/>
    <w:rsid w:val="002A2610"/>
    <w:rsid w:val="00A14593"/>
    <w:rsid w:val="00FC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A9DEE463-26AA-984E-87D0-E5373EF6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838</Words>
  <Characters>4783</Characters>
  <Application>Microsoft Office Word</Application>
  <DocSecurity>0</DocSecurity>
  <Lines>39</Lines>
  <Paragraphs>11</Paragraphs>
  <ScaleCrop>false</ScaleCrop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Amit Kumar Soni</cp:lastModifiedBy>
  <cp:revision>2</cp:revision>
  <dcterms:created xsi:type="dcterms:W3CDTF">2026-08-21T14:57:00Z</dcterms:created>
  <dcterms:modified xsi:type="dcterms:W3CDTF">2026-08-21T14:57:00Z</dcterms:modified>
</cp:coreProperties>
</file>