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4D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Table 11 Changes in humidity buffering performance and mass of modified specimens before and after the 60-day (30-cycle) wet–dry aging test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(mean ± SD,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= 3)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764"/>
        <w:gridCol w:w="2131"/>
        <w:gridCol w:w="2131"/>
      </w:tblGrid>
      <w:tr w14:paraId="7513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0563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Index</w:t>
            </w:r>
          </w:p>
        </w:tc>
        <w:tc>
          <w:tcPr>
            <w:tcW w:w="17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6A27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Before cycling</w:t>
            </w:r>
          </w:p>
        </w:tc>
        <w:tc>
          <w:tcPr>
            <w:tcW w:w="21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132D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After 30 cycles</w:t>
            </w:r>
          </w:p>
        </w:tc>
        <w:tc>
          <w:tcPr>
            <w:tcW w:w="21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AC52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Retention rate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(%)</w:t>
            </w:r>
          </w:p>
        </w:tc>
      </w:tr>
      <w:tr w14:paraId="4F94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796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WPG (%)</w:t>
            </w:r>
          </w:p>
        </w:tc>
        <w:tc>
          <w:tcPr>
            <w:tcW w:w="17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02A4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3.82 ± 0.64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6CCC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3.21 ± 0.58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ECD8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84.0 ± 2.1</w:t>
            </w:r>
          </w:p>
        </w:tc>
      </w:tr>
      <w:tr w14:paraId="2B0E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31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Peak RH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highlight w:val="none"/>
                <w:vertAlign w:val="baseline"/>
                <w:lang w:val="en-US" w:eastAsia="zh-CN"/>
              </w:rPr>
              <w:t xml:space="preserve"> (%)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ED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78.1 ± 0.6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0B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79.4 ± 0.7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CB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</w:tr>
      <w:tr w14:paraId="6267F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92E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24 h equilibrium RH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highlight w:val="none"/>
                <w:vertAlign w:val="baseline"/>
                <w:lang w:val="en-US" w:eastAsia="zh-CN"/>
              </w:rPr>
              <w:t xml:space="preserve"> (%)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57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67.3 ± 0.7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04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69.5 ± 0.8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059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</w:tr>
      <w:tr w14:paraId="31149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BCF3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</w:rPr>
              <w:t>Stabilisation time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highlight w:val="none"/>
                <w:vertAlign w:val="baseline"/>
                <w:lang w:val="en-US" w:eastAsia="zh-CN"/>
              </w:rPr>
              <w:t>(h)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7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9.0 ± 0.6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6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10.5 ± 0.7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6D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</w:tr>
      <w:tr w14:paraId="6184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1883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 h MBV (g/(kg·%RH))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7453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1.07 ± 0.08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09A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0.89 ± 0.07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C265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83.2 ± 2.4</w:t>
            </w:r>
          </w:p>
        </w:tc>
      </w:tr>
    </w:tbl>
    <w:p w14:paraId="32111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both"/>
        <w:textAlignment w:val="auto"/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Note: "–" indicates that retention rate is not applicable for this indicator. MBV, moisture buffering value.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4346A3"/>
    <w:rsid w:val="025130B6"/>
    <w:rsid w:val="02633E38"/>
    <w:rsid w:val="02770204"/>
    <w:rsid w:val="02AE739E"/>
    <w:rsid w:val="02D00548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D14A1"/>
    <w:rsid w:val="12BB768E"/>
    <w:rsid w:val="12D537C4"/>
    <w:rsid w:val="13022EF3"/>
    <w:rsid w:val="133A44D6"/>
    <w:rsid w:val="134732F4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D34937"/>
    <w:rsid w:val="18047445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F76C64"/>
    <w:rsid w:val="1A0D2C0C"/>
    <w:rsid w:val="1AD33ED7"/>
    <w:rsid w:val="1AEF6A94"/>
    <w:rsid w:val="1B2C1B41"/>
    <w:rsid w:val="1B314B31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DF3CD2"/>
    <w:rsid w:val="7A18750A"/>
    <w:rsid w:val="7A2A33DE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6A4491"/>
    <w:rsid w:val="7D6D3CFF"/>
    <w:rsid w:val="7D856C09"/>
    <w:rsid w:val="7D9B4425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2026-08-12T00:52:39Z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