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CCBE8" w14:textId="77777777" w:rsidR="008E2E5C" w:rsidRPr="006F3AFD" w:rsidRDefault="008E2E5C" w:rsidP="008E2E5C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6F3AFD">
        <w:rPr>
          <w:rFonts w:ascii="Times New Roman" w:hAnsi="Times New Roman" w:cs="Times New Roman"/>
          <w:b/>
          <w:bCs/>
        </w:rPr>
        <w:t>Supplementary Tables</w:t>
      </w:r>
    </w:p>
    <w:p w14:paraId="32B7419F" w14:textId="77777777" w:rsidR="008E2E5C" w:rsidRPr="006F3AFD" w:rsidRDefault="008E2E5C" w:rsidP="008E2E5C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</w:rPr>
      </w:pPr>
      <w:r w:rsidRPr="006F3AFD">
        <w:rPr>
          <w:rFonts w:ascii="Times New Roman" w:hAnsi="Times New Roman" w:cs="Times New Roman"/>
          <w:b/>
          <w:bCs/>
        </w:rPr>
        <w:t>Table S1.</w:t>
      </w:r>
      <w:r w:rsidRPr="006F3AFD">
        <w:rPr>
          <w:rFonts w:ascii="Times New Roman" w:hAnsi="Times New Roman" w:cs="Times New Roman"/>
        </w:rPr>
        <w:t xml:space="preserve"> BLUEs of yield-related traits for 296 mungbean accessions across multi-environment and individual environment trials.</w:t>
      </w:r>
    </w:p>
    <w:p w14:paraId="3B5D4F66" w14:textId="77777777" w:rsidR="008E2E5C" w:rsidRPr="006F3AFD" w:rsidRDefault="008E2E5C" w:rsidP="008E2E5C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</w:rPr>
      </w:pPr>
      <w:r w:rsidRPr="006F3AFD">
        <w:rPr>
          <w:rFonts w:ascii="Times New Roman" w:hAnsi="Times New Roman" w:cs="Times New Roman"/>
          <w:b/>
          <w:bCs/>
        </w:rPr>
        <w:t>Table S2.</w:t>
      </w:r>
      <w:r w:rsidRPr="006F3AFD">
        <w:rPr>
          <w:rFonts w:ascii="Times New Roman" w:hAnsi="Times New Roman" w:cs="Times New Roman"/>
        </w:rPr>
        <w:t xml:space="preserve"> Broad-sense heritability (H²), genetic variance (Vg), and residual variance (Ve) of yield-related traits estimated for each environment.</w:t>
      </w:r>
    </w:p>
    <w:p w14:paraId="05BBBF58" w14:textId="77777777" w:rsidR="008E2E5C" w:rsidRPr="006F3AFD" w:rsidRDefault="008E2E5C" w:rsidP="008E2E5C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</w:rPr>
      </w:pPr>
      <w:r w:rsidRPr="006F3AFD">
        <w:rPr>
          <w:rFonts w:ascii="Times New Roman" w:hAnsi="Times New Roman" w:cs="Times New Roman"/>
          <w:b/>
          <w:bCs/>
        </w:rPr>
        <w:t>Table S3.</w:t>
      </w:r>
      <w:r w:rsidRPr="006F3AFD">
        <w:rPr>
          <w:rFonts w:ascii="Times New Roman" w:hAnsi="Times New Roman" w:cs="Times New Roman"/>
        </w:rPr>
        <w:t xml:space="preserve"> Bonferroni-significant marker–trait associations identified by GWAS for yield-related traits across environments.</w:t>
      </w:r>
    </w:p>
    <w:p w14:paraId="0EA84ACB" w14:textId="77777777" w:rsidR="008E2E5C" w:rsidRPr="006F3AFD" w:rsidRDefault="008E2E5C" w:rsidP="008E2E5C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</w:rPr>
      </w:pPr>
      <w:r w:rsidRPr="006F3AFD">
        <w:rPr>
          <w:rFonts w:ascii="Times New Roman" w:hAnsi="Times New Roman" w:cs="Times New Roman"/>
          <w:b/>
          <w:bCs/>
        </w:rPr>
        <w:t>Table S4.</w:t>
      </w:r>
      <w:r w:rsidRPr="006F3AFD">
        <w:rPr>
          <w:rFonts w:ascii="Times New Roman" w:hAnsi="Times New Roman" w:cs="Times New Roman"/>
        </w:rPr>
        <w:t xml:space="preserve"> Summary of candidate genes identified within ±200 kb of Bonferroni-significant SNPs associated with yield-related traits.</w:t>
      </w:r>
    </w:p>
    <w:p w14:paraId="694A0D95" w14:textId="77777777" w:rsidR="008E2E5C" w:rsidRPr="006F3AFD" w:rsidRDefault="008E2E5C" w:rsidP="008E2E5C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</w:rPr>
      </w:pPr>
      <w:r w:rsidRPr="006F3AFD">
        <w:rPr>
          <w:rFonts w:ascii="Times New Roman" w:hAnsi="Times New Roman" w:cs="Times New Roman"/>
          <w:b/>
          <w:bCs/>
        </w:rPr>
        <w:t>Table S5.</w:t>
      </w:r>
      <w:r w:rsidRPr="006F3AFD">
        <w:rPr>
          <w:rFonts w:ascii="Times New Roman" w:hAnsi="Times New Roman" w:cs="Times New Roman"/>
        </w:rPr>
        <w:t xml:space="preserve"> Complete list of candidate genes located within ±200 kb of Bonferroni-significant SNPs associated with yield-related traits.</w:t>
      </w:r>
    </w:p>
    <w:p w14:paraId="58F8040A" w14:textId="77777777" w:rsidR="008E2E5C" w:rsidRPr="006F3AFD" w:rsidRDefault="008E2E5C" w:rsidP="008E2E5C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</w:rPr>
      </w:pPr>
      <w:r w:rsidRPr="006F3AFD">
        <w:rPr>
          <w:rFonts w:ascii="Times New Roman" w:hAnsi="Times New Roman" w:cs="Times New Roman"/>
          <w:b/>
          <w:bCs/>
        </w:rPr>
        <w:t>Table S6.</w:t>
      </w:r>
      <w:r w:rsidRPr="006F3AFD">
        <w:rPr>
          <w:rFonts w:ascii="Times New Roman" w:hAnsi="Times New Roman" w:cs="Times New Roman"/>
        </w:rPr>
        <w:t xml:space="preserve"> Genomic prediction accuracy for yield-related traits across marker densities using multi-environment BLUEs.</w:t>
      </w:r>
    </w:p>
    <w:p w14:paraId="3DBFD796" w14:textId="77777777" w:rsidR="008E2E5C" w:rsidRPr="006F3AFD" w:rsidRDefault="008E2E5C" w:rsidP="008E2E5C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</w:rPr>
      </w:pPr>
      <w:r w:rsidRPr="006F3AFD">
        <w:rPr>
          <w:rFonts w:ascii="Times New Roman" w:hAnsi="Times New Roman" w:cs="Times New Roman"/>
          <w:b/>
          <w:bCs/>
        </w:rPr>
        <w:t>Table S7.</w:t>
      </w:r>
      <w:r w:rsidRPr="006F3AFD">
        <w:rPr>
          <w:rFonts w:ascii="Times New Roman" w:hAnsi="Times New Roman" w:cs="Times New Roman"/>
        </w:rPr>
        <w:t xml:space="preserve"> Comparison of prediction accuracy between single-trait and multi-trait genomic selection models across different marker densities.</w:t>
      </w:r>
    </w:p>
    <w:p w14:paraId="03BE7B2D" w14:textId="77777777" w:rsidR="008E2E5C" w:rsidRPr="006F3AFD" w:rsidRDefault="008E2E5C" w:rsidP="008E2E5C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</w:rPr>
      </w:pPr>
      <w:r w:rsidRPr="006F3AFD">
        <w:rPr>
          <w:rFonts w:ascii="Times New Roman" w:hAnsi="Times New Roman" w:cs="Times New Roman"/>
          <w:b/>
          <w:bCs/>
        </w:rPr>
        <w:t>Table S8.</w:t>
      </w:r>
      <w:r w:rsidRPr="006F3AFD">
        <w:rPr>
          <w:rFonts w:ascii="Times New Roman" w:hAnsi="Times New Roman" w:cs="Times New Roman"/>
        </w:rPr>
        <w:t xml:space="preserve"> Genomic prediction accuracy of yield-related traits across environments using 5,000 SNPs.</w:t>
      </w:r>
    </w:p>
    <w:p w14:paraId="3D880D1E" w14:textId="77777777" w:rsidR="008E2E5C" w:rsidRPr="00C66304" w:rsidRDefault="008E2E5C" w:rsidP="008E2E5C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</w:rPr>
      </w:pPr>
    </w:p>
    <w:p w14:paraId="5EA8D648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E5C"/>
    <w:rsid w:val="000C4033"/>
    <w:rsid w:val="00173ED8"/>
    <w:rsid w:val="002F50B1"/>
    <w:rsid w:val="00434BB1"/>
    <w:rsid w:val="004B42CB"/>
    <w:rsid w:val="005F2B46"/>
    <w:rsid w:val="006E1731"/>
    <w:rsid w:val="00866D74"/>
    <w:rsid w:val="00882A73"/>
    <w:rsid w:val="008E2E5C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56B91"/>
  <w15:chartTrackingRefBased/>
  <w15:docId w15:val="{645447EF-F382-4B86-B63D-E9845676D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E5C"/>
    <w:pPr>
      <w:widowControl w:val="0"/>
    </w:pPr>
    <w:rPr>
      <w:rFonts w:eastAsiaTheme="minorEastAsia"/>
      <w:lang w:val="en-US" w:eastAsia="zh-TW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2E5C"/>
    <w:pPr>
      <w:keepNext/>
      <w:keepLines/>
      <w:widowControl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2E5C"/>
    <w:pPr>
      <w:keepNext/>
      <w:keepLines/>
      <w:widowControl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2E5C"/>
    <w:pPr>
      <w:keepNext/>
      <w:keepLines/>
      <w:widowControl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2E5C"/>
    <w:pPr>
      <w:keepNext/>
      <w:keepLines/>
      <w:widowControl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IN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2E5C"/>
    <w:pPr>
      <w:keepNext/>
      <w:keepLines/>
      <w:widowControl/>
      <w:spacing w:before="80" w:after="40"/>
      <w:outlineLvl w:val="4"/>
    </w:pPr>
    <w:rPr>
      <w:rFonts w:eastAsiaTheme="majorEastAsia" w:cstheme="majorBidi"/>
      <w:color w:val="0F4761" w:themeColor="accent1" w:themeShade="BF"/>
      <w:lang w:val="en-IN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2E5C"/>
    <w:pPr>
      <w:keepNext/>
      <w:keepLines/>
      <w:widowControl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N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2E5C"/>
    <w:pPr>
      <w:keepNext/>
      <w:keepLines/>
      <w:widowControl/>
      <w:spacing w:before="40" w:after="0"/>
      <w:outlineLvl w:val="6"/>
    </w:pPr>
    <w:rPr>
      <w:rFonts w:eastAsiaTheme="majorEastAsia" w:cstheme="majorBidi"/>
      <w:color w:val="595959" w:themeColor="text1" w:themeTint="A6"/>
      <w:lang w:val="en-IN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2E5C"/>
    <w:pPr>
      <w:keepNext/>
      <w:keepLines/>
      <w:widowControl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N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2E5C"/>
    <w:pPr>
      <w:keepNext/>
      <w:keepLines/>
      <w:widowControl/>
      <w:spacing w:after="0"/>
      <w:outlineLvl w:val="8"/>
    </w:pPr>
    <w:rPr>
      <w:rFonts w:eastAsiaTheme="majorEastAsia" w:cstheme="majorBidi"/>
      <w:color w:val="272727" w:themeColor="text1" w:themeTint="D8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2E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2E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2E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2E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2E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2E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2E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2E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2E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2E5C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</w:rPr>
  </w:style>
  <w:style w:type="character" w:customStyle="1" w:styleId="TitleChar">
    <w:name w:val="Title Char"/>
    <w:basedOn w:val="DefaultParagraphFont"/>
    <w:link w:val="Title"/>
    <w:uiPriority w:val="10"/>
    <w:rsid w:val="008E2E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2E5C"/>
    <w:pPr>
      <w:widowControl/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E2E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2E5C"/>
    <w:pPr>
      <w:widowControl/>
      <w:spacing w:before="160"/>
      <w:jc w:val="center"/>
    </w:pPr>
    <w:rPr>
      <w:rFonts w:eastAsiaTheme="minorHAnsi"/>
      <w:i/>
      <w:iCs/>
      <w:color w:val="404040" w:themeColor="text1" w:themeTint="BF"/>
      <w:lang w:val="en-IN" w:eastAsia="en-US"/>
    </w:rPr>
  </w:style>
  <w:style w:type="character" w:customStyle="1" w:styleId="QuoteChar">
    <w:name w:val="Quote Char"/>
    <w:basedOn w:val="DefaultParagraphFont"/>
    <w:link w:val="Quote"/>
    <w:uiPriority w:val="29"/>
    <w:rsid w:val="008E2E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2E5C"/>
    <w:pPr>
      <w:widowControl/>
      <w:ind w:left="720"/>
      <w:contextualSpacing/>
    </w:pPr>
    <w:rPr>
      <w:rFonts w:eastAsiaTheme="minorHAnsi"/>
      <w:lang w:val="en-IN" w:eastAsia="en-US"/>
    </w:rPr>
  </w:style>
  <w:style w:type="character" w:styleId="IntenseEmphasis">
    <w:name w:val="Intense Emphasis"/>
    <w:basedOn w:val="DefaultParagraphFont"/>
    <w:uiPriority w:val="21"/>
    <w:qFormat/>
    <w:rsid w:val="008E2E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E5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val="en-IN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E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2E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2026-09-23T09:07:00Z</dcterms:created>
  <dcterms:modified xsi:type="dcterms:W3CDTF">2026-09-23T09:07:00Z</dcterms:modified>
</cp:coreProperties>
</file>