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0" w:lineRule="auto"/>
        <w:jc w:val="center"/>
        <w:rPr>
          <w:rFonts w:ascii="Poppins SemiBold" w:cs="Poppins SemiBold" w:eastAsia="Poppins SemiBold" w:hAnsi="Poppins SemiBold"/>
          <w:color w:val="000000"/>
        </w:rPr>
      </w:pPr>
      <w:bookmarkStart w:colFirst="0" w:colLast="0" w:name="_k20djeslo8ou" w:id="0"/>
      <w:bookmarkEnd w:id="0"/>
      <w:r w:rsidDel="00000000" w:rsidR="00000000" w:rsidRPr="00000000">
        <w:rPr>
          <w:rFonts w:ascii="Poppins SemiBold" w:cs="Poppins SemiBold" w:eastAsia="Poppins SemiBold" w:hAnsi="Poppins SemiBold"/>
          <w:color w:val="000000"/>
          <w:rtl w:val="0"/>
        </w:rPr>
        <w:t xml:space="preserve">Supplementary Note 1. Dataset Curation and Class Definition from the COSMIC Cancer Mutation Census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4"/>
        <w:keepNext w:val="0"/>
        <w:keepLines w:val="0"/>
        <w:spacing w:before="200" w:lineRule="auto"/>
        <w:jc w:val="both"/>
        <w:rPr>
          <w:b w:val="1"/>
          <w:bCs w:val="1"/>
          <w:color w:val="000000"/>
        </w:rPr>
      </w:pPr>
      <w:bookmarkStart w:colFirst="0" w:colLast="0" w:name="_8uojfqxd4f6d" w:id="1"/>
      <w:bookmarkEnd w:id="1"/>
      <w:r w:rsidDel="00000000" w:rsidR="00000000" w:rsidRPr="00000000">
        <w:rPr>
          <w:b w:val="1"/>
          <w:bCs w:val="1"/>
          <w:color w:val="000000"/>
          <w:rtl w:val="0"/>
        </w:rPr>
        <w:t xml:space="preserve">1. Data Dictionary and Curation (cmc_export.tsv)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Variants were obtained from the COSMIC Cancer Mutation Census (CMC) v100 on March 22, 2024. We used the following fields: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GENE_NAME:</w:t>
      </w:r>
      <w:r w:rsidDel="00000000" w:rsidR="00000000" w:rsidRPr="00000000">
        <w:rPr>
          <w:rtl w:val="0"/>
        </w:rPr>
        <w:t xml:space="preserve"> gene symbol.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CGC_TIER:</w:t>
      </w:r>
      <w:r w:rsidDel="00000000" w:rsidR="00000000" w:rsidRPr="00000000">
        <w:rPr>
          <w:rtl w:val="0"/>
        </w:rPr>
        <w:t xml:space="preserve"> Cancer Gene Census tier.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Mutation AA:</w:t>
      </w:r>
      <w:r w:rsidDel="00000000" w:rsidR="00000000" w:rsidRPr="00000000">
        <w:rPr>
          <w:rtl w:val="0"/>
        </w:rPr>
        <w:t xml:space="preserve"> protein-level amino-acid change reported in HGVS-compliant notation.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MUTATION_SIGNIFICANCE_TIER:</w:t>
      </w:r>
      <w:r w:rsidDel="00000000" w:rsidR="00000000" w:rsidRPr="00000000">
        <w:rPr>
          <w:rtl w:val="0"/>
        </w:rPr>
        <w:t xml:space="preserve"> CMC mutation significance tier:</w:t>
      </w:r>
    </w:p>
    <w:p w:rsidR="00000000" w:rsidDel="00000000" w:rsidP="00000000" w:rsidRDefault="00000000" w:rsidRPr="00000000" w14:paraId="00000009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High significance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Medium significance.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Low significance.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spacing w:after="240" w:before="0" w:beforeAutospacing="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Other:</w:t>
      </w:r>
      <w:r w:rsidDel="00000000" w:rsidR="00000000" w:rsidRPr="00000000">
        <w:rPr>
          <w:rtl w:val="0"/>
        </w:rPr>
        <w:t xml:space="preserve"> No predicted significance (other mutations).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Methodological Note:</w:t>
      </w:r>
      <w:r w:rsidDel="00000000" w:rsidR="00000000" w:rsidRPr="00000000">
        <w:rPr>
          <w:rtl w:val="0"/>
        </w:rPr>
        <w:t xml:space="preserve"> Entries were deduplicated based on the unique tuple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(GENE_NAME, CGC_TIER, Mutation AA, MUTATION_SIGNIFICANCE_TIER)</w:t>
      </w:r>
      <w:r w:rsidDel="00000000" w:rsidR="00000000" w:rsidRPr="00000000">
        <w:rPr>
          <w:rtl w:val="0"/>
        </w:rPr>
        <w:t xml:space="preserve">. Additionally, protein substitutions were restricted to those adhering to the standard HGVS pattern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p.&lt;amino_acid&gt;&lt;position&gt;&lt;amino_acid&gt;</w:t>
      </w:r>
      <w:r w:rsidDel="00000000" w:rsidR="00000000" w:rsidRPr="00000000">
        <w:rPr>
          <w:rtl w:val="0"/>
        </w:rPr>
        <w:t xml:space="preserve">, ensuring uniform downstream parsing.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4"/>
        <w:keepNext w:val="0"/>
        <w:keepLines w:val="0"/>
        <w:rPr>
          <w:b w:val="1"/>
          <w:bCs w:val="1"/>
          <w:color w:val="000000"/>
        </w:rPr>
      </w:pPr>
      <w:bookmarkStart w:colFirst="0" w:colLast="0" w:name="_i4mb7aojez7l" w:id="2"/>
      <w:bookmarkEnd w:id="2"/>
      <w:r w:rsidDel="00000000" w:rsidR="00000000" w:rsidRPr="00000000">
        <w:rPr>
          <w:b w:val="1"/>
          <w:bCs w:val="1"/>
          <w:color w:val="000000"/>
          <w:rtl w:val="0"/>
        </w:rPr>
        <w:t xml:space="preserve">2. Initial Class Distribution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Classes were defined based on the intersection of CGC Tier and Mutation Significance: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Driver Class:</w:t>
      </w:r>
      <w:r w:rsidDel="00000000" w:rsidR="00000000" w:rsidRPr="00000000">
        <w:rPr>
          <w:rtl w:val="0"/>
        </w:rPr>
        <w:t xml:space="preserve"> Defined as instances where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CGC_TIER == 1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MUTATION_SIGNIFICANCE_TIER == '1'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Non-Driver Class:</w:t>
      </w:r>
      <w:r w:rsidDel="00000000" w:rsidR="00000000" w:rsidRPr="00000000">
        <w:rPr>
          <w:rtl w:val="0"/>
        </w:rPr>
        <w:t xml:space="preserve"> Defined as instances where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CGC_TIER == 1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MUTATION_SIGNIFICANCE_TIER == 'Other'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Preliminary data collection identified 232 </w:t>
      </w:r>
      <w:r w:rsidDel="00000000" w:rsidR="00000000" w:rsidRPr="00000000">
        <w:rPr>
          <w:rtl w:val="0"/>
        </w:rPr>
        <w:t xml:space="preserve">driver</w:t>
      </w:r>
      <w:r w:rsidDel="00000000" w:rsidR="00000000" w:rsidRPr="00000000">
        <w:rPr>
          <w:rtl w:val="0"/>
        </w:rPr>
        <w:t xml:space="preserve"> and 73,761 non-driver variants, indicating substantial class imbalance.</w:t>
      </w:r>
    </w:p>
    <w:p w:rsidR="00000000" w:rsidDel="00000000" w:rsidP="00000000" w:rsidRDefault="00000000" w:rsidRPr="00000000" w14:paraId="00000013">
      <w:pPr>
        <w:pStyle w:val="Heading4"/>
        <w:keepNext w:val="0"/>
        <w:keepLines w:val="0"/>
        <w:rPr>
          <w:b w:val="1"/>
          <w:bCs w:val="1"/>
          <w:color w:val="000000"/>
        </w:rPr>
      </w:pPr>
      <w:bookmarkStart w:colFirst="0" w:colLast="0" w:name="_4qdtezc56rs2" w:id="3"/>
      <w:bookmarkEnd w:id="3"/>
      <w:r w:rsidDel="00000000" w:rsidR="00000000" w:rsidRPr="00000000">
        <w:rPr>
          <w:b w:val="1"/>
          <w:bCs w:val="1"/>
          <w:color w:val="000000"/>
          <w:rtl w:val="0"/>
        </w:rPr>
        <w:t xml:space="preserve">3. Comparative Analysis with Prior Work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Although the raw CMC data suggested an apparent increase in driver variants relative to Meirson et al. (232 vs. 205), subsequent sequence-level validation identified 27 variants (11.6\%) that could not be reliably mapped to the annotated protein sequence (e.g., out-of-range positions or sequence--isoform inconsistencies). After excluding these cases, the resulting dataset comprised 205 driver variants across 45 Tier 1 genes, consistent with the composition reported by Meirson et al.</w:t>
      </w:r>
    </w:p>
    <w:p w:rsidR="00000000" w:rsidDel="00000000" w:rsidP="00000000" w:rsidRDefault="00000000" w:rsidRPr="00000000" w14:paraId="00000015">
      <w:pPr>
        <w:pStyle w:val="Heading4"/>
        <w:keepNext w:val="0"/>
        <w:keepLines w:val="0"/>
        <w:rPr>
          <w:b w:val="1"/>
          <w:bCs w:val="1"/>
          <w:color w:val="000000"/>
        </w:rPr>
      </w:pPr>
      <w:bookmarkStart w:colFirst="0" w:colLast="0" w:name="_hh8ek0bgilaq" w:id="4"/>
      <w:bookmarkEnd w:id="4"/>
      <w:r w:rsidDel="00000000" w:rsidR="00000000" w:rsidRPr="00000000">
        <w:rPr>
          <w:b w:val="1"/>
          <w:bCs w:val="1"/>
          <w:color w:val="000000"/>
          <w:rtl w:val="0"/>
        </w:rPr>
        <w:t xml:space="preserve">4. Gene-level distribution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Driver variants were concentrated in a small subset of Tier 1 genes, including PIK3CA (20), NRAS (17), CTNNB1 (15), HRAS (13), and TP53 (13).</w:t>
      </w:r>
    </w:p>
    <w:p w:rsidR="00000000" w:rsidDel="00000000" w:rsidP="00000000" w:rsidRDefault="00000000" w:rsidRPr="00000000" w14:paraId="00000017">
      <w:pPr>
        <w:ind w:left="-9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114300" distT="114300" distL="114300" distR="114300">
                <wp:extent cx="5861304" cy="2538998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2400" y="152400"/>
                          <a:ext cx="5861304" cy="2538998"/>
                          <a:chOff x="152400" y="152400"/>
                          <a:chExt cx="7315200" cy="3159300"/>
                        </a:xfrm>
                      </wpg:grpSpPr>
                      <pic:pic>
                        <pic:nvPicPr>
                          <pic:cNvPr id="2" name="Shape 2"/>
                          <pic:cNvPicPr preferRelativeResize="0"/>
                        </pic:nvPicPr>
                        <pic:blipFill>
                          <a:blip r:embed="rId6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7315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 txBox="1"/>
                        <wps:cNvPr id="3" name="Shape 3"/>
                        <wps:spPr>
                          <a:xfrm>
                            <a:off x="152400" y="2895600"/>
                            <a:ext cx="7315200" cy="4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Figure 1. Frequency of driver mutations for Tier 1 genes.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861304" cy="253899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1304" cy="253899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4"/>
        <w:spacing w:after="200" w:before="240" w:lineRule="auto"/>
        <w:jc w:val="both"/>
        <w:rPr>
          <w:b w:val="1"/>
          <w:bCs w:val="1"/>
          <w:color w:val="000000"/>
        </w:rPr>
      </w:pPr>
      <w:bookmarkStart w:colFirst="0" w:colLast="0" w:name="_uia2r7wu0415" w:id="5"/>
      <w:bookmarkEnd w:id="5"/>
      <w:r w:rsidDel="00000000" w:rsidR="00000000" w:rsidRPr="00000000">
        <w:rPr>
          <w:b w:val="1"/>
          <w:bCs w:val="1"/>
          <w:color w:val="000000"/>
          <w:rtl w:val="0"/>
        </w:rPr>
        <w:t xml:space="preserve">References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Meirson, T., Bomze, D., Schueler-Furman, O., Stemmer, S.M., &amp; Markel, G. (2023). Systemic structural analysis of alterations reveals a common structural basis of driver mutations in cancer. </w:t>
      </w:r>
      <w:r w:rsidDel="00000000" w:rsidR="00000000" w:rsidRPr="00000000">
        <w:rPr>
          <w:i w:val="1"/>
          <w:iCs w:val="1"/>
          <w:rtl w:val="0"/>
        </w:rPr>
        <w:t xml:space="preserve">NAR Cancer</w:t>
      </w:r>
      <w:r w:rsidDel="00000000" w:rsidR="00000000" w:rsidRPr="00000000">
        <w:rPr>
          <w:rtl w:val="0"/>
        </w:rPr>
        <w:t xml:space="preserve">, 5(1), zcac040.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on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SemiBold-regular.ttf"/><Relationship Id="rId2" Type="http://schemas.openxmlformats.org/officeDocument/2006/relationships/font" Target="fonts/PoppinsSemiBold-bold.ttf"/><Relationship Id="rId3" Type="http://schemas.openxmlformats.org/officeDocument/2006/relationships/font" Target="fonts/PoppinsSemiBold-italic.ttf"/><Relationship Id="rId4" Type="http://schemas.openxmlformats.org/officeDocument/2006/relationships/font" Target="fonts/PoppinsSemiBold-boldItalic.ttf"/><Relationship Id="rId5" Type="http://schemas.openxmlformats.org/officeDocument/2006/relationships/font" Target="fonts/RobotoMono-regular.ttf"/><Relationship Id="rId6" Type="http://schemas.openxmlformats.org/officeDocument/2006/relationships/font" Target="fonts/RobotoMono-bold.ttf"/><Relationship Id="rId7" Type="http://schemas.openxmlformats.org/officeDocument/2006/relationships/font" Target="fonts/RobotoMono-italic.ttf"/><Relationship Id="rId8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