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ADFDA" w14:textId="486AFDC3" w:rsidR="00DC0E37" w:rsidRDefault="00367563">
      <w:r>
        <w:t>Supplementary Cp-</w:t>
      </w:r>
      <w:proofErr w:type="gramStart"/>
      <w:r>
        <w:t>time curve</w:t>
      </w:r>
      <w:proofErr w:type="gramEnd"/>
      <w:r>
        <w:t xml:space="preserve"> references:</w:t>
      </w:r>
    </w:p>
    <w:tbl>
      <w:tblPr>
        <w:tblW w:w="7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1330"/>
        <w:gridCol w:w="960"/>
        <w:gridCol w:w="1147"/>
        <w:gridCol w:w="1209"/>
      </w:tblGrid>
      <w:tr w:rsidR="00367563" w:rsidRPr="00367563" w14:paraId="21A2577E" w14:textId="77777777" w:rsidTr="00CA3A28">
        <w:trPr>
          <w:trHeight w:val="288"/>
        </w:trPr>
        <w:tc>
          <w:tcPr>
            <w:tcW w:w="2695" w:type="dxa"/>
            <w:noWrap/>
            <w:vAlign w:val="bottom"/>
            <w:hideMark/>
          </w:tcPr>
          <w:p w14:paraId="4011404E" w14:textId="77777777" w:rsidR="00367563" w:rsidRPr="00367563" w:rsidRDefault="00367563" w:rsidP="00367563">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Compound</w:t>
            </w:r>
          </w:p>
        </w:tc>
        <w:tc>
          <w:tcPr>
            <w:tcW w:w="1330" w:type="dxa"/>
            <w:noWrap/>
            <w:vAlign w:val="bottom"/>
            <w:hideMark/>
          </w:tcPr>
          <w:p w14:paraId="70DCBD36"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Dose (mg)</w:t>
            </w:r>
          </w:p>
        </w:tc>
        <w:tc>
          <w:tcPr>
            <w:tcW w:w="960" w:type="dxa"/>
            <w:noWrap/>
            <w:vAlign w:val="bottom"/>
            <w:hideMark/>
          </w:tcPr>
          <w:p w14:paraId="5F53A864"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Route</w:t>
            </w:r>
          </w:p>
        </w:tc>
        <w:tc>
          <w:tcPr>
            <w:tcW w:w="1147" w:type="dxa"/>
            <w:noWrap/>
            <w:vAlign w:val="bottom"/>
            <w:hideMark/>
          </w:tcPr>
          <w:p w14:paraId="276FF433"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Species</w:t>
            </w:r>
          </w:p>
        </w:tc>
        <w:tc>
          <w:tcPr>
            <w:tcW w:w="1209" w:type="dxa"/>
            <w:noWrap/>
            <w:vAlign w:val="bottom"/>
            <w:hideMark/>
          </w:tcPr>
          <w:p w14:paraId="0CF80346"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References</w:t>
            </w:r>
          </w:p>
        </w:tc>
      </w:tr>
      <w:tr w:rsidR="00367563" w:rsidRPr="00367563" w14:paraId="0EC8FE4F" w14:textId="77777777" w:rsidTr="00CA3A28">
        <w:trPr>
          <w:trHeight w:val="288"/>
        </w:trPr>
        <w:tc>
          <w:tcPr>
            <w:tcW w:w="2695" w:type="dxa"/>
            <w:noWrap/>
            <w:vAlign w:val="bottom"/>
            <w:hideMark/>
          </w:tcPr>
          <w:p w14:paraId="6C03460D" w14:textId="77777777" w:rsidR="00367563" w:rsidRPr="00367563" w:rsidRDefault="00367563" w:rsidP="00367563">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32</w:t>
            </w:r>
          </w:p>
        </w:tc>
        <w:tc>
          <w:tcPr>
            <w:tcW w:w="1330" w:type="dxa"/>
            <w:noWrap/>
            <w:vAlign w:val="bottom"/>
            <w:hideMark/>
          </w:tcPr>
          <w:p w14:paraId="54A35349"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w:t>
            </w:r>
          </w:p>
        </w:tc>
        <w:tc>
          <w:tcPr>
            <w:tcW w:w="960" w:type="dxa"/>
            <w:noWrap/>
            <w:vAlign w:val="bottom"/>
            <w:hideMark/>
          </w:tcPr>
          <w:p w14:paraId="18BF0D62"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747137B9"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3673AD38" w14:textId="042FB488" w:rsidR="00367563" w:rsidRPr="00367563" w:rsidRDefault="00D20272"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{"citationID":"4ShwbGjh","properties":{"unsorted":false,"formattedCitation":"\\super 1\\nosupersub{}","plainCitation":"1","noteIndex":0},"citationItems":[{"id":1236,"uris":["http://zotero.org/users/7234110/items/4GGEP4P7"],"itemData":{"id":1236,"type":"article-journal","abstract":"New therapies are needed for the treatment of toxoplasmosis, which is a disease caused by the protozoan parasite Toxoplasma gondii. To this end, we previously developed a potent and selective inhibitor (compound 1) of Toxoplasma gondii calcium-dependent protein kinase 1 (TgCDPK1) that possesses antitoxoplasmosis activity in vitro and in vivo. Unfortunately, 1 has potent human ether-a-go-go-related gene (hERG) inhibitory activity, associated with long Q–T syndrome, and consequently presents a cardiotoxicity risk. Here, we describe the identification of an optimized TgCDPK1 inhibitor 32, which does not have a hERG liability and possesses a favorable pharmacokinetic profile in small and large animals. 32 is CNS-penetrant and highly effective in acute and latent mouse models of T. gondii infection, significantly reducing the amount of parasite in the brain, spleen, and peritoneal fluid and reducing brain cysts by &gt;85%. These properties make 32 a promising lead for the development of a new antitoxoplasmosis therapy.","container-title":"Journal of Medicinal Chemistry","DOI":"10.1021/acs.jmedchem.6b00760","ISSN":"0022-2623","issue":"13","journalAbbreviation":"J. Med. Chem.","page":"6531-6546","publisher":"American Chemical Society","source":"ACS Publications","title":"Development of an Orally Available and Central Nervous System (CNS) Penetrant Toxoplasma gondii Calcium-Dependent Protein Kinase 1 (TgCDPK1) Inhibitor with Minimal Human Ether-a-go-go-Related Gene (hERG) Activity for the Treatment of Toxoplasmosis","volume":"59","author":[{"family":"Vidadala","given":"Rama Subba Rao"},{"family":"Rivas","given":"Kasey L."},{"family":"Ojo","given":"Kayode K."},{"family":"Hulverson","given":"Matthew A."},{"family":"Zambriski","given":"Jennifer A."},{"family":"Bruzual","given":"Igor"},{"family":"Schultz","given":"Tracey L."},{"family":"Huang","given":"Wenlin"},{"family":"Zhang","given":"Zhongsheng"},{"family":"Scheele","given":"Suzanne"},{"family":"DeRocher","given":"Amy E."},{"family":"Choi","given":"Ryan"},{"family":"Barrett","given":"Lynn K."},{"family":"Siddaramaiah","given":"Latha Kallur"},{"family":"Hol","given":"Wim G. J."},{"family":"Fan","given":"Erkang"},{"family":"Merritt","given":"Ethan A."},{"family":"Parsons","given":"Marilyn"},{"family":"Freiberg","given":"Gail"},{"family":"Marsh","given":"Kennan"},{"family":"Kempf","given":"Dale J."},{"family":"Carruthers","given":"Vern B."},{"family":"Isoherranen","given":"Nina"},{"family":"Doggett","given":"J. Stone"},{"family":"Van Voorhis","given":"Wesley C."},{"family":"Maly","given":"Dustin J."}],"issued":{"date-parts":[["2016",7,14]]}}}],"schema":"https://github.com/citation-style-language/schema/raw/master/csl-citation.json"}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D20272">
              <w:rPr>
                <w:rFonts w:ascii="Aptos Narrow" w:hAnsi="Aptos Narrow" w:cs="Times New Roman"/>
                <w:kern w:val="0"/>
                <w:sz w:val="22"/>
                <w:vertAlign w:val="superscript"/>
              </w:rPr>
              <w:t>1</w:t>
            </w:r>
            <w:r>
              <w:rPr>
                <w:rFonts w:ascii="Aptos Narrow" w:eastAsia="Times New Roman" w:hAnsi="Aptos Narrow" w:cs="Times New Roman"/>
                <w:color w:val="000000"/>
                <w:kern w:val="0"/>
                <w:sz w:val="22"/>
                <w:szCs w:val="22"/>
                <w14:ligatures w14:val="none"/>
              </w:rPr>
              <w:fldChar w:fldCharType="end"/>
            </w:r>
          </w:p>
        </w:tc>
      </w:tr>
      <w:tr w:rsidR="00367563" w:rsidRPr="00367563" w14:paraId="60CE488E" w14:textId="77777777" w:rsidTr="00CA3A28">
        <w:trPr>
          <w:trHeight w:val="288"/>
        </w:trPr>
        <w:tc>
          <w:tcPr>
            <w:tcW w:w="2695" w:type="dxa"/>
            <w:noWrap/>
            <w:vAlign w:val="bottom"/>
            <w:hideMark/>
          </w:tcPr>
          <w:p w14:paraId="4FD0E2AE" w14:textId="77777777" w:rsidR="00367563" w:rsidRPr="00367563" w:rsidRDefault="00367563" w:rsidP="00367563">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32</w:t>
            </w:r>
          </w:p>
        </w:tc>
        <w:tc>
          <w:tcPr>
            <w:tcW w:w="1330" w:type="dxa"/>
            <w:noWrap/>
            <w:vAlign w:val="bottom"/>
            <w:hideMark/>
          </w:tcPr>
          <w:p w14:paraId="1B952014"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w:t>
            </w:r>
          </w:p>
        </w:tc>
        <w:tc>
          <w:tcPr>
            <w:tcW w:w="960" w:type="dxa"/>
            <w:noWrap/>
            <w:vAlign w:val="bottom"/>
            <w:hideMark/>
          </w:tcPr>
          <w:p w14:paraId="42FC6433" w14:textId="33C69437" w:rsidR="00367563" w:rsidRPr="00367563" w:rsidRDefault="00FC471F"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679CD68F"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06E02A95" w14:textId="12729B3C" w:rsidR="00367563" w:rsidRPr="00367563" w:rsidRDefault="00D20272"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67523C">
              <w:rPr>
                <w:rFonts w:ascii="Aptos Narrow" w:eastAsia="Times New Roman" w:hAnsi="Aptos Narrow" w:cs="Times New Roman"/>
                <w:color w:val="000000"/>
                <w:kern w:val="0"/>
                <w:sz w:val="22"/>
                <w:szCs w:val="22"/>
                <w14:ligatures w14:val="none"/>
              </w:rPr>
              <w:instrText xml:space="preserve"> ADDIN ZOTERO_ITEM CSL_CITATION {"citationID":"gXrVehiy","properties":{"unsorted":false,"formattedCitation":"\\super 1\\nosupersub{}","plainCitation":"1","noteIndex":0},"citationItems":[{"id":1236,"uris":["http://zotero.org/users/7234110/items/4GGEP4P7"],"itemData":{"id":1236,"type":"article-journal","abstract":"New therapies are needed for the treatment of toxoplasmosis, which is a disease caused by the protozoan parasite Toxoplasma gondii. To this end, we previously developed a potent and selective inhibitor (compound 1) of Toxoplasma gondii calcium-dependent protein kinase 1 (TgCDPK1) that possesses antitoxoplasmosis activity in vitro and in vivo. Unfortunately, 1 has potent human ether-a-go-go-related gene (hERG) inhibitory activity, associated with long Q–T syndrome, and consequently presents a cardiotoxicity risk. Here, we describe the identification of an optimized TgCDPK1 inhibitor 32, which does not have a hERG liability and possesses a favorable pharmacokinetic profile in small and large animals. 32 is CNS-penetrant and highly effective in acute and latent mouse models of T. gondii infection, significantly reducing the amount of parasite in the brain, spleen, and peritoneal fluid and reducing brain cysts by &gt;85%. These properties make 32 a promising lead for the development of a new antitoxoplasmosis therapy.","container-title":"Journal of Medicinal Chemistry","DOI":"10.1021/acs.jmedchem.6b00760","ISSN":"0022-2623","issue":"13","journalAbbreviation":"J. Med. Chem.","page":"6531-6546","publisher":"American Chemical Society","source":"ACS Publications","title":"Development of an Orally Available and Central Nervous System (CNS) Penetrant Toxoplasma gondii Calcium-Dependent Protein Kinase 1 (TgCDPK1) Inhibitor with Minimal Human Ether-a-go-go-Related Gene (hERG) Activity for the Treatment of Toxoplasmosis","volume":"59","author":[{"family":"Vidadala","given":"Rama Subba Rao"},{"family":"Rivas","given":"Kasey L."},{"family":"Ojo","given":"Kayode K."},{"family":"Hulverson","given":"Matthew A."},{"family":"Zambriski","given":"Jennifer A."},{"family":"Bruzual","given":"Igor"},{"family":"Schultz","given":"Tracey L."},{"family":"Huang","given":"Wenlin"},{"family":"Zhang","given":"Zhongsheng"},{"family":"Scheele","given":"Suzanne"},{"family":"DeRocher","given":"Amy E."},{"family":"Choi","given":"Ryan"},{"family":"Barrett","given":"Lynn K."},{"family":"Siddaramaiah","given":"Latha Kallur"},{"family":"Hol","given":"Wim G. J."},{"family":"Fan","given":"Erkang"},{"family":"Merritt","given":"Ethan A."},{"family":"Parsons","given":"Marilyn"},{"family":"Freiberg","given":"Gail"},{"family":"Marsh","given":"Kennan"},{"family":"Kempf","given":"Dale J."},{"family":"Carruthers","given":"Vern B."},{"family":"Isoherranen","given":"Nina"},{"family":"Doggett","given":"J. Stone"},{"family":"Van Voorhis","given":"Wesley C."},{"family":"Maly","given":"Dustin J."}],"issued":{"date-parts":[["2016",7,14]]}}}],"schema":"https://github.com/citation-style-language/schema/raw/master/csl-citation.json"}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D20272">
              <w:rPr>
                <w:rFonts w:ascii="Aptos Narrow" w:hAnsi="Aptos Narrow" w:cs="Times New Roman"/>
                <w:kern w:val="0"/>
                <w:sz w:val="22"/>
                <w:vertAlign w:val="superscript"/>
              </w:rPr>
              <w:t>1</w:t>
            </w:r>
            <w:r>
              <w:rPr>
                <w:rFonts w:ascii="Aptos Narrow" w:eastAsia="Times New Roman" w:hAnsi="Aptos Narrow" w:cs="Times New Roman"/>
                <w:color w:val="000000"/>
                <w:kern w:val="0"/>
                <w:sz w:val="22"/>
                <w:szCs w:val="22"/>
                <w14:ligatures w14:val="none"/>
              </w:rPr>
              <w:fldChar w:fldCharType="end"/>
            </w:r>
          </w:p>
        </w:tc>
      </w:tr>
      <w:tr w:rsidR="00367563" w:rsidRPr="00367563" w14:paraId="422AA638" w14:textId="77777777" w:rsidTr="00CA3A28">
        <w:trPr>
          <w:trHeight w:val="288"/>
        </w:trPr>
        <w:tc>
          <w:tcPr>
            <w:tcW w:w="2695" w:type="dxa"/>
            <w:noWrap/>
            <w:vAlign w:val="bottom"/>
            <w:hideMark/>
          </w:tcPr>
          <w:p w14:paraId="64C252CA" w14:textId="77777777" w:rsidR="00367563" w:rsidRPr="00367563" w:rsidRDefault="00367563" w:rsidP="00367563">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12j</w:t>
            </w:r>
          </w:p>
        </w:tc>
        <w:tc>
          <w:tcPr>
            <w:tcW w:w="1330" w:type="dxa"/>
            <w:noWrap/>
            <w:vAlign w:val="bottom"/>
            <w:hideMark/>
          </w:tcPr>
          <w:p w14:paraId="0DEEFC1B"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8</w:t>
            </w:r>
          </w:p>
        </w:tc>
        <w:tc>
          <w:tcPr>
            <w:tcW w:w="960" w:type="dxa"/>
            <w:noWrap/>
            <w:vAlign w:val="bottom"/>
            <w:hideMark/>
          </w:tcPr>
          <w:p w14:paraId="244A60CA"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546FFC13"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672644CF" w14:textId="3E148908" w:rsidR="00367563" w:rsidRPr="00367563" w:rsidRDefault="00CC4BC0"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D20272">
              <w:rPr>
                <w:rFonts w:ascii="Aptos Narrow" w:eastAsia="Times New Roman" w:hAnsi="Aptos Narrow" w:cs="Times New Roman"/>
                <w:color w:val="000000"/>
                <w:kern w:val="0"/>
                <w:sz w:val="22"/>
                <w:szCs w:val="22"/>
                <w14:ligatures w14:val="none"/>
              </w:rPr>
              <w:instrText xml:space="preserve"> ADDIN ZOTERO_ITEM CSL_CITATION {"citationID":"sbzwCbus","properties":{"unsorted":false,"formattedCitation":"\\super 2\\nosupersub{}","plainCitation":"2","noteIndex":0},"citationItems":[{"id":1235,"uris":["http://zotero.org/users/7234110/items/2I7NF77P"],"itemData":{"id":1235,"type":"article-journal","abstract":"Muscle atrophy and cachexia are common comorbidities among patients suffering from cancer, chronic obstructive pulmonary disease, and several other chronic diseases. The peptide hormone ghrelin exerts pleiotropic effects including the stimulation of growth hormone secretion and subsequent increase of insulin-like growth factor-1 levels, an important mediator of muscle growth and repair. Ghrelin also acts on inflammation, appetite, and adipogenesis and therefore has been considered a promising therapeutic target for catabolic conditions. We previously reported on the synthesis and properties of an indane based series of ghrelin receptor full agonists which led to a sustained increase of insulin-like growth factor-1 in a dog pharmacodynamic study. Herein we report on the identification of a series of pyrrolidine or piperidine based full agonists and attempted optimization to give compounds with profiles suitable for progression as clinical candidates.","container-title":"Journal of Medicinal Chemistry","DOI":"10.1021/acs.jmedchem.0c00828","ISSN":"0022-2623","issue":"17","journalAbbreviation":"J. Med. Chem.","page":"9705-9730","publisher":"American Chemical Society","source":"ACS Publications","title":"Identification and Optimization of Pyrrolidine Derivatives as Highly Potent Ghrelin Receptor Full Agonists","volume":"63","author":[{"family":"Cooper","given":"Martin"},{"family":"Llinas","given":"Antonio"},{"family":"Hansen","given":"Peter"},{"family":"Caffrey","given":"Moya"},{"family":"Ray","given":"Asim"},{"family":"Sjödin","given":"Stina"},{"family":"Shamovsky","given":"Igor"},{"family":"Wada","given":"Hiroki"},{"family":"Jellesmark Jensen","given":"Tina"},{"family":"Sivars","given":"Ulf"},{"family":"Hultin","given":"Leif"},{"family":"Andersson","given":"Ulf"},{"family":"Lundqvist","given":"Sara"},{"family":"Gedda","given":"Karin"},{"family":"Jinton","given":"Lisa"},{"family":"Krutrök","given":"Nina"},{"family":"Lewis","given":"Richard"},{"family":"Jansson","given":"Paul"},{"family":"Gardelli","given":"Cristina"}],"issued":{"date-parts":[["2020",9,10]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D20272" w:rsidRPr="00D20272">
              <w:rPr>
                <w:rFonts w:ascii="Aptos Narrow" w:hAnsi="Aptos Narrow" w:cs="Times New Roman"/>
                <w:kern w:val="0"/>
                <w:sz w:val="22"/>
                <w:vertAlign w:val="superscript"/>
              </w:rPr>
              <w:t>2</w:t>
            </w:r>
            <w:r>
              <w:rPr>
                <w:rFonts w:ascii="Aptos Narrow" w:eastAsia="Times New Roman" w:hAnsi="Aptos Narrow" w:cs="Times New Roman"/>
                <w:color w:val="000000"/>
                <w:kern w:val="0"/>
                <w:sz w:val="22"/>
                <w:szCs w:val="22"/>
                <w14:ligatures w14:val="none"/>
              </w:rPr>
              <w:fldChar w:fldCharType="end"/>
            </w:r>
          </w:p>
        </w:tc>
      </w:tr>
      <w:tr w:rsidR="00367563" w:rsidRPr="00367563" w14:paraId="2DB1FBF8" w14:textId="77777777" w:rsidTr="00CA3A28">
        <w:trPr>
          <w:trHeight w:val="288"/>
        </w:trPr>
        <w:tc>
          <w:tcPr>
            <w:tcW w:w="2695" w:type="dxa"/>
            <w:noWrap/>
            <w:vAlign w:val="bottom"/>
            <w:hideMark/>
          </w:tcPr>
          <w:p w14:paraId="79379732" w14:textId="77777777" w:rsidR="00367563" w:rsidRPr="00367563" w:rsidRDefault="00367563" w:rsidP="00367563">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12j</w:t>
            </w:r>
          </w:p>
        </w:tc>
        <w:tc>
          <w:tcPr>
            <w:tcW w:w="1330" w:type="dxa"/>
            <w:noWrap/>
            <w:vAlign w:val="bottom"/>
            <w:hideMark/>
          </w:tcPr>
          <w:p w14:paraId="64B045BC"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30</w:t>
            </w:r>
          </w:p>
        </w:tc>
        <w:tc>
          <w:tcPr>
            <w:tcW w:w="960" w:type="dxa"/>
            <w:noWrap/>
            <w:vAlign w:val="bottom"/>
            <w:hideMark/>
          </w:tcPr>
          <w:p w14:paraId="59701EC7"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3D599E32"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3216BF34" w14:textId="0429D535" w:rsidR="00367563" w:rsidRPr="00367563" w:rsidRDefault="00CC4BC0"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D20272">
              <w:rPr>
                <w:rFonts w:ascii="Aptos Narrow" w:eastAsia="Times New Roman" w:hAnsi="Aptos Narrow" w:cs="Times New Roman"/>
                <w:color w:val="000000"/>
                <w:kern w:val="0"/>
                <w:sz w:val="22"/>
                <w:szCs w:val="22"/>
                <w14:ligatures w14:val="none"/>
              </w:rPr>
              <w:instrText xml:space="preserve"> ADDIN ZOTERO_ITEM CSL_CITATION {"citationID":"dV5d5Q00","properties":{"unsorted":false,"formattedCitation":"\\super 2\\nosupersub{}","plainCitation":"2","noteIndex":0},"citationItems":[{"id":1235,"uris":["http://zotero.org/users/7234110/items/2I7NF77P"],"itemData":{"id":1235,"type":"article-journal","abstract":"Muscle atrophy and cachexia are common comorbidities among patients suffering from cancer, chronic obstructive pulmonary disease, and several other chronic diseases. The peptide hormone ghrelin exerts pleiotropic effects including the stimulation of growth hormone secretion and subsequent increase of insulin-like growth factor-1 levels, an important mediator of muscle growth and repair. Ghrelin also acts on inflammation, appetite, and adipogenesis and therefore has been considered a promising therapeutic target for catabolic conditions. We previously reported on the synthesis and properties of an indane based series of ghrelin receptor full agonists which led to a sustained increase of insulin-like growth factor-1 in a dog pharmacodynamic study. Herein we report on the identification of a series of pyrrolidine or piperidine based full agonists and attempted optimization to give compounds with profiles suitable for progression as clinical candidates.","container-title":"Journal of Medicinal Chemistry","DOI":"10.1021/acs.jmedchem.0c00828","ISSN":"0022-2623","issue":"17","journalAbbreviation":"J. Med. Chem.","page":"9705-9730","publisher":"American Chemical Society","source":"ACS Publications","title":"Identification and Optimization of Pyrrolidine Derivatives as Highly Potent Ghrelin Receptor Full Agonists","volume":"63","author":[{"family":"Cooper","given":"Martin"},{"family":"Llinas","given":"Antonio"},{"family":"Hansen","given":"Peter"},{"family":"Caffrey","given":"Moya"},{"family":"Ray","given":"Asim"},{"family":"Sjödin","given":"Stina"},{"family":"Shamovsky","given":"Igor"},{"family":"Wada","given":"Hiroki"},{"family":"Jellesmark Jensen","given":"Tina"},{"family":"Sivars","given":"Ulf"},{"family":"Hultin","given":"Leif"},{"family":"Andersson","given":"Ulf"},{"family":"Lundqvist","given":"Sara"},{"family":"Gedda","given":"Karin"},{"family":"Jinton","given":"Lisa"},{"family":"Krutrök","given":"Nina"},{"family":"Lewis","given":"Richard"},{"family":"Jansson","given":"Paul"},{"family":"Gardelli","given":"Cristina"}],"issued":{"date-parts":[["2020",9,10]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D20272" w:rsidRPr="00D20272">
              <w:rPr>
                <w:rFonts w:ascii="Aptos Narrow" w:hAnsi="Aptos Narrow" w:cs="Times New Roman"/>
                <w:kern w:val="0"/>
                <w:sz w:val="22"/>
                <w:vertAlign w:val="superscript"/>
              </w:rPr>
              <w:t>2</w:t>
            </w:r>
            <w:r>
              <w:rPr>
                <w:rFonts w:ascii="Aptos Narrow" w:eastAsia="Times New Roman" w:hAnsi="Aptos Narrow" w:cs="Times New Roman"/>
                <w:color w:val="000000"/>
                <w:kern w:val="0"/>
                <w:sz w:val="22"/>
                <w:szCs w:val="22"/>
                <w14:ligatures w14:val="none"/>
              </w:rPr>
              <w:fldChar w:fldCharType="end"/>
            </w:r>
          </w:p>
        </w:tc>
      </w:tr>
      <w:tr w:rsidR="00367563" w:rsidRPr="00367563" w14:paraId="43342B05" w14:textId="77777777" w:rsidTr="00CA3A28">
        <w:trPr>
          <w:trHeight w:val="288"/>
        </w:trPr>
        <w:tc>
          <w:tcPr>
            <w:tcW w:w="2695" w:type="dxa"/>
            <w:noWrap/>
            <w:vAlign w:val="bottom"/>
            <w:hideMark/>
          </w:tcPr>
          <w:p w14:paraId="201C16E9" w14:textId="77777777" w:rsidR="00367563" w:rsidRPr="00367563" w:rsidRDefault="00367563" w:rsidP="00367563">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12j</w:t>
            </w:r>
          </w:p>
        </w:tc>
        <w:tc>
          <w:tcPr>
            <w:tcW w:w="1330" w:type="dxa"/>
            <w:noWrap/>
            <w:vAlign w:val="bottom"/>
            <w:hideMark/>
          </w:tcPr>
          <w:p w14:paraId="70A7BCDC"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8</w:t>
            </w:r>
          </w:p>
        </w:tc>
        <w:tc>
          <w:tcPr>
            <w:tcW w:w="960" w:type="dxa"/>
            <w:noWrap/>
            <w:vAlign w:val="bottom"/>
            <w:hideMark/>
          </w:tcPr>
          <w:p w14:paraId="6E054A6A" w14:textId="3F5FD0A1" w:rsidR="00367563" w:rsidRPr="00367563" w:rsidRDefault="00FC471F"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5C04C682"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3E4048C3" w14:textId="6CCF9FCA" w:rsidR="00367563" w:rsidRPr="00367563" w:rsidRDefault="00CC4BC0"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D20272">
              <w:rPr>
                <w:rFonts w:ascii="Aptos Narrow" w:eastAsia="Times New Roman" w:hAnsi="Aptos Narrow" w:cs="Times New Roman"/>
                <w:color w:val="000000"/>
                <w:kern w:val="0"/>
                <w:sz w:val="22"/>
                <w:szCs w:val="22"/>
                <w14:ligatures w14:val="none"/>
              </w:rPr>
              <w:instrText xml:space="preserve"> ADDIN ZOTERO_ITEM CSL_CITATION {"citationID":"ceWDUlpl","properties":{"unsorted":false,"formattedCitation":"\\super 2\\nosupersub{}","plainCitation":"2","noteIndex":0},"citationItems":[{"id":1235,"uris":["http://zotero.org/users/7234110/items/2I7NF77P"],"itemData":{"id":1235,"type":"article-journal","abstract":"Muscle atrophy and cachexia are common comorbidities among patients suffering from cancer, chronic obstructive pulmonary disease, and several other chronic diseases. The peptide hormone ghrelin exerts pleiotropic effects including the stimulation of growth hormone secretion and subsequent increase of insulin-like growth factor-1 levels, an important mediator of muscle growth and repair. Ghrelin also acts on inflammation, appetite, and adipogenesis and therefore has been considered a promising therapeutic target for catabolic conditions. We previously reported on the synthesis and properties of an indane based series of ghrelin receptor full agonists which led to a sustained increase of insulin-like growth factor-1 in a dog pharmacodynamic study. Herein we report on the identification of a series of pyrrolidine or piperidine based full agonists and attempted optimization to give compounds with profiles suitable for progression as clinical candidates.","container-title":"Journal of Medicinal Chemistry","DOI":"10.1021/acs.jmedchem.0c00828","ISSN":"0022-2623","issue":"17","journalAbbreviation":"J. Med. Chem.","page":"9705-9730","publisher":"American Chemical Society","source":"ACS Publications","title":"Identification and Optimization of Pyrrolidine Derivatives as Highly Potent Ghrelin Receptor Full Agonists","volume":"63","author":[{"family":"Cooper","given":"Martin"},{"family":"Llinas","given":"Antonio"},{"family":"Hansen","given":"Peter"},{"family":"Caffrey","given":"Moya"},{"family":"Ray","given":"Asim"},{"family":"Sjödin","given":"Stina"},{"family":"Shamovsky","given":"Igor"},{"family":"Wada","given":"Hiroki"},{"family":"Jellesmark Jensen","given":"Tina"},{"family":"Sivars","given":"Ulf"},{"family":"Hultin","given":"Leif"},{"family":"Andersson","given":"Ulf"},{"family":"Lundqvist","given":"Sara"},{"family":"Gedda","given":"Karin"},{"family":"Jinton","given":"Lisa"},{"family":"Krutrök","given":"Nina"},{"family":"Lewis","given":"Richard"},{"family":"Jansson","given":"Paul"},{"family":"Gardelli","given":"Cristina"}],"issued":{"date-parts":[["2020",9,10]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D20272" w:rsidRPr="00D20272">
              <w:rPr>
                <w:rFonts w:ascii="Aptos Narrow" w:hAnsi="Aptos Narrow" w:cs="Times New Roman"/>
                <w:kern w:val="0"/>
                <w:sz w:val="22"/>
                <w:vertAlign w:val="superscript"/>
              </w:rPr>
              <w:t>2</w:t>
            </w:r>
            <w:r>
              <w:rPr>
                <w:rFonts w:ascii="Aptos Narrow" w:eastAsia="Times New Roman" w:hAnsi="Aptos Narrow" w:cs="Times New Roman"/>
                <w:color w:val="000000"/>
                <w:kern w:val="0"/>
                <w:sz w:val="22"/>
                <w:szCs w:val="22"/>
                <w14:ligatures w14:val="none"/>
              </w:rPr>
              <w:fldChar w:fldCharType="end"/>
            </w:r>
          </w:p>
        </w:tc>
      </w:tr>
      <w:tr w:rsidR="00367563" w:rsidRPr="00367563" w14:paraId="540F42F5" w14:textId="77777777" w:rsidTr="00CA3A28">
        <w:trPr>
          <w:trHeight w:val="288"/>
        </w:trPr>
        <w:tc>
          <w:tcPr>
            <w:tcW w:w="2695" w:type="dxa"/>
            <w:noWrap/>
            <w:vAlign w:val="bottom"/>
            <w:hideMark/>
          </w:tcPr>
          <w:p w14:paraId="436331E9" w14:textId="77777777" w:rsidR="00367563" w:rsidRPr="00367563" w:rsidRDefault="00367563" w:rsidP="00367563">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51 (CHEMBL326043)</w:t>
            </w:r>
          </w:p>
        </w:tc>
        <w:tc>
          <w:tcPr>
            <w:tcW w:w="1330" w:type="dxa"/>
            <w:noWrap/>
            <w:vAlign w:val="bottom"/>
            <w:hideMark/>
          </w:tcPr>
          <w:p w14:paraId="4F7EA258"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w:t>
            </w:r>
          </w:p>
        </w:tc>
        <w:tc>
          <w:tcPr>
            <w:tcW w:w="960" w:type="dxa"/>
            <w:noWrap/>
            <w:vAlign w:val="bottom"/>
            <w:hideMark/>
          </w:tcPr>
          <w:p w14:paraId="4826D69F" w14:textId="21664199" w:rsidR="00367563" w:rsidRPr="00367563" w:rsidRDefault="00FC471F"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150464A3"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649570A4" w14:textId="6EE4073E" w:rsidR="00367563" w:rsidRPr="00367563" w:rsidRDefault="00A840AD"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D20272">
              <w:rPr>
                <w:rFonts w:ascii="Aptos Narrow" w:eastAsia="Times New Roman" w:hAnsi="Aptos Narrow" w:cs="Times New Roman"/>
                <w:color w:val="000000"/>
                <w:kern w:val="0"/>
                <w:sz w:val="22"/>
                <w:szCs w:val="22"/>
                <w14:ligatures w14:val="none"/>
              </w:rPr>
              <w:instrText xml:space="preserve"> ADDIN ZOTERO_ITEM CSL_CITATION {"citationID":"azEq4TOp","properties":{"unsorted":false,"formattedCitation":"\\super 3\\nosupersub{}","plainCitation":"3","noteIndex":0},"citationItems":[{"id":1230,"uris":["http://zotero.org/users/7234110/items/8QRJC8X6"],"itemData":{"id":1230,"type":"article-journal","container-title":"Journal of Medicinal Chemistry","DOI":"10.1021/jm00045a003","ISSN":"0022-2623","issue":"19","journalAbbreviation":"J. Med. Chem.","page":"2991-3007","publisher":"American Chemical Society","source":"ACS Publications","title":"Nonpeptide Renin Inhibitors with Good Intraduodenal Bioavailability and Efficacy in Dog","volume":"37","author":[{"family":"Boyd","given":"Steven A."},{"family":"Fung","given":"Anthony K. L."},{"family":"Baker","given":"William R."},{"family":"Mantei","given":"Robert A."},{"family":"Stein","given":"Herman H."},{"family":"Cohen","given":"Jerome"},{"family":"Barlow","given":"Jennifer L."},{"family":"Klinghofer","given":"Vered"},{"family":"Wessale","given":"Jerry L."}],"issued":{"date-parts":[["1994",9,16]]}}}],"schema":"https://github.com/citation-style-language/schema/raw/master/csl-citation.json"}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D20272" w:rsidRPr="00D20272">
              <w:rPr>
                <w:rFonts w:ascii="Aptos Narrow" w:hAnsi="Aptos Narrow" w:cs="Times New Roman"/>
                <w:kern w:val="0"/>
                <w:sz w:val="22"/>
                <w:vertAlign w:val="superscript"/>
              </w:rPr>
              <w:t>3</w:t>
            </w:r>
            <w:r>
              <w:rPr>
                <w:rFonts w:ascii="Aptos Narrow" w:eastAsia="Times New Roman" w:hAnsi="Aptos Narrow" w:cs="Times New Roman"/>
                <w:color w:val="000000"/>
                <w:kern w:val="0"/>
                <w:sz w:val="22"/>
                <w:szCs w:val="22"/>
                <w14:ligatures w14:val="none"/>
              </w:rPr>
              <w:fldChar w:fldCharType="end"/>
            </w:r>
          </w:p>
        </w:tc>
      </w:tr>
      <w:tr w:rsidR="00367563" w:rsidRPr="00367563" w14:paraId="1566F08B" w14:textId="77777777" w:rsidTr="00CA3A28">
        <w:trPr>
          <w:trHeight w:val="288"/>
        </w:trPr>
        <w:tc>
          <w:tcPr>
            <w:tcW w:w="2695" w:type="dxa"/>
            <w:noWrap/>
            <w:vAlign w:val="bottom"/>
            <w:hideMark/>
          </w:tcPr>
          <w:p w14:paraId="688882C0" w14:textId="77777777" w:rsidR="00367563" w:rsidRPr="00367563" w:rsidRDefault="00367563" w:rsidP="00367563">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8b</w:t>
            </w:r>
          </w:p>
        </w:tc>
        <w:tc>
          <w:tcPr>
            <w:tcW w:w="1330" w:type="dxa"/>
            <w:noWrap/>
            <w:vAlign w:val="bottom"/>
            <w:hideMark/>
          </w:tcPr>
          <w:p w14:paraId="580CE01B"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5</w:t>
            </w:r>
          </w:p>
        </w:tc>
        <w:tc>
          <w:tcPr>
            <w:tcW w:w="960" w:type="dxa"/>
            <w:noWrap/>
            <w:vAlign w:val="bottom"/>
            <w:hideMark/>
          </w:tcPr>
          <w:p w14:paraId="00FE5C48"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3926DBEC"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22CFB531" w14:textId="082A4327" w:rsidR="00367563" w:rsidRPr="00367563" w:rsidRDefault="00A840AD"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D20272">
              <w:rPr>
                <w:rFonts w:ascii="Aptos Narrow" w:eastAsia="Times New Roman" w:hAnsi="Aptos Narrow" w:cs="Times New Roman"/>
                <w:color w:val="000000"/>
                <w:kern w:val="0"/>
                <w:sz w:val="22"/>
                <w:szCs w:val="22"/>
                <w14:ligatures w14:val="none"/>
              </w:rPr>
              <w:instrText xml:space="preserve"> ADDIN ZOTERO_ITEM CSL_CITATION {"citationID":"DIZMSO8l","properties":{"unsorted":false,"formattedCitation":"\\super 4\\nosupersub{}","plainCitation":"4","noteIndex":0},"citationItems":[{"id":1228,"uris":["http://zotero.org/users/7234110/items/N47RBXBR"],"itemData":{"id":1228,"type":"webpage","title":"Design of Thioether Cyclic Peptide Scaffolds with Passive Permeability and Oral Exposure | Journal of Medicinal Chemistry","URL":"https://pubs.acs.org/doi/10.1021/acs.jmedchem.0c01505","accessed":{"date-parts":[["2026",6,9]]}}}],"schema":"https://github.com/citation-style-language/schema/raw/master/csl-citation.json"}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D20272" w:rsidRPr="00D20272">
              <w:rPr>
                <w:rFonts w:ascii="Aptos Narrow" w:hAnsi="Aptos Narrow" w:cs="Times New Roman"/>
                <w:kern w:val="0"/>
                <w:sz w:val="22"/>
                <w:vertAlign w:val="superscript"/>
              </w:rPr>
              <w:t>4</w:t>
            </w:r>
            <w:r>
              <w:rPr>
                <w:rFonts w:ascii="Aptos Narrow" w:eastAsia="Times New Roman" w:hAnsi="Aptos Narrow" w:cs="Times New Roman"/>
                <w:color w:val="000000"/>
                <w:kern w:val="0"/>
                <w:sz w:val="22"/>
                <w:szCs w:val="22"/>
                <w14:ligatures w14:val="none"/>
              </w:rPr>
              <w:fldChar w:fldCharType="end"/>
            </w:r>
          </w:p>
        </w:tc>
      </w:tr>
      <w:tr w:rsidR="00367563" w:rsidRPr="00367563" w14:paraId="30F7D5CF" w14:textId="77777777" w:rsidTr="00CA3A28">
        <w:trPr>
          <w:trHeight w:val="288"/>
        </w:trPr>
        <w:tc>
          <w:tcPr>
            <w:tcW w:w="2695" w:type="dxa"/>
            <w:noWrap/>
            <w:vAlign w:val="bottom"/>
            <w:hideMark/>
          </w:tcPr>
          <w:p w14:paraId="2926D2DF" w14:textId="77777777" w:rsidR="00367563" w:rsidRPr="00367563" w:rsidRDefault="00367563" w:rsidP="00367563">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8b</w:t>
            </w:r>
          </w:p>
        </w:tc>
        <w:tc>
          <w:tcPr>
            <w:tcW w:w="1330" w:type="dxa"/>
            <w:noWrap/>
            <w:vAlign w:val="bottom"/>
            <w:hideMark/>
          </w:tcPr>
          <w:p w14:paraId="51748EB3"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w:t>
            </w:r>
          </w:p>
        </w:tc>
        <w:tc>
          <w:tcPr>
            <w:tcW w:w="960" w:type="dxa"/>
            <w:noWrap/>
            <w:vAlign w:val="bottom"/>
            <w:hideMark/>
          </w:tcPr>
          <w:p w14:paraId="7F93531F" w14:textId="79A7DA89" w:rsidR="00367563" w:rsidRPr="00367563" w:rsidRDefault="00FC471F"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51E8D441"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6C23B586" w14:textId="6DBB7210" w:rsidR="00367563" w:rsidRPr="00367563" w:rsidRDefault="00A840AD"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D20272">
              <w:rPr>
                <w:rFonts w:ascii="Aptos Narrow" w:eastAsia="Times New Roman" w:hAnsi="Aptos Narrow" w:cs="Times New Roman"/>
                <w:color w:val="000000"/>
                <w:kern w:val="0"/>
                <w:sz w:val="22"/>
                <w:szCs w:val="22"/>
                <w14:ligatures w14:val="none"/>
              </w:rPr>
              <w:instrText xml:space="preserve"> ADDIN ZOTERO_ITEM CSL_CITATION {"citationID":"F6tKr4kX","properties":{"unsorted":false,"formattedCitation":"\\super 4\\nosupersub{}","plainCitation":"4","noteIndex":0},"citationItems":[{"id":1228,"uris":["http://zotero.org/users/7234110/items/N47RBXBR"],"itemData":{"id":1228,"type":"webpage","title":"Design of Thioether Cyclic Peptide Scaffolds with Passive Permeability and Oral Exposure | Journal of Medicinal Chemistry","URL":"https://pubs.acs.org/doi/10.1021/acs.jmedchem.0c01505","accessed":{"date-parts":[["2026",6,9]]}}}],"schema":"https://github.com/citation-style-language/schema/raw/master/csl-citation.json"}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D20272" w:rsidRPr="00D20272">
              <w:rPr>
                <w:rFonts w:ascii="Aptos Narrow" w:hAnsi="Aptos Narrow" w:cs="Times New Roman"/>
                <w:kern w:val="0"/>
                <w:sz w:val="22"/>
                <w:vertAlign w:val="superscript"/>
              </w:rPr>
              <w:t>4</w:t>
            </w:r>
            <w:r>
              <w:rPr>
                <w:rFonts w:ascii="Aptos Narrow" w:eastAsia="Times New Roman" w:hAnsi="Aptos Narrow" w:cs="Times New Roman"/>
                <w:color w:val="000000"/>
                <w:kern w:val="0"/>
                <w:sz w:val="22"/>
                <w:szCs w:val="22"/>
                <w14:ligatures w14:val="none"/>
              </w:rPr>
              <w:fldChar w:fldCharType="end"/>
            </w:r>
          </w:p>
        </w:tc>
      </w:tr>
      <w:tr w:rsidR="00367563" w:rsidRPr="00367563" w14:paraId="1DF050FA" w14:textId="77777777" w:rsidTr="00CA3A28">
        <w:trPr>
          <w:trHeight w:val="288"/>
        </w:trPr>
        <w:tc>
          <w:tcPr>
            <w:tcW w:w="2695" w:type="dxa"/>
            <w:noWrap/>
            <w:vAlign w:val="bottom"/>
            <w:hideMark/>
          </w:tcPr>
          <w:p w14:paraId="2ED2310E" w14:textId="328EE11A" w:rsidR="00367563" w:rsidRPr="00367563" w:rsidRDefault="00367563" w:rsidP="00367563">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Amoxicillin</w:t>
            </w:r>
          </w:p>
        </w:tc>
        <w:tc>
          <w:tcPr>
            <w:tcW w:w="1330" w:type="dxa"/>
            <w:noWrap/>
            <w:vAlign w:val="bottom"/>
            <w:hideMark/>
          </w:tcPr>
          <w:p w14:paraId="50B0AB2B"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230</w:t>
            </w:r>
          </w:p>
        </w:tc>
        <w:tc>
          <w:tcPr>
            <w:tcW w:w="960" w:type="dxa"/>
            <w:noWrap/>
            <w:vAlign w:val="bottom"/>
            <w:hideMark/>
          </w:tcPr>
          <w:p w14:paraId="24A37C98" w14:textId="089646A7" w:rsidR="00367563" w:rsidRPr="00367563" w:rsidRDefault="00FC471F"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2EEFA33E"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3A565B10" w14:textId="0A09D3C8" w:rsidR="00367563" w:rsidRPr="00367563" w:rsidRDefault="000B41D8"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{"citationID":"RkaUycv8","properties":{"unsorted":false,"formattedCitation":"\\super 5\\nosupersub{}","plainCitation":"5","noteIndex":0},"citationItems":[{"id":1241,"uris":["http://zotero.org/users/7234110/items/9RK7H5ZI"],"itemData":{"id":1241,"type":"article-journal","abstract":"Background – Data regarding antimicrobial pharmacokinetics (PK) in critically-ill dogs is lacking and likely differs from healthy dogs. The aim of this work is to describe a population PK model for IV amoxicillin clavulanic acid (AMC) in both healthy and sick dogs and to simulate a range of clinical dosing scenarios to compute PK/PD cut-offs for both populations. Methods – Prospective clinical trial in normal and critically ill dogs. Twelve client-owned dogs hospitalized in the intensive care unit (ICU) received IV AMC 20 mg/kg every 8 hours (0.5 h infusion) during at least 48 hours. Eight blood samples were collected at pre-determined times, including 4 trough samples before the next administration. Clinical covariates and outcome were recorded, including survival to discharge and bacteriologic clinical failure. Satellite PK data was obtained de novo from a group of Twelve healthy research dogs, dosed with a single AMC 20 mg/kg IV. Non-linear mixed effect model was used to estimate the PK parameters (and the effect of health upon them) together with variability within- and between-subjects. Monte Carlo simulations were performed with 7 dosage regimens (standard and increased doses). Correlation between model-derived drug exposure and clinical covariates were tested with Spearman nonparametric correlation analysis. Outcome was recorded including survival to discharge and bacteriologic clinical failure.Results – Total of 218 amoxicillin concentrations in plasma were available for healthy and sick dogs. Tricompartmental model best described the data. Amoxicillin clearance was reduced by 56% in sick dogs (0.147 L/kg/h) compared to healthy dogs (0.336 L/kg/h). Intercompartmental clearance was also decreased. None of the clinical data covariates were significantly correlated with individual exposure. Monte Carlo simulations showed that higher PK/PD cut-off values of 8 mg/L could be reached in sick dogs by extending the infusion to 3h or doubling the dose. Conclusions – The PK of AMC is profoundly different in critically ill dogs compared to normal dogs, with much higher inter-individual variability and a lower systemic clearance. Our study allows to generate hypotheses with regards to higher AMC exposure in clinical dogs and provides supporting data to revise current AMC clinical breakpoint for IV administration.","container-title":"Frontiers in Veterinary Science","DOI":"10.3389/fvets.2021.770202","ISSN":"2297-1769","journalAbbreviation":"Front. Vet. Sci.","language":"English","publisher":"Frontiers","source":"Frontiers","title":"Population Pharmacokinetics of Intravenous Amoxicillin Combined With Clavulanic Acid in Healthy and Critically Ill Dogs","URL":"https://www.frontiersin.org/journals/veterinary-science/articles/10.3389/fvets.2021.770202/full","volume":"8","author":[{"family":"Vegas Cómitre","given":"Maria D."},{"family":"Cortellini","given":"Stefano"},{"family":"Cherlet","given":"Marc"},{"family":"Devreese","given":"Mathias"},{"family":"Roques","given":"Beatrice B."},{"family":"Bousquet-Melou","given":"Alain"},{"family":"Toutain","given":"Pierre-Louis"},{"family":"Pelligand","given":"Ludovic"}],"accessed":{"date-parts":[["2026",6,10]]},"issued":{"date-parts":[["2021",11,15]]}}}],"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B41D8">
              <w:rPr>
                <w:rFonts w:ascii="Aptos Narrow" w:hAnsi="Aptos Narrow" w:cs="Times New Roman"/>
                <w:kern w:val="0"/>
                <w:sz w:val="22"/>
                <w:vertAlign w:val="superscript"/>
              </w:rPr>
              <w:t>5</w:t>
            </w:r>
            <w:r>
              <w:rPr>
                <w:rFonts w:ascii="Aptos Narrow" w:eastAsia="Times New Roman" w:hAnsi="Aptos Narrow" w:cs="Times New Roman"/>
                <w:color w:val="000000"/>
                <w:kern w:val="0"/>
                <w:sz w:val="22"/>
                <w:szCs w:val="22"/>
                <w14:ligatures w14:val="none"/>
              </w:rPr>
              <w:fldChar w:fldCharType="end"/>
            </w:r>
          </w:p>
        </w:tc>
      </w:tr>
      <w:tr w:rsidR="00367563" w:rsidRPr="00367563" w14:paraId="3078AB58" w14:textId="77777777" w:rsidTr="00CA3A28">
        <w:trPr>
          <w:trHeight w:val="288"/>
        </w:trPr>
        <w:tc>
          <w:tcPr>
            <w:tcW w:w="2695" w:type="dxa"/>
            <w:noWrap/>
            <w:vAlign w:val="bottom"/>
            <w:hideMark/>
          </w:tcPr>
          <w:p w14:paraId="275F4A55" w14:textId="77777777" w:rsidR="00367563" w:rsidRPr="00367563" w:rsidRDefault="00367563" w:rsidP="00367563">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Benzatropine</w:t>
            </w:r>
            <w:proofErr w:type="spellEnd"/>
          </w:p>
        </w:tc>
        <w:tc>
          <w:tcPr>
            <w:tcW w:w="1330" w:type="dxa"/>
            <w:noWrap/>
            <w:vAlign w:val="bottom"/>
            <w:hideMark/>
          </w:tcPr>
          <w:p w14:paraId="0DB36B9C"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264.375</w:t>
            </w:r>
          </w:p>
        </w:tc>
        <w:tc>
          <w:tcPr>
            <w:tcW w:w="960" w:type="dxa"/>
            <w:noWrap/>
            <w:vAlign w:val="bottom"/>
            <w:hideMark/>
          </w:tcPr>
          <w:p w14:paraId="3733F326"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5F03CA7A"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2F7B83B6" w14:textId="2DF52ED4" w:rsidR="00367563" w:rsidRPr="00367563" w:rsidRDefault="0067523C"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B41D8">
              <w:rPr>
                <w:rFonts w:ascii="Aptos Narrow" w:eastAsia="Times New Roman" w:hAnsi="Aptos Narrow" w:cs="Times New Roman"/>
                <w:color w:val="000000"/>
                <w:kern w:val="0"/>
                <w:sz w:val="22"/>
                <w:szCs w:val="22"/>
                <w14:ligatures w14:val="none"/>
              </w:rPr>
              <w:instrText xml:space="preserve"> ADDIN ZOTERO_ITEM CSL_CITATION {"citationID":"ftIkjmSv","properties":{"unsorted":false,"formattedCitation":"\\super 6\\nosupersub{}","plainCitation":"6","noteIndex":0},"citationItems":[{"id":1237,"uris":["http://zotero.org/users/7234110/items/2Z4NSLN9"],"itemData":{"id":1237,"type":"article-journal","abstract":"The objective of this study was to clarify the species differences of pharmacokinetics of Y101 (N-[N-benzoyl-O-(2-dimethylaminoethyl)-l-tyrosyl]-l-phenylalaninol hydrochloride), a derivative of herbal ingredient with anti-HBV hepatitis activity, in rats, dogs, monkeys and humans.The metabolic stability and metabolite identification studies using liver microsomes in vitro, plasma protein binding using a rapid equilibrium dialysis in vitro, pharmacokinetic studies in vivo were carried out to evaluate the interspecies differences. The toxicokinetic study in monkeys was also investigated.The metabolic profiles were similar in monkeys and humans, which were significant different from rats and dogs in vitro. In vitro plasma protein binding showed no major differences between species with medium to high protein binding rates. After single oral dose to rats, dogs, and monkeys, the absolute oral bioavailability of Y101 was 44.9%, 43.1%, and 19.2%, respectively. There was no accumulation for Y101 toxicokinetics in monkeys after oral administration for 90 d.The metabolic profiles indicated monkey was the very animal model for preclinical safety evaluation of Y101. Our results have demonstrated the favorable pharmacokinetics profile of Y101, which supports the clinical trials in humans. The objective of this study was to clarify the species differences of pharmacokinetics of Y101 (N-[N-benzoyl-O-(2-dimethylaminoethyl)-l-tyrosyl]-l-phenylalaninol hydrochloride), a derivative of herbal ingredient with anti-HBV hepatitis activity, in rats, dogs, monkeys and humans. The metabolic stability and metabolite identification studies using liver microsomes in vitro, plasma protein binding using a rapid equilibrium dialysis in vitro, pharmacokinetic studies in vivo were carried out to evaluate the interspecies differences. The toxicokinetic study in monkeys was also investigated. The metabolic profiles were similar in monkeys and humans, which were significant different from rats and dogs in vitro. In vitro plasma protein binding showed no major differences between species with medium to high protein binding rates. After single oral dose to rats, dogs, and monkeys, the absolute oral bioavailability of Y101 was 44.9%, 43.1%, and 19.2%, respectively. There was no accumulation for Y101 toxicokinetics in monkeys after oral administration for 90 d. The metabolic profiles indicated monkey was the very animal model for preclinical safety evaluation of Y101. Our results have demonstrated the favorable pharmacokinetics profile of Y101, which supports the clinical trials in humans.","container-title":"Xenobiotica","DOI":"10.1080/00498254.2019.1646946","ISSN":"0049-8254","issue":"4","note":"_eprint: https://doi.org/10.1080/00498254.2019.1646946","page":"468-478","PMID":"31329010","publisher":"Taylor &amp; Francis","source":"Taylor and Francis+NEJM","title":"In vitro metabolism and in vivo pharmacokinetics of bentysrepinine (Y101), an investigational new drug for anti-HBV-infected hepatitis: focus on interspecies comparison","title-short":"In vitro metabolism and in vivo pharmacokinetics of bentysrepinine (Y101), an investigational new drug for anti-HBV-infected hepatitis","volume":"50","author":[{"family":"Fan","given":"Huirong"},{"family":"Zhang","given":"Aijie"},{"family":"Liao","given":"Cuiping"},{"family":"Yang","given":"Yuanhui"},{"family":"Zhang","given":"Lihua"},{"family":"Liu","given":"Jianfeng"},{"family":"Xia","given":"Yuanyuan"},{"family":"Si","given":"Duanyun"},{"family":"Dong","given":"Shiqi"},{"family":"Liu","given":"Changxiao"}],"issued":{"date-parts":[["2020",4,2]]}}}],"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B41D8" w:rsidRPr="000B41D8">
              <w:rPr>
                <w:rFonts w:ascii="Aptos Narrow" w:hAnsi="Aptos Narrow" w:cs="Times New Roman"/>
                <w:kern w:val="0"/>
                <w:sz w:val="22"/>
                <w:vertAlign w:val="superscript"/>
              </w:rPr>
              <w:t>6</w:t>
            </w:r>
            <w:r>
              <w:rPr>
                <w:rFonts w:ascii="Aptos Narrow" w:eastAsia="Times New Roman" w:hAnsi="Aptos Narrow" w:cs="Times New Roman"/>
                <w:color w:val="000000"/>
                <w:kern w:val="0"/>
                <w:sz w:val="22"/>
                <w:szCs w:val="22"/>
                <w14:ligatures w14:val="none"/>
              </w:rPr>
              <w:fldChar w:fldCharType="end"/>
            </w:r>
          </w:p>
        </w:tc>
      </w:tr>
      <w:tr w:rsidR="00367563" w:rsidRPr="00367563" w14:paraId="3FFC9E3B" w14:textId="77777777" w:rsidTr="00CA3A28">
        <w:trPr>
          <w:trHeight w:val="288"/>
        </w:trPr>
        <w:tc>
          <w:tcPr>
            <w:tcW w:w="2695" w:type="dxa"/>
            <w:noWrap/>
            <w:vAlign w:val="bottom"/>
            <w:hideMark/>
          </w:tcPr>
          <w:p w14:paraId="20521AB9" w14:textId="77777777" w:rsidR="00367563" w:rsidRPr="00367563" w:rsidRDefault="00367563" w:rsidP="00367563">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Benzatropine</w:t>
            </w:r>
            <w:proofErr w:type="spellEnd"/>
          </w:p>
        </w:tc>
        <w:tc>
          <w:tcPr>
            <w:tcW w:w="1330" w:type="dxa"/>
            <w:noWrap/>
            <w:vAlign w:val="bottom"/>
            <w:hideMark/>
          </w:tcPr>
          <w:p w14:paraId="08D7F730"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264.375</w:t>
            </w:r>
          </w:p>
        </w:tc>
        <w:tc>
          <w:tcPr>
            <w:tcW w:w="960" w:type="dxa"/>
            <w:noWrap/>
            <w:vAlign w:val="bottom"/>
            <w:hideMark/>
          </w:tcPr>
          <w:p w14:paraId="6032A6F4" w14:textId="7D77E94E" w:rsidR="00367563" w:rsidRPr="00367563" w:rsidRDefault="00FC471F"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123BD987"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1D14BF53" w14:textId="42C8B9AE" w:rsidR="00367563" w:rsidRPr="00367563" w:rsidRDefault="0067523C"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B41D8">
              <w:rPr>
                <w:rFonts w:ascii="Aptos Narrow" w:eastAsia="Times New Roman" w:hAnsi="Aptos Narrow" w:cs="Times New Roman"/>
                <w:color w:val="000000"/>
                <w:kern w:val="0"/>
                <w:sz w:val="22"/>
                <w:szCs w:val="22"/>
                <w14:ligatures w14:val="none"/>
              </w:rPr>
              <w:instrText xml:space="preserve"> ADDIN ZOTERO_ITEM CSL_CITATION {"citationID":"GBGumijh","properties":{"unsorted":false,"formattedCitation":"\\super 6\\nosupersub{}","plainCitation":"6","noteIndex":0},"citationItems":[{"id":1237,"uris":["http://zotero.org/users/7234110/items/2Z4NSLN9"],"itemData":{"id":1237,"type":"article-journal","abstract":"The objective of this study was to clarify the species differences of pharmacokinetics of Y101 (N-[N-benzoyl-O-(2-dimethylaminoethyl)-l-tyrosyl]-l-phenylalaninol hydrochloride), a derivative of herbal ingredient with anti-HBV hepatitis activity, in rats, dogs, monkeys and humans.The metabolic stability and metabolite identification studies using liver microsomes in vitro, plasma protein binding using a rapid equilibrium dialysis in vitro, pharmacokinetic studies in vivo were carried out to evaluate the interspecies differences. The toxicokinetic study in monkeys was also investigated.The metabolic profiles were similar in monkeys and humans, which were significant different from rats and dogs in vitro. In vitro plasma protein binding showed no major differences between species with medium to high protein binding rates. After single oral dose to rats, dogs, and monkeys, the absolute oral bioavailability of Y101 was 44.9%, 43.1%, and 19.2%, respectively. There was no accumulation for Y101 toxicokinetics in monkeys after oral administration for 90 d.The metabolic profiles indicated monkey was the very animal model for preclinical safety evaluation of Y101. Our results have demonstrated the favorable pharmacokinetics profile of Y101, which supports the clinical trials in humans. The objective of this study was to clarify the species differences of pharmacokinetics of Y101 (N-[N-benzoyl-O-(2-dimethylaminoethyl)-l-tyrosyl]-l-phenylalaninol hydrochloride), a derivative of herbal ingredient with anti-HBV hepatitis activity, in rats, dogs, monkeys and humans. The metabolic stability and metabolite identification studies using liver microsomes in vitro, plasma protein binding using a rapid equilibrium dialysis in vitro, pharmacokinetic studies in vivo were carried out to evaluate the interspecies differences. The toxicokinetic study in monkeys was also investigated. The metabolic profiles were similar in monkeys and humans, which were significant different from rats and dogs in vitro. In vitro plasma protein binding showed no major differences between species with medium to high protein binding rates. After single oral dose to rats, dogs, and monkeys, the absolute oral bioavailability of Y101 was 44.9%, 43.1%, and 19.2%, respectively. There was no accumulation for Y101 toxicokinetics in monkeys after oral administration for 90 d. The metabolic profiles indicated monkey was the very animal model for preclinical safety evaluation of Y101. Our results have demonstrated the favorable pharmacokinetics profile of Y101, which supports the clinical trials in humans.","container-title":"Xenobiotica","DOI":"10.1080/00498254.2019.1646946","ISSN":"0049-8254","issue":"4","note":"_eprint: https://doi.org/10.1080/00498254.2019.1646946","page":"468-478","PMID":"31329010","publisher":"Taylor &amp; Francis","source":"Taylor and Francis+NEJM","title":"In vitro metabolism and in vivo pharmacokinetics of bentysrepinine (Y101), an investigational new drug for anti-HBV-infected hepatitis: focus on interspecies comparison","title-short":"In vitro metabolism and in vivo pharmacokinetics of bentysrepinine (Y101), an investigational new drug for anti-HBV-infected hepatitis","volume":"50","author":[{"family":"Fan","given":"Huirong"},{"family":"Zhang","given":"Aijie"},{"family":"Liao","given":"Cuiping"},{"family":"Yang","given":"Yuanhui"},{"family":"Zhang","given":"Lihua"},{"family":"Liu","given":"Jianfeng"},{"family":"Xia","given":"Yuanyuan"},{"family":"Si","given":"Duanyun"},{"family":"Dong","given":"Shiqi"},{"family":"Liu","given":"Changxiao"}],"issued":{"date-parts":[["2020",4,2]]}}}],"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B41D8" w:rsidRPr="000B41D8">
              <w:rPr>
                <w:rFonts w:ascii="Aptos Narrow" w:hAnsi="Aptos Narrow" w:cs="Times New Roman"/>
                <w:kern w:val="0"/>
                <w:sz w:val="22"/>
                <w:vertAlign w:val="superscript"/>
              </w:rPr>
              <w:t>6</w:t>
            </w:r>
            <w:r>
              <w:rPr>
                <w:rFonts w:ascii="Aptos Narrow" w:eastAsia="Times New Roman" w:hAnsi="Aptos Narrow" w:cs="Times New Roman"/>
                <w:color w:val="000000"/>
                <w:kern w:val="0"/>
                <w:sz w:val="22"/>
                <w:szCs w:val="22"/>
                <w14:ligatures w14:val="none"/>
              </w:rPr>
              <w:fldChar w:fldCharType="end"/>
            </w:r>
          </w:p>
        </w:tc>
      </w:tr>
      <w:tr w:rsidR="00367563" w:rsidRPr="00367563" w14:paraId="49122E5D" w14:textId="77777777" w:rsidTr="00CA3A28">
        <w:trPr>
          <w:trHeight w:val="288"/>
        </w:trPr>
        <w:tc>
          <w:tcPr>
            <w:tcW w:w="2695" w:type="dxa"/>
            <w:noWrap/>
            <w:vAlign w:val="bottom"/>
            <w:hideMark/>
          </w:tcPr>
          <w:p w14:paraId="594F176C" w14:textId="77777777" w:rsidR="00367563" w:rsidRPr="00367563" w:rsidRDefault="00367563" w:rsidP="00367563">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CP-74,667</w:t>
            </w:r>
          </w:p>
        </w:tc>
        <w:tc>
          <w:tcPr>
            <w:tcW w:w="1330" w:type="dxa"/>
            <w:noWrap/>
            <w:vAlign w:val="bottom"/>
            <w:hideMark/>
          </w:tcPr>
          <w:p w14:paraId="4A4269D8"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200</w:t>
            </w:r>
          </w:p>
        </w:tc>
        <w:tc>
          <w:tcPr>
            <w:tcW w:w="960" w:type="dxa"/>
            <w:noWrap/>
            <w:vAlign w:val="bottom"/>
            <w:hideMark/>
          </w:tcPr>
          <w:p w14:paraId="70E3549D"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5C32005F"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054527BD" w14:textId="000CC7A2" w:rsidR="00367563" w:rsidRPr="00367563" w:rsidRDefault="00A840AD"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B41D8">
              <w:rPr>
                <w:rFonts w:ascii="Aptos Narrow" w:eastAsia="Times New Roman" w:hAnsi="Aptos Narrow" w:cs="Times New Roman"/>
                <w:color w:val="000000"/>
                <w:kern w:val="0"/>
                <w:sz w:val="22"/>
                <w:szCs w:val="22"/>
                <w14:ligatures w14:val="none"/>
              </w:rPr>
              <w:instrText xml:space="preserve"> ADDIN ZOTERO_ITEM CSL_CITATION {"citationID":"m6aD5Sg6","properties":{"unsorted":false,"formattedCitation":"\\super 7\\nosupersub{}","plainCitation":"7","noteIndex":0},"citationItems":[{"id":1231,"uris":["http://zotero.org/users/7234110/items/6LHWYBAG"],"itemData":{"id":1231,"type":"article-journal","abstract":"The pharmacokinetics of CP-74,667 (7-(8'-methyl-3',8'-diazabicyclo[3.2.1]oct-3'-yl)-1-cyclopropyl-6- fluoro-1,4-dihydro-4-oxo-3-quinolinecarboxylic acid) were studied following oral or parenteral administration in mice, rats, rabbits, dogs, and cynomolgus monkeys. The mean peak levels of CP-74,667 in serum following a single oral dose of 20 mg/kg of body weight were similar in all species, with a range of 3.7 micrograms/ml in mice to 5.6 micrograms/ml in dogs. In contrast, elimination half-lives were species dependent, with mean values of 2.1, 1.8, 4.5, 7.8, and 13.1 h in mice, rats, rabbits, dogs, and monkeys, respectively. The oral bioavailability of CP-74,667 was 100% in dogs and monkeys, as determined by intravenous-oral crossover experiments. The maximum concentration of drug in serum and area under the concentration-time curve (AUC) of CP-74,667 in dogs were proportional to dose over the range of 5 to 40 mg/kg. Accumulation of drug in serum was observed following the administration of four once-a-day doses of 7.1 mg/kg in monkeys (mimicking a 500-mg human dose), with significant increases in half-life, maximum and minimum concentrations of drug in serum, and AUC. The good tissue penetration of CP-74,667 suggested by a volume of distribution in excess of 2 liters/kg in dogs and monkeys was confirmed by tissue distribution studies with the same species, which demonstrated tissue concentrations (except for those in brain tissue) greater than 1.45 times higher than corresponding levels in serum. The mean urinary recoveries of unchanged drug were 17.7% in rats, 7.8% in monkeys, and 4.9% in dogs. Metabolism studies in dogs, following intravenous dosing, indicated that renal excretion of CP-74,667-related materials accounted for 41.6% of the administered dose, while biliary recoveries accounted for 6.8%. The CP-74,667 N-oxide metabolite was the primary drug-related material eliminated via renal excretion (37.2% of dose). The pharmacokinetics of CP-74,667 describe a quinolone with complete oral absorption, linear pharmacokinetics, a long elimination half-life, and wide distribution into tissues.","container-title":"Antimicrobial Agents and Chemotherapy","DOI":"10.1128/aac.36.8.1671","issue":"8","page":"1671-1676","publisher":"American Society for Microbiology","source":"journals.asm.org (Atypon)","title":"Pharmacokinetic studies of CP-74,667, a new quinolone, in laboratory animals","volume":"36","author":[{"family":"Girard","given":"D"},{"family":"Gootz","given":"T D"},{"family":"McGuirk","given":"P R"}],"issued":{"date-parts":[["1992",8]]}}}],"schema":"https://github.com/citation-style-language/schema/raw/master/csl-citation.json"}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B41D8" w:rsidRPr="000B41D8">
              <w:rPr>
                <w:rFonts w:ascii="Aptos Narrow" w:hAnsi="Aptos Narrow" w:cs="Times New Roman"/>
                <w:kern w:val="0"/>
                <w:sz w:val="22"/>
                <w:vertAlign w:val="superscript"/>
              </w:rPr>
              <w:t>7</w:t>
            </w:r>
            <w:r>
              <w:rPr>
                <w:rFonts w:ascii="Aptos Narrow" w:eastAsia="Times New Roman" w:hAnsi="Aptos Narrow" w:cs="Times New Roman"/>
                <w:color w:val="000000"/>
                <w:kern w:val="0"/>
                <w:sz w:val="22"/>
                <w:szCs w:val="22"/>
                <w14:ligatures w14:val="none"/>
              </w:rPr>
              <w:fldChar w:fldCharType="end"/>
            </w:r>
          </w:p>
        </w:tc>
      </w:tr>
      <w:tr w:rsidR="00367563" w:rsidRPr="00367563" w14:paraId="37B57EF3" w14:textId="77777777" w:rsidTr="00CA3A28">
        <w:trPr>
          <w:trHeight w:val="288"/>
        </w:trPr>
        <w:tc>
          <w:tcPr>
            <w:tcW w:w="2695" w:type="dxa"/>
            <w:noWrap/>
            <w:vAlign w:val="bottom"/>
            <w:hideMark/>
          </w:tcPr>
          <w:p w14:paraId="5989822C" w14:textId="77777777" w:rsidR="00367563" w:rsidRPr="00367563" w:rsidRDefault="00367563" w:rsidP="00367563">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E2074</w:t>
            </w:r>
          </w:p>
        </w:tc>
        <w:tc>
          <w:tcPr>
            <w:tcW w:w="1330" w:type="dxa"/>
            <w:noWrap/>
            <w:vAlign w:val="bottom"/>
            <w:hideMark/>
          </w:tcPr>
          <w:p w14:paraId="0B53AA67"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30</w:t>
            </w:r>
          </w:p>
        </w:tc>
        <w:tc>
          <w:tcPr>
            <w:tcW w:w="960" w:type="dxa"/>
            <w:noWrap/>
            <w:vAlign w:val="bottom"/>
            <w:hideMark/>
          </w:tcPr>
          <w:p w14:paraId="23BCF1C9"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2294609F"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314B7ADF" w14:textId="388C3CBF" w:rsidR="00367563" w:rsidRPr="00367563" w:rsidRDefault="00506E1E"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B41D8">
              <w:rPr>
                <w:rFonts w:ascii="Aptos Narrow" w:eastAsia="Times New Roman" w:hAnsi="Aptos Narrow" w:cs="Times New Roman"/>
                <w:color w:val="000000"/>
                <w:kern w:val="0"/>
                <w:sz w:val="22"/>
                <w:szCs w:val="22"/>
                <w14:ligatures w14:val="none"/>
              </w:rPr>
              <w:instrText xml:space="preserve"> ADDIN ZOTERO_ITEM CSL_CITATION {"citationID":"nDaEOo1Z","properties":{"unsorted":false,"formattedCitation":"\\super 8\\nosupersub{}","plainCitation":"8","noteIndex":0},"citationItems":[{"id":1233,"uris":["http://zotero.org/users/7234110/items/BHQ3KXRN"],"itemData":{"id":1233,"type":"webpage","title":"Species Difference in the Mechanism of Nonlinear Pharmacokinetics of E2074, a Novel Sodium Channel Inhibitor, in Rats, Dogs, and Monkeys - Drug Metabolism and Disposition","URL":"https://dmd.aspetjournals.org/article/S0090-9556(24)11579-6/abstract","accessed":{"date-parts":[["2026",6,9]]}}}],"schema":"https://github.com/citation-style-language/schema/raw/master/csl-citation.json"}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B41D8" w:rsidRPr="000B41D8">
              <w:rPr>
                <w:rFonts w:ascii="Aptos Narrow" w:hAnsi="Aptos Narrow" w:cs="Times New Roman"/>
                <w:kern w:val="0"/>
                <w:sz w:val="22"/>
                <w:vertAlign w:val="superscript"/>
              </w:rPr>
              <w:t>8</w:t>
            </w:r>
            <w:r>
              <w:rPr>
                <w:rFonts w:ascii="Aptos Narrow" w:eastAsia="Times New Roman" w:hAnsi="Aptos Narrow" w:cs="Times New Roman"/>
                <w:color w:val="000000"/>
                <w:kern w:val="0"/>
                <w:sz w:val="22"/>
                <w:szCs w:val="22"/>
                <w14:ligatures w14:val="none"/>
              </w:rPr>
              <w:fldChar w:fldCharType="end"/>
            </w:r>
          </w:p>
        </w:tc>
      </w:tr>
      <w:tr w:rsidR="00367563" w:rsidRPr="00367563" w14:paraId="5F867243" w14:textId="77777777" w:rsidTr="00CA3A28">
        <w:trPr>
          <w:trHeight w:val="288"/>
        </w:trPr>
        <w:tc>
          <w:tcPr>
            <w:tcW w:w="2695" w:type="dxa"/>
            <w:noWrap/>
            <w:vAlign w:val="bottom"/>
            <w:hideMark/>
          </w:tcPr>
          <w:p w14:paraId="48D4041F" w14:textId="77777777" w:rsidR="00367563" w:rsidRPr="00367563" w:rsidRDefault="00367563" w:rsidP="00367563">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E2074</w:t>
            </w:r>
          </w:p>
        </w:tc>
        <w:tc>
          <w:tcPr>
            <w:tcW w:w="1330" w:type="dxa"/>
            <w:noWrap/>
            <w:vAlign w:val="bottom"/>
            <w:hideMark/>
          </w:tcPr>
          <w:p w14:paraId="08AEFCEC"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100</w:t>
            </w:r>
          </w:p>
        </w:tc>
        <w:tc>
          <w:tcPr>
            <w:tcW w:w="960" w:type="dxa"/>
            <w:noWrap/>
            <w:vAlign w:val="bottom"/>
            <w:hideMark/>
          </w:tcPr>
          <w:p w14:paraId="3C298D2D"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2119CDF8"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75FF55AB" w14:textId="15721228" w:rsidR="00367563" w:rsidRPr="00367563" w:rsidRDefault="00506E1E"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B41D8">
              <w:rPr>
                <w:rFonts w:ascii="Aptos Narrow" w:eastAsia="Times New Roman" w:hAnsi="Aptos Narrow" w:cs="Times New Roman"/>
                <w:color w:val="000000"/>
                <w:kern w:val="0"/>
                <w:sz w:val="22"/>
                <w:szCs w:val="22"/>
                <w14:ligatures w14:val="none"/>
              </w:rPr>
              <w:instrText xml:space="preserve"> ADDIN ZOTERO_ITEM CSL_CITATION {"citationID":"tjCft3CU","properties":{"unsorted":false,"formattedCitation":"\\super 8\\nosupersub{}","plainCitation":"8","noteIndex":0},"citationItems":[{"id":1233,"uris":["http://zotero.org/users/7234110/items/BHQ3KXRN"],"itemData":{"id":1233,"type":"webpage","title":"Species Difference in the Mechanism of Nonlinear Pharmacokinetics of E2074, a Novel Sodium Channel Inhibitor, in Rats, Dogs, and Monkeys - Drug Metabolism and Disposition","URL":"https://dmd.aspetjournals.org/article/S0090-9556(24)11579-6/abstract","accessed":{"date-parts":[["2026",6,9]]}}}],"schema":"https://github.com/citation-style-language/schema/raw/master/csl-citation.json"}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B41D8" w:rsidRPr="000B41D8">
              <w:rPr>
                <w:rFonts w:ascii="Aptos Narrow" w:hAnsi="Aptos Narrow" w:cs="Times New Roman"/>
                <w:kern w:val="0"/>
                <w:sz w:val="22"/>
                <w:vertAlign w:val="superscript"/>
              </w:rPr>
              <w:t>8</w:t>
            </w:r>
            <w:r>
              <w:rPr>
                <w:rFonts w:ascii="Aptos Narrow" w:eastAsia="Times New Roman" w:hAnsi="Aptos Narrow" w:cs="Times New Roman"/>
                <w:color w:val="000000"/>
                <w:kern w:val="0"/>
                <w:sz w:val="22"/>
                <w:szCs w:val="22"/>
                <w14:ligatures w14:val="none"/>
              </w:rPr>
              <w:fldChar w:fldCharType="end"/>
            </w:r>
          </w:p>
        </w:tc>
      </w:tr>
      <w:tr w:rsidR="00367563" w:rsidRPr="00367563" w14:paraId="0AA9C01F" w14:textId="77777777" w:rsidTr="00CA3A28">
        <w:trPr>
          <w:trHeight w:val="288"/>
        </w:trPr>
        <w:tc>
          <w:tcPr>
            <w:tcW w:w="2695" w:type="dxa"/>
            <w:noWrap/>
            <w:vAlign w:val="bottom"/>
            <w:hideMark/>
          </w:tcPr>
          <w:p w14:paraId="43DA58F8" w14:textId="77777777" w:rsidR="00367563" w:rsidRPr="00367563" w:rsidRDefault="00367563" w:rsidP="00367563">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E2074</w:t>
            </w:r>
          </w:p>
        </w:tc>
        <w:tc>
          <w:tcPr>
            <w:tcW w:w="1330" w:type="dxa"/>
            <w:noWrap/>
            <w:vAlign w:val="bottom"/>
            <w:hideMark/>
          </w:tcPr>
          <w:p w14:paraId="2A93F9C3"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w:t>
            </w:r>
          </w:p>
        </w:tc>
        <w:tc>
          <w:tcPr>
            <w:tcW w:w="960" w:type="dxa"/>
            <w:noWrap/>
            <w:vAlign w:val="bottom"/>
            <w:hideMark/>
          </w:tcPr>
          <w:p w14:paraId="09E17540" w14:textId="7DC647EA" w:rsidR="00367563" w:rsidRPr="00367563" w:rsidRDefault="00FC471F"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295BCFB3"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423BC963" w14:textId="661B5200" w:rsidR="00367563" w:rsidRPr="00367563" w:rsidRDefault="00506E1E"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B41D8">
              <w:rPr>
                <w:rFonts w:ascii="Aptos Narrow" w:eastAsia="Times New Roman" w:hAnsi="Aptos Narrow" w:cs="Times New Roman"/>
                <w:color w:val="000000"/>
                <w:kern w:val="0"/>
                <w:sz w:val="22"/>
                <w:szCs w:val="22"/>
                <w14:ligatures w14:val="none"/>
              </w:rPr>
              <w:instrText xml:space="preserve"> ADDIN ZOTERO_ITEM CSL_CITATION {"citationID":"EIK6Yudz","properties":{"unsorted":false,"formattedCitation":"\\super 8\\nosupersub{}","plainCitation":"8","noteIndex":0},"citationItems":[{"id":1233,"uris":["http://zotero.org/users/7234110/items/BHQ3KXRN"],"itemData":{"id":1233,"type":"webpage","title":"Species Difference in the Mechanism of Nonlinear Pharmacokinetics of E2074, a Novel Sodium Channel Inhibitor, in Rats, Dogs, and Monkeys - Drug Metabolism and Disposition","URL":"https://dmd.aspetjournals.org/article/S0090-9556(24)11579-6/abstract","accessed":{"date-parts":[["2026",6,9]]}}}],"schema":"https://github.com/citation-style-language/schema/raw/master/csl-citation.json"}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B41D8" w:rsidRPr="000B41D8">
              <w:rPr>
                <w:rFonts w:ascii="Aptos Narrow" w:hAnsi="Aptos Narrow" w:cs="Times New Roman"/>
                <w:kern w:val="0"/>
                <w:sz w:val="22"/>
                <w:vertAlign w:val="superscript"/>
              </w:rPr>
              <w:t>8</w:t>
            </w:r>
            <w:r>
              <w:rPr>
                <w:rFonts w:ascii="Aptos Narrow" w:eastAsia="Times New Roman" w:hAnsi="Aptos Narrow" w:cs="Times New Roman"/>
                <w:color w:val="000000"/>
                <w:kern w:val="0"/>
                <w:sz w:val="22"/>
                <w:szCs w:val="22"/>
                <w14:ligatures w14:val="none"/>
              </w:rPr>
              <w:fldChar w:fldCharType="end"/>
            </w:r>
          </w:p>
        </w:tc>
      </w:tr>
      <w:tr w:rsidR="00367563" w:rsidRPr="00367563" w14:paraId="37D6D194" w14:textId="77777777" w:rsidTr="00CA3A28">
        <w:trPr>
          <w:trHeight w:val="288"/>
        </w:trPr>
        <w:tc>
          <w:tcPr>
            <w:tcW w:w="2695" w:type="dxa"/>
            <w:noWrap/>
            <w:vAlign w:val="bottom"/>
            <w:hideMark/>
          </w:tcPr>
          <w:p w14:paraId="2D3C20FB" w14:textId="77777777" w:rsidR="00367563" w:rsidRPr="00367563" w:rsidRDefault="00367563" w:rsidP="00367563">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Itraconazole</w:t>
            </w:r>
          </w:p>
        </w:tc>
        <w:tc>
          <w:tcPr>
            <w:tcW w:w="1330" w:type="dxa"/>
            <w:noWrap/>
            <w:vAlign w:val="bottom"/>
            <w:hideMark/>
          </w:tcPr>
          <w:p w14:paraId="76CA0E1A"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113</w:t>
            </w:r>
          </w:p>
        </w:tc>
        <w:tc>
          <w:tcPr>
            <w:tcW w:w="960" w:type="dxa"/>
            <w:noWrap/>
            <w:vAlign w:val="bottom"/>
            <w:hideMark/>
          </w:tcPr>
          <w:p w14:paraId="408C023E"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563ED5AB" w14:textId="77777777" w:rsidR="00367563" w:rsidRPr="00367563" w:rsidRDefault="00367563" w:rsidP="00367563">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4397F675" w14:textId="0E79B615" w:rsidR="00367563" w:rsidRPr="00367563" w:rsidRDefault="00CA3A28" w:rsidP="00367563">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{"citationID":"SYzZAjL9","properties":{"unsorted":false,"formattedCitation":"\\super 9\\nosupersub{}","plainCitation":"9","noteIndex":0},"citationItems":[{"id":1245,"uris":["http://zotero.org/users/7234110/items/M6VC4JV5"],"itemData":{"id":1245,"type":"article-journal","abstract":"Background Itraconazole is commonly used for treatment of systemic and cutaneous mycoses in veterinary medicine. Two formulations, capsule and solution, are used interchangeably in dogs. However, marked differences in bioavailability have been reported in other species. Similar investigations have not been performed in dogs. Objective To determine and compare pharmacokinetics of itraconazole in dogs after oral administration of commercially available capsule and solution formulations intended for use in humans. Animals Eight healthy, adult, purpose-bred dogs. Methods Dogs received approximately 10 mg/kg of innovator-formulated itraconazole solution and capsule PO in randomized, crossover design with a 10-day washout period. To ensure maximal absorption, solution was administered to fasted dogs, whereas capsules were co-administered with food. Blood samples were collected at predetermined time points, and plasma drug concentrations were measured using high-pressure liquid chromatography. Pharmacokinetic parameters were determined with compartmental analysis. Results The mean relative bioavailability of the capsule was 85% that of the solution, but drug absorption was variable, and overall drug concentrations were similar between formulations. Mean elimination half-lives of both formulations were nearly identical at approximately 33 hours. Regardless of formulation, simulations suggest that a loading dose of 20 mg/kg, followed by 10 mg/kg once every 24 hours, will result in plasma concentrations considered to be adequate in most dogs. Conclusions and Clinical Importance Contrary to findings reported in other species, overall drug exposures after capsule and solution administration are not substantially different in dogs. Despite some pharmacokinetic differences between itraconazole capsule and solution, formulation-specific dosages do not appear to be necessary.","container-title":"Journal of Veterinary Internal Medicine","DOI":"10.1111/jvim.14779","ISSN":"1939-1676","issue":"4","language":"en","license":"Copyright © 2017 The Authors. Journal of Veterinary Internal Medicine published by Wiley Periodicals, Inc. on behalf of the American College of Veterinary Internal Medicine.","note":"_eprint: https://onlinelibrary.wiley.com/doi/pdf/10.1111/jvim.14779","page":"1163-1169","source":"Wiley Online Library","title":"Pharmacokinetics and Relative Bioavailability of Orally Administered Innovator-Formulated Itraconazole Capsules and Solution in Healthy Dogs","volume":"31","author":[{"family":"Hasbach","given":"A.e."},{"family":"Langlois","given":"D.k."},{"family":"Rosser Jr","given":"E.j."},{"family":"Papich","given":"M.g."}],"issued":{"date-parts":[["2017"]]}}}],"schema":"https://github.com/citation-style-language/schema/raw/master/csl-citation.json"}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CA3A28">
              <w:rPr>
                <w:rFonts w:ascii="Aptos Narrow" w:hAnsi="Aptos Narrow" w:cs="Times New Roman"/>
                <w:kern w:val="0"/>
                <w:sz w:val="22"/>
                <w:vertAlign w:val="superscript"/>
              </w:rPr>
              <w:t>9</w:t>
            </w:r>
            <w:r>
              <w:rPr>
                <w:rFonts w:ascii="Aptos Narrow" w:eastAsia="Times New Roman" w:hAnsi="Aptos Narrow" w:cs="Times New Roman"/>
                <w:color w:val="000000"/>
                <w:kern w:val="0"/>
                <w:sz w:val="22"/>
                <w:szCs w:val="22"/>
                <w14:ligatures w14:val="none"/>
              </w:rPr>
              <w:fldChar w:fldCharType="end"/>
            </w:r>
          </w:p>
        </w:tc>
      </w:tr>
      <w:tr w:rsidR="00CA3A28" w:rsidRPr="00367563" w14:paraId="3E6FF45D" w14:textId="77777777" w:rsidTr="00CA3A28">
        <w:trPr>
          <w:trHeight w:val="288"/>
        </w:trPr>
        <w:tc>
          <w:tcPr>
            <w:tcW w:w="2695" w:type="dxa"/>
            <w:noWrap/>
            <w:vAlign w:val="bottom"/>
            <w:hideMark/>
          </w:tcPr>
          <w:p w14:paraId="4732E3E5"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Itraconazole</w:t>
            </w:r>
          </w:p>
        </w:tc>
        <w:tc>
          <w:tcPr>
            <w:tcW w:w="1330" w:type="dxa"/>
            <w:noWrap/>
            <w:vAlign w:val="bottom"/>
            <w:hideMark/>
          </w:tcPr>
          <w:p w14:paraId="065DACD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113</w:t>
            </w:r>
          </w:p>
        </w:tc>
        <w:tc>
          <w:tcPr>
            <w:tcW w:w="960" w:type="dxa"/>
            <w:noWrap/>
            <w:vAlign w:val="bottom"/>
            <w:hideMark/>
          </w:tcPr>
          <w:p w14:paraId="52BBCBF4"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098C3D6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641CC2F4" w14:textId="1F83F663"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{"citationID":"FhsnQjNN","properties":{"unsorted":false,"formattedCitation":"\\super 9\\nosupersub{}","plainCitation":"9","noteIndex":0},"citationItems":[{"id":1245,"uris":["http://zotero.org/users/7234110/items/M6VC4JV5"],"itemData":{"id":1245,"type":"article-journal","abstract":"Background Itraconazole is commonly used for treatment of systemic and cutaneous mycoses in veterinary medicine. Two formulations, capsule and solution, are used interchangeably in dogs. However, marked differences in bioavailability have been reported in other species. Similar investigations have not been performed in dogs. Objective To determine and compare pharmacokinetics of itraconazole in dogs after oral administration of commercially available capsule and solution formulations intended for use in humans. Animals Eight healthy, adult, purpose-bred dogs. Methods Dogs received approximately 10 mg/kg of innovator-formulated itraconazole solution and capsule PO in randomized, crossover design with a 10-day washout period. To ensure maximal absorption, solution was administered to fasted dogs, whereas capsules were co-administered with food. Blood samples were collected at predetermined time points, and plasma drug concentrations were measured using high-pressure liquid chromatography. Pharmacokinetic parameters were determined with compartmental analysis. Results The mean relative bioavailability of the capsule was 85% that of the solution, but drug absorption was variable, and overall drug concentrations were similar between formulations. Mean elimination half-lives of both formulations were nearly identical at approximately 33 hours. Regardless of formulation, simulations suggest that a loading dose of 20 mg/kg, followed by 10 mg/kg once every 24 hours, will result in plasma concentrations considered to be adequate in most dogs. Conclusions and Clinical Importance Contrary to findings reported in other species, overall drug exposures after capsule and solution administration are not substantially different in dogs. Despite some pharmacokinetic differences between itraconazole capsule and solution, formulation-specific dosages do not appear to be necessary.","container-title":"Journal of Veterinary Internal Medicine","DOI":"10.1111/jvim.14779","ISSN":"1939-1676","issue":"4","language":"en","license":"Copyright © 2017 The Authors. Journal of Veterinary Internal Medicine published by Wiley Periodicals, Inc. on behalf of the American College of Veterinary Internal Medicine.","note":"_eprint: https://onlinelibrary.wiley.com/doi/pdf/10.1111/jvim.14779","page":"1163-1169","source":"Wiley Online Library","title":"Pharmacokinetics and Relative Bioavailability of Orally Administered Innovator-Formulated Itraconazole Capsules and Solution in Healthy Dogs","volume":"31","author":[{"family":"Hasbach","given":"A.e."},{"family":"Langlois","given":"D.k."},{"family":"Rosser Jr","given":"E.j."},{"family":"Papich","given":"M.g."}],"issued":{"date-parts":[["2017"]]}}}],"schema":"https://github.com/citation-style-language/schema/raw/master/csl-citation.json"}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CA3A28">
              <w:rPr>
                <w:rFonts w:ascii="Aptos Narrow" w:hAnsi="Aptos Narrow" w:cs="Times New Roman"/>
                <w:kern w:val="0"/>
                <w:sz w:val="22"/>
                <w:vertAlign w:val="superscript"/>
              </w:rPr>
              <w:t>9</w:t>
            </w:r>
            <w:r>
              <w:rPr>
                <w:rFonts w:ascii="Aptos Narrow" w:eastAsia="Times New Roman" w:hAnsi="Aptos Narrow" w:cs="Times New Roman"/>
                <w:color w:val="000000"/>
                <w:kern w:val="0"/>
                <w:sz w:val="22"/>
                <w:szCs w:val="22"/>
                <w14:ligatures w14:val="none"/>
              </w:rPr>
              <w:fldChar w:fldCharType="end"/>
            </w:r>
          </w:p>
        </w:tc>
      </w:tr>
      <w:tr w:rsidR="00CA3A28" w:rsidRPr="00367563" w14:paraId="537A6927" w14:textId="77777777" w:rsidTr="00CA3A28">
        <w:trPr>
          <w:trHeight w:val="288"/>
        </w:trPr>
        <w:tc>
          <w:tcPr>
            <w:tcW w:w="2695" w:type="dxa"/>
            <w:noWrap/>
            <w:vAlign w:val="bottom"/>
            <w:hideMark/>
          </w:tcPr>
          <w:p w14:paraId="67FE78F0" w14:textId="3C1BD71F"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Ledipasvir</w:t>
            </w:r>
          </w:p>
        </w:tc>
        <w:tc>
          <w:tcPr>
            <w:tcW w:w="1330" w:type="dxa"/>
            <w:noWrap/>
            <w:vAlign w:val="bottom"/>
            <w:hideMark/>
          </w:tcPr>
          <w:p w14:paraId="28727145"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w:t>
            </w:r>
          </w:p>
        </w:tc>
        <w:tc>
          <w:tcPr>
            <w:tcW w:w="960" w:type="dxa"/>
            <w:noWrap/>
            <w:vAlign w:val="bottom"/>
            <w:hideMark/>
          </w:tcPr>
          <w:p w14:paraId="497034FD" w14:textId="39945C17"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70ADAE5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5206370A" w14:textId="535E858C"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52F87">
              <w:rPr>
                <w:rFonts w:ascii="Aptos Narrow" w:eastAsia="Times New Roman" w:hAnsi="Aptos Narrow" w:cs="Times New Roman"/>
                <w:color w:val="000000"/>
                <w:kern w:val="0"/>
                <w:sz w:val="22"/>
                <w:szCs w:val="22"/>
                <w14:ligatures w14:val="none"/>
              </w:rPr>
              <w:instrText xml:space="preserve"> ADDIN ZOTERO_ITEM CSL_CITATION {"citationID":"NbFLS9vU","properties":{"unsorted":false,"formattedCitation":"\\super 10\\nosupersub{}","plainCitation":"10","noteIndex":0},"citationItems":[{"id":1248,"uris":["http://zotero.org/users/7234110/items/LQV7HY4X"],"itemData":{"id":1248,"type":"article-journal","abstract":"A new class of highly potent NS5A inhibitors with an unsymmetric benzimidazole-difluorofluorene-imidazole core and distal [2.2.1]azabicyclic ring system was discovered. Optimization of antiviral potency and pharmacokinetics led to the identification of 39 (ledipasvir, GS-5885). Compound 39 (GT1a replicon EC50 = 31 pM) has an extended plasma half-life of 37–45 h in healthy volunteers and produces a rapid &gt;3 log viral load reduction in monotherapy at oral doses of 3 mg or greater with once-daily dosing in genotype 1a HCV-infected patients. 39 has been shown to be safe and efficacious, with SVR12 rates up to 100% when used in combination with direct-acting antivirals having complementary mechanisms.","container-title":"Journal of Medicinal Chemistry","DOI":"10.1021/jm401499g","ISSN":"0022-2623","issue":"5","journalAbbreviation":"J. Med. Chem.","page":"2033-2046","publisher":"American Chemical Society","source":"ACS Publications","title":"Discovery of Ledipasvir (GS-5885): A Potent, Once-Daily Oral NS5A Inhibitor for the Treatment of Hepatitis C Virus Infection","title-short":"Discovery of Ledipasvir (GS-5885)","volume":"57","author":[{"family":"Link","given":"John O."},{"family":"Taylor","given":"James G."},{"family":"Xu","given":"Lianhong"},{"family":"Mitchell","given":"Michael"},{"family":"Guo","given":"Hongyan"},{"family":"Liu","given":"Hongtao"},{"family":"Kato","given":"Darryl"},{"family":"Kirschberg","given":"Thorsten"},{"family":"Sun","given":"Jianyu"},{"family":"Squires","given":"Neil"},{"family":"Parrish","given":"Jay"},{"family":"Keller","given":"Terry"},{"family":"Yang","given":"Zheng-Yu"},{"family":"Yang","given":"Chris"},{"family":"Matles","given":"Mike"},{"family":"Wang","given":"Yujin"},{"family":"Wang","given":"Kelly"},{"family":"Cheng","given":"Guofeng"},{"family":"Tian","given":"Yang"},{"family":"Mogalian","given":"Erik"},{"family":"Mondou","given":"Elsa"},{"family":"Cornpropst","given":"Melanie"},{"family":"Perry","given":"Jason"},{"family":"Desai","given":"Manoj C."}],"issued":{"date-parts":[["2014",3,13]]}}}],"schema":"https://github.com/citation-style-language/schema/raw/master/csl-citation.json"}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52F87" w:rsidRPr="00C52F87">
              <w:rPr>
                <w:rFonts w:ascii="Aptos Narrow" w:hAnsi="Aptos Narrow" w:cs="Times New Roman"/>
                <w:kern w:val="0"/>
                <w:sz w:val="22"/>
                <w:vertAlign w:val="superscript"/>
              </w:rPr>
              <w:t>10</w:t>
            </w:r>
            <w:r>
              <w:rPr>
                <w:rFonts w:ascii="Aptos Narrow" w:eastAsia="Times New Roman" w:hAnsi="Aptos Narrow" w:cs="Times New Roman"/>
                <w:color w:val="000000"/>
                <w:kern w:val="0"/>
                <w:sz w:val="22"/>
                <w:szCs w:val="22"/>
                <w14:ligatures w14:val="none"/>
              </w:rPr>
              <w:fldChar w:fldCharType="end"/>
            </w:r>
          </w:p>
        </w:tc>
      </w:tr>
      <w:tr w:rsidR="00CA3A28" w:rsidRPr="00367563" w14:paraId="38A3C2B1" w14:textId="77777777" w:rsidTr="00CA3A28">
        <w:trPr>
          <w:trHeight w:val="288"/>
        </w:trPr>
        <w:tc>
          <w:tcPr>
            <w:tcW w:w="2695" w:type="dxa"/>
            <w:noWrap/>
            <w:vAlign w:val="bottom"/>
            <w:hideMark/>
          </w:tcPr>
          <w:p w14:paraId="1A20D3F0" w14:textId="3FED1500"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Muraglitazar</w:t>
            </w:r>
          </w:p>
        </w:tc>
        <w:tc>
          <w:tcPr>
            <w:tcW w:w="1330" w:type="dxa"/>
            <w:noWrap/>
            <w:vAlign w:val="bottom"/>
            <w:hideMark/>
          </w:tcPr>
          <w:p w14:paraId="786F5EB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19</w:t>
            </w:r>
          </w:p>
        </w:tc>
        <w:tc>
          <w:tcPr>
            <w:tcW w:w="960" w:type="dxa"/>
            <w:noWrap/>
            <w:vAlign w:val="bottom"/>
            <w:hideMark/>
          </w:tcPr>
          <w:p w14:paraId="6390E1E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4838265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2D232734" w14:textId="3D8015CD" w:rsidR="00CA3A28" w:rsidRPr="00367563" w:rsidRDefault="00B9660C"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876D34">
              <w:rPr>
                <w:rFonts w:ascii="Aptos Narrow" w:eastAsia="Times New Roman" w:hAnsi="Aptos Narrow" w:cs="Times New Roman"/>
                <w:color w:val="000000"/>
                <w:kern w:val="0"/>
                <w:sz w:val="22"/>
                <w:szCs w:val="22"/>
                <w14:ligatures w14:val="none"/>
              </w:rPr>
              <w:instrText xml:space="preserve"> ADDIN ZOTERO_ITEM CSL_CITATION {"citationID":"jbbmShtc","properties":{"unsorted":false,"formattedCitation":"\\super 11\\nosupersub{}","plainCitation":"11","noteIndex":0},"citationItems":[{"id":1324,"uris":["http://zotero.org/users/7234110/items/YUR8JUE9"],"itemData":{"id":1324,"type":"article-journal","container-title":"Drug Metabolism and Disposition","DOI":"10.1124/dmd.106.012450","ISSN":"0090-9556, 1521-009X","issue":"1","journalAbbreviation":"Drug Metabolism and Disposition","language":"English","page":"150-167","PMID":"17062777","publisher":"Elsevier","source":"dmd.aspetjournals.org","title":"Comparative Metabolism of Radiolabeled Muraglitazar in Animals and Humans by Quantitative and Qualitative Metabolite Profiling","volume":"35","author":[{"family":"Zhang","given":"Donglu"},{"family":"Wang","given":"Lifei"},{"family":"Raghavan","given":"Nirmala"},{"family":"Zhang","given":"Haiying"},{"family":"Li","given":"Wenying"},{"family":"Cheng","given":"Peter T."},{"family":"Yao","given":"Ming"},{"family":"Zhang","given":"Litao"},{"family":"Zhu","given":"Mingshe"},{"family":"Bonacorsi","given":"Samuel"},{"family":"Yeola","given":"Suresh"},{"family":"Mitroka","given":"James"},{"family":"Hariharan","given":"Narayanan"},{"family":"Hosagrahara","given":"Vinayak"},{"family":"Chandrasena","given":"Gamini"},{"family":"Shyu","given":"Wen Chyi"},{"family":"Humphreys","given":"W. Griffith"}],"issued":{"date-parts":[["2007",1,1]]}}}],"schema":"https://github.com/citation-style-language/schema/raw/master/csl-citation.json"}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876D34" w:rsidRPr="00876D34">
              <w:rPr>
                <w:rFonts w:ascii="Aptos Narrow" w:hAnsi="Aptos Narrow" w:cs="Times New Roman"/>
                <w:kern w:val="0"/>
                <w:sz w:val="22"/>
                <w:vertAlign w:val="superscript"/>
              </w:rPr>
              <w:t>11</w:t>
            </w:r>
            <w:r>
              <w:rPr>
                <w:rFonts w:ascii="Aptos Narrow" w:eastAsia="Times New Roman" w:hAnsi="Aptos Narrow" w:cs="Times New Roman"/>
                <w:color w:val="000000"/>
                <w:kern w:val="0"/>
                <w:sz w:val="22"/>
                <w:szCs w:val="22"/>
                <w14:ligatures w14:val="none"/>
              </w:rPr>
              <w:fldChar w:fldCharType="end"/>
            </w:r>
          </w:p>
        </w:tc>
      </w:tr>
      <w:tr w:rsidR="00CA3A28" w:rsidRPr="00367563" w14:paraId="063960BB" w14:textId="77777777" w:rsidTr="00CA3A28">
        <w:trPr>
          <w:trHeight w:val="288"/>
        </w:trPr>
        <w:tc>
          <w:tcPr>
            <w:tcW w:w="2695" w:type="dxa"/>
            <w:noWrap/>
            <w:vAlign w:val="bottom"/>
            <w:hideMark/>
          </w:tcPr>
          <w:p w14:paraId="7D70E11B" w14:textId="1038D4E2"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Nimustine</w:t>
            </w:r>
            <w:proofErr w:type="spellEnd"/>
          </w:p>
        </w:tc>
        <w:tc>
          <w:tcPr>
            <w:tcW w:w="1330" w:type="dxa"/>
            <w:noWrap/>
            <w:vAlign w:val="bottom"/>
            <w:hideMark/>
          </w:tcPr>
          <w:p w14:paraId="6E78BCB8"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25</w:t>
            </w:r>
          </w:p>
        </w:tc>
        <w:tc>
          <w:tcPr>
            <w:tcW w:w="960" w:type="dxa"/>
            <w:noWrap/>
            <w:vAlign w:val="bottom"/>
            <w:hideMark/>
          </w:tcPr>
          <w:p w14:paraId="28ECDF0C" w14:textId="3B48D801"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2235A11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7E72692A" w14:textId="6E13BDE4" w:rsidR="00CA3A28" w:rsidRPr="00367563" w:rsidRDefault="00B8309A"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876D34">
              <w:rPr>
                <w:rFonts w:ascii="Aptos Narrow" w:eastAsia="Times New Roman" w:hAnsi="Aptos Narrow" w:cs="Times New Roman"/>
                <w:color w:val="000000"/>
                <w:kern w:val="0"/>
                <w:sz w:val="22"/>
                <w:szCs w:val="22"/>
                <w14:ligatures w14:val="none"/>
              </w:rPr>
              <w:instrText xml:space="preserve"> ADDIN ZOTERO_ITEM CSL_CITATION {"citationID":"AURUabQt","properties":{"unsorted":false,"formattedCitation":"\\super 12\\nosupersub{}","plainCitation":"12","noteIndex":0},"citationItems":[{"id":1254,"uris":["http://zotero.org/users/7234110/items/AATMU2HT"],"itemData":{"id":1254,"type":"article-journal","abstract":"Plasma concentration-time profiles of nimustine hydrochloride, 1-[(4-amino-2-methyl-5-pyrimidinyl)methyl]-3-(2-chloroethyl)-3-nitrosour ea hydrochloride (ACNU), in the mouse, rat, rabbit, and dog were determined by high-performance liquid chromatographic analysis. The pharmacokinetic parameters for these four animal species and previously reported clinical data were analyzed for investigation of interspecies correlation. Log-log plots of body weight (W; kg) vs total plasma clearance (CLtot,p; ml/min) and steady-state distribution volume (Vd,ss; l) for the four animal species were linear, with high correlation coefficients (r 0.996 for both parameters), despite the fact that the nonrenal clearance was greater than 97% in these species. Linear regression on the plots excluding human data yielded allometric equations (CLtot,p = 50.6 W0.957; Vd, ss = 1.29 W1.03) that were extrapolated to predict ACNU pharmacokinetic parameters in humans. For both parameters, however, there were 3-fold differences between the predicted and observed parametric values. To investigate these discrepancies, we measured serum protein binding of ACNU in these animal species and in humans. The values of CLtot,p and Vd,ss were converted into those of CLutot,p and Vd,uss, which correspond to the parameters for unbound ACNU. In this case, correlation coefficients of the log-log plots excluding human data (CLutot,p = 71.7 W0.891; Vd,uss = 1.82 W0.966) were also high (r greater than or equal to 0.991). The extrapolated values vs those observed in a 70-kg human were the following: CLutot,p, 3,160 vs 2,290 ml/min; Vd,uss, 110 vs 106 l. Thus, the animal data were successfully extrapolated to yield better predictions of human pharmacokinetic parameters if the analysis was based on the unbound plasma concentration of ACNU. In addition, the predicted plasma concentration-time profile for humans also showed good agreement with the observed ones. These results suggest the importance of measuring unbound fractions of drugs for more accurate prediction of human pharmacokinetic parameters by extrapolation of animal data to the human situation.","container-title":"Cancer Chemotherapy and Pharmacology","DOI":"10.1007/BF00689271","ISSN":"0344-5704","issue":"1","journalAbbreviation":"Cancer Chemother Pharmacol","language":"eng","page":"20-26","PMID":"2245489","source":"PubMed","title":"Prediction of ACNU plasma concentration-time profiles in humans by animal scale-up","volume":"27","author":[{"family":"Mitsuhashi","given":"Y."},{"family":"Sugiyama","given":"Y."},{"family":"Ozawa","given":"S."},{"family":"Nitanai","given":"T."},{"family":"Sasahara","given":"K."},{"family":"Nakamura","given":"K."},{"family":"Tanaka","given":"M."},{"family":"Nishimura","given":"T."},{"family":"Inaba","given":"M."},{"family":"Kobayashi","given":"T."}],"issued":{"date-parts":[["1990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876D34" w:rsidRPr="00876D34">
              <w:rPr>
                <w:rFonts w:ascii="Aptos Narrow" w:hAnsi="Aptos Narrow" w:cs="Times New Roman"/>
                <w:kern w:val="0"/>
                <w:sz w:val="22"/>
                <w:vertAlign w:val="superscript"/>
              </w:rPr>
              <w:t>12</w:t>
            </w:r>
            <w:r>
              <w:rPr>
                <w:rFonts w:ascii="Aptos Narrow" w:eastAsia="Times New Roman" w:hAnsi="Aptos Narrow" w:cs="Times New Roman"/>
                <w:color w:val="000000"/>
                <w:kern w:val="0"/>
                <w:sz w:val="22"/>
                <w:szCs w:val="22"/>
                <w14:ligatures w14:val="none"/>
              </w:rPr>
              <w:fldChar w:fldCharType="end"/>
            </w:r>
          </w:p>
        </w:tc>
      </w:tr>
      <w:tr w:rsidR="00CA3A28" w:rsidRPr="00367563" w14:paraId="397D863D" w14:textId="77777777" w:rsidTr="00CA3A28">
        <w:trPr>
          <w:trHeight w:val="288"/>
        </w:trPr>
        <w:tc>
          <w:tcPr>
            <w:tcW w:w="2695" w:type="dxa"/>
            <w:noWrap/>
            <w:vAlign w:val="bottom"/>
            <w:hideMark/>
          </w:tcPr>
          <w:p w14:paraId="62408BC5" w14:textId="4152BEA0"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Ritonavir</w:t>
            </w:r>
          </w:p>
        </w:tc>
        <w:tc>
          <w:tcPr>
            <w:tcW w:w="1330" w:type="dxa"/>
            <w:noWrap/>
            <w:vAlign w:val="bottom"/>
            <w:hideMark/>
          </w:tcPr>
          <w:p w14:paraId="613EFA5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100</w:t>
            </w:r>
          </w:p>
        </w:tc>
        <w:tc>
          <w:tcPr>
            <w:tcW w:w="960" w:type="dxa"/>
            <w:noWrap/>
            <w:vAlign w:val="bottom"/>
            <w:hideMark/>
          </w:tcPr>
          <w:p w14:paraId="48173D3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3E943DBF"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5811AF43" w14:textId="66C41503"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876D34">
              <w:rPr>
                <w:rFonts w:ascii="Aptos Narrow" w:eastAsia="Times New Roman" w:hAnsi="Aptos Narrow" w:cs="Times New Roman"/>
                <w:color w:val="000000"/>
                <w:kern w:val="0"/>
                <w:sz w:val="22"/>
                <w:szCs w:val="22"/>
                <w14:ligatures w14:val="none"/>
              </w:rPr>
              <w:instrText xml:space="preserve"> ADDIN ZOTERO_ITEM CSL_CITATION {"citationID":"VXf4Fmbx","properties":{"unsorted":false,"formattedCitation":"\\super 13\\nosupersub{}","plainCitation":"13","noteIndex":0},"citationItems":[{"id":1232,"uris":["http://zotero.org/users/7234110/items/94ZSSAVK"],"itemData":{"id":1232,"type":"article-journal","abstract":"The structure−activity studies leading to the potent and clinically efficacious HIV protease inhibitor ritonavir are described. Beginning with the moderately potent and orally bioavailable inhibitor A-80987, systematic investigation of peripheral (P3 and P2‘) heterocyclic groups designed to decrease the rate of hepatic metabolism provided analogues with improved pharmacokinetic properties after oral dosing in rats. Replacement of pyridyl groups with thiazoles provided increased chemical stability toward oxidation while maintaining sufficient aqueous solubility for oral absorption. Optimization of hydrophobic interactions with the HIV protease active site produced ritonavir, with excellent in vitro potency (EC50 = 0.02 μM) and high and sustained plasma concentrations after oral administration in four species. Details of the discovery and preclinical development of ritonavir are described.","container-title":"Journal of Medicinal Chemistry","DOI":"10.1021/jm970636+","ISSN":"0022-2623","issue":"4","journalAbbreviation":"J. Med. Chem.","page":"602-617","publisher":"American Chemical Society","source":"ACS Publications","title":"Discovery of Ritonavir, a Potent Inhibitor of HIV Protease with High Oral Bioavailability and Clinical Efficacy","volume":"41","author":[{"family":"Kempf","given":"Dale J."},{"family":"Sham","given":"Hing L."},{"family":"Marsh","given":"Kennan C."},{"family":"Flentge","given":"Charles A."},{"family":"Betebenner","given":"David"},{"family":"Green","given":"Brian E."},{"family":"McDonald","given":"Edith"},{"family":"Vasavanonda","given":"Sudthida"},{"family":"Saldivar","given":"Ayda"},{"family":"Wideburg","given":"Norman E."},{"family":"Kati","given":"Warren M."},{"family":"Ruiz","given":"Lisa"},{"family":"Zhao","given":"Chen"},{"family":"Fino","given":"LynnMarie"},{"family":"Patterson","given":"Jean"},{"family":"Molla","given":"Akhteruzzaman"},{"family":"Plattner","given":"Jacob J."},{"family":"Norbeck","given":"Daniel W."}],"issued":{"date-parts":[["1998",2,1]]}}}],"schema":"https://github.com/citation-style-language/schema/raw/master/csl-citation.json"}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876D34" w:rsidRPr="00876D34">
              <w:rPr>
                <w:rFonts w:ascii="Aptos Narrow" w:hAnsi="Aptos Narrow" w:cs="Times New Roman"/>
                <w:kern w:val="0"/>
                <w:sz w:val="22"/>
                <w:vertAlign w:val="superscript"/>
              </w:rPr>
              <w:t>13</w:t>
            </w:r>
            <w:r>
              <w:rPr>
                <w:rFonts w:ascii="Aptos Narrow" w:eastAsia="Times New Roman" w:hAnsi="Aptos Narrow" w:cs="Times New Roman"/>
                <w:color w:val="000000"/>
                <w:kern w:val="0"/>
                <w:sz w:val="22"/>
                <w:szCs w:val="22"/>
                <w14:ligatures w14:val="none"/>
              </w:rPr>
              <w:fldChar w:fldCharType="end"/>
            </w:r>
          </w:p>
        </w:tc>
      </w:tr>
      <w:tr w:rsidR="00CA3A28" w:rsidRPr="00367563" w14:paraId="71D496DD" w14:textId="77777777" w:rsidTr="00CA3A28">
        <w:trPr>
          <w:trHeight w:val="288"/>
        </w:trPr>
        <w:tc>
          <w:tcPr>
            <w:tcW w:w="2695" w:type="dxa"/>
            <w:noWrap/>
            <w:vAlign w:val="bottom"/>
            <w:hideMark/>
          </w:tcPr>
          <w:p w14:paraId="1F93B764" w14:textId="7EC967EC"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Theophylline</w:t>
            </w:r>
          </w:p>
        </w:tc>
        <w:tc>
          <w:tcPr>
            <w:tcW w:w="1330" w:type="dxa"/>
            <w:noWrap/>
            <w:vAlign w:val="bottom"/>
            <w:hideMark/>
          </w:tcPr>
          <w:p w14:paraId="00EF3A05"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257.75</w:t>
            </w:r>
          </w:p>
        </w:tc>
        <w:tc>
          <w:tcPr>
            <w:tcW w:w="960" w:type="dxa"/>
            <w:noWrap/>
            <w:vAlign w:val="bottom"/>
            <w:hideMark/>
          </w:tcPr>
          <w:p w14:paraId="7491784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0BBF366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4197A653" w14:textId="3611C03D" w:rsidR="00CA3A28" w:rsidRPr="00367563" w:rsidRDefault="000777C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{"citationID":"F0As551w","properties":{"unsorted":false,"formattedCitation":"\\super 14\\nosupersub{}","plainCitation":"14","noteIndex":0},"citationItems":[{"id":1328,"uris":["http://zotero.org/users/7234110/items/7BIBBIEX"],"itemData":{"id":1328,"type":"article-journal","abstract":"Theophylline is an important drug for treatment of canine chronic bronchitis and bradyarrhythmias, but new products require validation since pharmacokinetics in dogs can vary by formulation. A new, 503B outsourcing facility-produced theophylline product (OFT) is available for veterinary use. Outsourcing facilities have many advantages over traditional compounding sources including current good manufacturing practice compliance. The purpose of this study was to establish the pharmacokinetics of OFT in dogs. Eight healthy dogs received 11 mg/kg intravenous aminophylline and 10 mg/kg oral OFT followed by serial blood sampling in a two-way, randomized, crossover design with 7-day washout. Plasma theophylline concentrations were quantified by liquid chromatography-mass spectrometry. Bioavailability, maximum concentration, time to maximum concentration, half-life and area under the curve were: 97 ± 10%, 7.13 ± 0.71 μg/mL, 10.50 ± 2.07 h, 9.20 ± 2.87 h, and 141 ± 37.6 μg*h/mL, respectively. Steady-state predictions supported twice daily dosing of the OFT, but specific dosage recommendations are hindered by lack of a canine-specific therapeutic range for plasma theophylline concentration. These findings suggest that the OFT is well absorbed and can likely be dosed twice daily in dogs, but future pharmacodynamic and clinical studies are needed to establish a definitive therapeutic range for theophylline in this species.","container-title":"PLOS ONE","DOI":"10.1371/journal.pone.0262336","ISSN":"1932-6203","issue":"1","journalAbbreviation":"PLOS ONE","language":"en","page":"e0262336","publisher":"Public Library of Science","source":"PLoS Journals","title":"Pharmacokinetics of a 503B outsourcing facility-produced theophylline in dogs","volume":"17","author":[{"family":"Reinhart","given":"Jennifer M."},{"family":"Oliveira","given":"Gabriela A. R.","dropping-particle":"de"},{"family":"Forsythe","given":"Lauren"},{"family":"Li","given":"Zhong"}],"issued":{"date-parts":[["2022",1,6]]}}}],"schema":"https://github.com/citation-style-language/schema/raw/master/csl-citation.json"}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777C6">
              <w:rPr>
                <w:rFonts w:ascii="Aptos Narrow" w:hAnsi="Aptos Narrow" w:cs="Times New Roman"/>
                <w:kern w:val="0"/>
                <w:sz w:val="22"/>
                <w:vertAlign w:val="superscript"/>
              </w:rPr>
              <w:t>14</w:t>
            </w:r>
            <w:r>
              <w:rPr>
                <w:rFonts w:ascii="Aptos Narrow" w:eastAsia="Times New Roman" w:hAnsi="Aptos Narrow" w:cs="Times New Roman"/>
                <w:color w:val="000000"/>
                <w:kern w:val="0"/>
                <w:sz w:val="22"/>
                <w:szCs w:val="22"/>
                <w14:ligatures w14:val="none"/>
              </w:rPr>
              <w:fldChar w:fldCharType="end"/>
            </w:r>
          </w:p>
        </w:tc>
      </w:tr>
      <w:tr w:rsidR="00CA3A28" w:rsidRPr="00367563" w14:paraId="3473D51A" w14:textId="77777777" w:rsidTr="00CA3A28">
        <w:trPr>
          <w:trHeight w:val="288"/>
        </w:trPr>
        <w:tc>
          <w:tcPr>
            <w:tcW w:w="2695" w:type="dxa"/>
            <w:noWrap/>
            <w:vAlign w:val="bottom"/>
            <w:hideMark/>
          </w:tcPr>
          <w:p w14:paraId="03AC9EE4" w14:textId="7FEF24EB"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Theophylline</w:t>
            </w:r>
          </w:p>
        </w:tc>
        <w:tc>
          <w:tcPr>
            <w:tcW w:w="1330" w:type="dxa"/>
            <w:noWrap/>
            <w:vAlign w:val="bottom"/>
            <w:hideMark/>
          </w:tcPr>
          <w:p w14:paraId="1058350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283.525</w:t>
            </w:r>
          </w:p>
        </w:tc>
        <w:tc>
          <w:tcPr>
            <w:tcW w:w="960" w:type="dxa"/>
            <w:noWrap/>
            <w:vAlign w:val="bottom"/>
            <w:hideMark/>
          </w:tcPr>
          <w:p w14:paraId="22F6D064" w14:textId="551BBB3B"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71A5626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70BD97C2" w14:textId="79A0E5D5" w:rsidR="00CA3A28" w:rsidRPr="00367563" w:rsidRDefault="000777C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{"citationID":"d8EcP6hb","properties":{"unsorted":false,"formattedCitation":"\\super 14\\nosupersub{}","plainCitation":"14","noteIndex":0},"citationItems":[{"id":1328,"uris":["http://zotero.org/users/7234110/items/7BIBBIEX"],"itemData":{"id":1328,"type":"article-journal","abstract":"Theophylline is an important drug for treatment of canine chronic bronchitis and bradyarrhythmias, but new products require validation since pharmacokinetics in dogs can vary by formulation. A new, 503B outsourcing facility-produced theophylline product (OFT) is available for veterinary use. Outsourcing facilities have many advantages over traditional compounding sources including current good manufacturing practice compliance. The purpose of this study was to establish the pharmacokinetics of OFT in dogs. Eight healthy dogs received 11 mg/kg intravenous aminophylline and 10 mg/kg oral OFT followed by serial blood sampling in a two-way, randomized, crossover design with 7-day washout. Plasma theophylline concentrations were quantified by liquid chromatography-mass spectrometry. Bioavailability, maximum concentration, time to maximum concentration, half-life and area under the curve were: 97 ± 10%, 7.13 ± 0.71 μg/mL, 10.50 ± 2.07 h, 9.20 ± 2.87 h, and 141 ± 37.6 μg*h/mL, respectively. Steady-state predictions supported twice daily dosing of the OFT, but specific dosage recommendations are hindered by lack of a canine-specific therapeutic range for plasma theophylline concentration. These findings suggest that the OFT is well absorbed and can likely be dosed twice daily in dogs, but future pharmacodynamic and clinical studies are needed to establish a definitive therapeutic range for theophylline in this species.","container-title":"PLOS ONE","DOI":"10.1371/journal.pone.0262336","ISSN":"1932-6203","issue":"1","journalAbbreviation":"PLOS ONE","language":"en","page":"e0262336","publisher":"Public Library of Science","source":"PLoS Journals","title":"Pharmacokinetics of a 503B outsourcing facility-produced theophylline in dogs","volume":"17","author":[{"family":"Reinhart","given":"Jennifer M."},{"family":"Oliveira","given":"Gabriela A. R.","dropping-particle":"de"},{"family":"Forsythe","given":"Lauren"},{"family":"Li","given":"Zhong"}],"issued":{"date-parts":[["2022",1,6]]}}}],"schema":"https://github.com/citation-style-language/schema/raw/master/csl-citation.json"}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777C6">
              <w:rPr>
                <w:rFonts w:ascii="Aptos Narrow" w:hAnsi="Aptos Narrow" w:cs="Times New Roman"/>
                <w:kern w:val="0"/>
                <w:sz w:val="22"/>
                <w:vertAlign w:val="superscript"/>
              </w:rPr>
              <w:t>14</w:t>
            </w:r>
            <w:r>
              <w:rPr>
                <w:rFonts w:ascii="Aptos Narrow" w:eastAsia="Times New Roman" w:hAnsi="Aptos Narrow" w:cs="Times New Roman"/>
                <w:color w:val="000000"/>
                <w:kern w:val="0"/>
                <w:sz w:val="22"/>
                <w:szCs w:val="22"/>
                <w14:ligatures w14:val="none"/>
              </w:rPr>
              <w:fldChar w:fldCharType="end"/>
            </w:r>
          </w:p>
        </w:tc>
      </w:tr>
      <w:tr w:rsidR="00CA3A28" w:rsidRPr="00367563" w14:paraId="3578AE8F" w14:textId="77777777" w:rsidTr="00CA3A28">
        <w:trPr>
          <w:trHeight w:val="288"/>
        </w:trPr>
        <w:tc>
          <w:tcPr>
            <w:tcW w:w="2695" w:type="dxa"/>
            <w:noWrap/>
            <w:vAlign w:val="bottom"/>
            <w:hideMark/>
          </w:tcPr>
          <w:p w14:paraId="5AC32860"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Tramadol</w:t>
            </w:r>
          </w:p>
        </w:tc>
        <w:tc>
          <w:tcPr>
            <w:tcW w:w="1330" w:type="dxa"/>
            <w:noWrap/>
            <w:vAlign w:val="bottom"/>
            <w:hideMark/>
          </w:tcPr>
          <w:p w14:paraId="0BF0D43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52.4</w:t>
            </w:r>
          </w:p>
        </w:tc>
        <w:tc>
          <w:tcPr>
            <w:tcW w:w="960" w:type="dxa"/>
            <w:noWrap/>
            <w:vAlign w:val="bottom"/>
            <w:hideMark/>
          </w:tcPr>
          <w:p w14:paraId="310A7762" w14:textId="7BB467DB"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7992BAE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dog</w:t>
            </w:r>
          </w:p>
        </w:tc>
        <w:tc>
          <w:tcPr>
            <w:tcW w:w="1209" w:type="dxa"/>
            <w:noWrap/>
            <w:vAlign w:val="bottom"/>
            <w:hideMark/>
          </w:tcPr>
          <w:p w14:paraId="0D19E527" w14:textId="5B752049" w:rsidR="00CA3A28" w:rsidRPr="00367563" w:rsidRDefault="000777C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{"citationID":"i5692q4K","properties":{"unsorted":false,"formattedCitation":"\\super 15\\nosupersub{}","plainCitation":"15","noteIndex":0},"citationItems":[{"id":1329,"uris":["http://zotero.org/users/7234110/items/VLNWZSMM"],"itemData":{"id":1329,"type":"article-journal","abstract":"This study aimed to compare the pharmacokinetics of tramadol between young and middle-aged dogs. Tramadol (4\nmg/kg) was administered intravenously (IV) to young and middle-aged dogs (2 and 8–10 years, respectively).\nPlasma concentrations of tramadol were measured using high-performance liquid chromatography (HPLC), and its\npharmacokinetics best fit a two-compartment model. The volume of distribution\n(Vd), elimination half-life (t1/2,β) and total body\nclearance (CLtot) of the young group were 4.77 ± 1.07 l/kg, 1.91\n± 0.26 hr and 29.9 ± 7.3 ml/min/kg, respectively, while those of the middle-aged group were\n4.73 ± 1.43 l/kg, 2.39 ± 0.97 hr and 23.7 ± 5.4 ml/min/kg, respectively.\nIntergroup differences in the t1/2,β and CLtot were\nsignificant (P&lt;0.05). In conclusion, tramadol excretion was significantly prolonged in\nmiddle-aged dogs.","container-title":"The Journal of Veterinary Medical Science","DOI":"10.1292/jvms.15-0638","ISSN":"0916-7250","issue":"6","journalAbbreviation":"J Vet Med Sci","page":"1031-1034","PMID":"26875837","PMCID":"PMC4937138","source":"PubMed Central","title":"Comparison of pharmacokinetics of tramadol between young and middle-aged dogs","volume":"78","author":[{"family":"ITAMI","given":"Takaharu"},{"family":"SAITO","given":"Yasuo"},{"family":"ISHIZUKA","given":"Tomohito"},{"family":"TAMURA","given":"Jun"},{"family":"UMAR","given":"Mohammed A."},{"family":"INOUE","given":"Hiroki"},{"family":"MIYOSHI","given":"Kenjiro"},{"family":"YAMASHITA","given":"Kazuto"}],"issued":{"date-parts":[["2016",6]]}}}],"schema":"https://github.com/citation-style-language/schema/raw/master/csl-citation.json"}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777C6">
              <w:rPr>
                <w:rFonts w:ascii="Aptos Narrow" w:hAnsi="Aptos Narrow" w:cs="Times New Roman"/>
                <w:kern w:val="0"/>
                <w:sz w:val="22"/>
                <w:vertAlign w:val="superscript"/>
              </w:rPr>
              <w:t>15</w:t>
            </w:r>
            <w:r>
              <w:rPr>
                <w:rFonts w:ascii="Aptos Narrow" w:eastAsia="Times New Roman" w:hAnsi="Aptos Narrow" w:cs="Times New Roman"/>
                <w:color w:val="000000"/>
                <w:kern w:val="0"/>
                <w:sz w:val="22"/>
                <w:szCs w:val="22"/>
                <w14:ligatures w14:val="none"/>
              </w:rPr>
              <w:fldChar w:fldCharType="end"/>
            </w:r>
          </w:p>
        </w:tc>
      </w:tr>
      <w:tr w:rsidR="00CA3A28" w:rsidRPr="00367563" w14:paraId="09F22CE2" w14:textId="77777777" w:rsidTr="00CA3A28">
        <w:trPr>
          <w:trHeight w:val="288"/>
        </w:trPr>
        <w:tc>
          <w:tcPr>
            <w:tcW w:w="2695" w:type="dxa"/>
            <w:noWrap/>
            <w:vAlign w:val="bottom"/>
            <w:hideMark/>
          </w:tcPr>
          <w:p w14:paraId="71CD6FEC"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(R)-metoprolol</w:t>
            </w:r>
          </w:p>
        </w:tc>
        <w:tc>
          <w:tcPr>
            <w:tcW w:w="1330" w:type="dxa"/>
            <w:noWrap/>
            <w:vAlign w:val="bottom"/>
            <w:hideMark/>
          </w:tcPr>
          <w:p w14:paraId="714BB7F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100</w:t>
            </w:r>
          </w:p>
        </w:tc>
        <w:tc>
          <w:tcPr>
            <w:tcW w:w="960" w:type="dxa"/>
            <w:noWrap/>
            <w:vAlign w:val="bottom"/>
            <w:hideMark/>
          </w:tcPr>
          <w:p w14:paraId="00DDECC8"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5CD16AF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6901ED1C" w14:textId="414C490A" w:rsidR="00CA3A28" w:rsidRPr="00367563" w:rsidRDefault="00FD74E3"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{"citationID":"t3c5zApG","properties":{"unsorted":false,"formattedCitation":"\\super 16\\nosupersub{}","plainCitation":"16","noteIndex":0},"citationItems":[{"id":1280,"uris":["http://zotero.org/users/7234110/items/N2MPK34F"],"itemData":{"id":1280,"type":"article-journal","abstract":"Study Objective. To compare the effects of paroxetine on the pharmacokinetics and pharmacodynamics of the immediate-release (IR) and extended-release (ER) formulations of metoprolol. Design. Prospective, randomized, open-label, 3-way crossover study. Setting. General clinical research center. Subjects. Fifteen healthy volunteers with at least one active cytochrome P450 (CYP) CYP2D6 allele (CYP2D6*1 or CYP2D6*2). Intervention. In each of three phases conducted in random sequence, subjects received one of three metoprolol formulations administered on day 1: a single dose of metoprolol ER 100 mg, a single dose of metoprolol ER 200 mg, or two 100-mg doses of metoprolol IR administered 12 hours apart. Oral paroxetine 20 mg/day was then given alone on days 2–7 and coadministered with the same metoprolol formulation on day 8. Subjects received each of the other two formulations during the next two phases, with a 14-day washout period between each phase. Measurements and Main Results. After receiving metoprolol on days 1 (before paroxetine) and 8 (after paroxetine), S- and R-metoprolol pharmacokinetic parameters and exercise heart rate and blood pressure responses were measured. The mean area under the plasma concentration-time curve values of both S- and R-metoprolol for each formulation were increased approximately 3- and 4-fold, respectively, by paroxetine. Paroxetine significantly increased the S- and R-metoprolol maximum concentration (Cmax) of each formulation and increased the elimination half-life of both isomers approximately 2-fold. When metoprolol IR was given with paroxetine, the S-metoprolol Cmax was significantly greater than that of either the 100-mg or 200-mg ER products. The maximum effect of metoprolol IR on heart rate was significantly greater than that of metoprolol ER 200 mg, independent of whether the agents were administered alone or with paroxetine. Both the heart rate and systolic blood pressure area under the effect-time curve values were significantly decreased by paroxetine. Conclusion. Paroxetine significantly inhibits the metabolism of both metoprolol IR and ER, resulting in an increase in the magnitude and duration of β-blockade. The potential risk of adverse effects from excessive β-blockade may be greater with metoprolol IR than with metoprolol ER because of the significantly higher peak S-metoprolol plasma concentrations achieved with the IR formulation. Thus, if paroxetine treatment is indicated in patients receiving metoprolol, use of the ER formulation may reduce the risk of adverse effects.","container-title":"Pharmacotherapy: The Journal of Human Pharmacology and Drug Therapy","DOI":"10.1592/phco.31.7.630","ISSN":"1875-9114","issue":"7","language":"en","license":"2011 Pharmacotherapy Publications Inc.","note":"_eprint: https://accpjournals.onlinelibrary.wiley.com/doi/pdf/10.1592/phco.31.7.630","page":"630-641","source":"Wiley Online Library","title":"Effects of Paroxetine on the Pharmacokinetics and Pharmacodynamics of Immediate-Release and Extended-Release Metoprolol","volume":"31","author":[{"family":"Parker","given":"Robert B."},{"family":"Soberman","given":"Judith E."}],"issued":{"date-parts":[["2011"]]}}}],"schema":"https://github.com/citation-style-language/schema/raw/master/csl-citation.json"}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16</w:t>
            </w:r>
            <w:r>
              <w:rPr>
                <w:rFonts w:ascii="Aptos Narrow" w:eastAsia="Times New Roman" w:hAnsi="Aptos Narrow" w:cs="Times New Roman"/>
                <w:color w:val="000000"/>
                <w:kern w:val="0"/>
                <w:sz w:val="22"/>
                <w:szCs w:val="22"/>
                <w14:ligatures w14:val="none"/>
              </w:rPr>
              <w:fldChar w:fldCharType="end"/>
            </w:r>
          </w:p>
        </w:tc>
      </w:tr>
      <w:tr w:rsidR="00CA3A28" w:rsidRPr="00367563" w14:paraId="7C9CE5C1" w14:textId="77777777" w:rsidTr="00CA3A28">
        <w:trPr>
          <w:trHeight w:val="288"/>
        </w:trPr>
        <w:tc>
          <w:tcPr>
            <w:tcW w:w="2695" w:type="dxa"/>
            <w:noWrap/>
            <w:vAlign w:val="bottom"/>
            <w:hideMark/>
          </w:tcPr>
          <w:p w14:paraId="2AB0882F"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(S)-metoprolol</w:t>
            </w:r>
          </w:p>
        </w:tc>
        <w:tc>
          <w:tcPr>
            <w:tcW w:w="1330" w:type="dxa"/>
            <w:noWrap/>
            <w:vAlign w:val="bottom"/>
            <w:hideMark/>
          </w:tcPr>
          <w:p w14:paraId="516541C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100</w:t>
            </w:r>
          </w:p>
        </w:tc>
        <w:tc>
          <w:tcPr>
            <w:tcW w:w="960" w:type="dxa"/>
            <w:noWrap/>
            <w:vAlign w:val="bottom"/>
            <w:hideMark/>
          </w:tcPr>
          <w:p w14:paraId="349831F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4DC110E4"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02B1DDF6" w14:textId="093CF32A" w:rsidR="00CA3A28" w:rsidRPr="00367563" w:rsidRDefault="00FD74E3"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{"citationID":"BpnTjZjn","properties":{"unsorted":false,"formattedCitation":"\\super 16\\nosupersub{}","plainCitation":"16","noteIndex":0},"citationItems":[{"id":1280,"uris":["http://zotero.org/users/7234110/items/N2MPK34F"],"itemData":{"id":1280,"type":"article-journal","abstract":"Study Objective. To compare the effects of paroxetine on the pharmacokinetics and pharmacodynamics of the immediate-release (IR) and extended-release (ER) formulations of metoprolol. Design. Prospective, randomized, open-label, 3-way crossover study. Setting. General clinical research center. Subjects. Fifteen healthy volunteers with at least one active cytochrome P450 (CYP) CYP2D6 allele (CYP2D6*1 or CYP2D6*2). Intervention. In each of three phases conducted in random sequence, subjects received one of three metoprolol formulations administered on day 1: a single dose of metoprolol ER 100 mg, a single dose of metoprolol ER 200 mg, or two 100-mg doses of metoprolol IR administered 12 hours apart. Oral paroxetine 20 mg/day was then given alone on days 2–7 and coadministered with the same metoprolol formulation on day 8. Subjects received each of the other two formulations during the next two phases, with a 14-day washout period between each phase. Measurements and Main Results. After receiving metoprolol on days 1 (before paroxetine) and 8 (after paroxetine), S- and R-metoprolol pharmacokinetic parameters and exercise heart rate and blood pressure responses were measured. The mean area under the plasma concentration-time curve values of both S- and R-metoprolol for each formulation were increased approximately 3- and 4-fold, respectively, by paroxetine. Paroxetine significantly increased the S- and R-metoprolol maximum concentration (Cmax) of each formulation and increased the elimination half-life of both isomers approximately 2-fold. When metoprolol IR was given with paroxetine, the S-metoprolol Cmax was significantly greater than that of either the 100-mg or 200-mg ER products. The maximum effect of metoprolol IR on heart rate was significantly greater than that of metoprolol ER 200 mg, independent of whether the agents were administered alone or with paroxetine. Both the heart rate and systolic blood pressure area under the effect-time curve values were significantly decreased by paroxetine. Conclusion. Paroxetine significantly inhibits the metabolism of both metoprolol IR and ER, resulting in an increase in the magnitude and duration of β-blockade. The potential risk of adverse effects from excessive β-blockade may be greater with metoprolol IR than with metoprolol ER because of the significantly higher peak S-metoprolol plasma concentrations achieved with the IR formulation. Thus, if paroxetine treatment is indicated in patients receiving metoprolol, use of the ER formulation may reduce the risk of adverse effects.","container-title":"Pharmacotherapy: The Journal of Human Pharmacology and Drug Therapy","DOI":"10.1592/phco.31.7.630","ISSN":"1875-9114","issue":"7","language":"en","license":"2011 Pharmacotherapy Publications Inc.","note":"_eprint: https://accpjournals.onlinelibrary.wiley.com/doi/pdf/10.1592/phco.31.7.630","page":"630-641","source":"Wiley Online Library","title":"Effects of Paroxetine on the Pharmacokinetics and Pharmacodynamics of Immediate-Release and Extended-Release Metoprolol","volume":"31","author":[{"family":"Parker","given":"Robert B."},{"family":"Soberman","given":"Judith E."}],"issued":{"date-parts":[["2011"]]}}}],"schema":"https://github.com/citation-style-language/schema/raw/master/csl-citation.json"}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16</w:t>
            </w:r>
            <w:r>
              <w:rPr>
                <w:rFonts w:ascii="Aptos Narrow" w:eastAsia="Times New Roman" w:hAnsi="Aptos Narrow" w:cs="Times New Roman"/>
                <w:color w:val="000000"/>
                <w:kern w:val="0"/>
                <w:sz w:val="22"/>
                <w:szCs w:val="22"/>
                <w14:ligatures w14:val="none"/>
              </w:rPr>
              <w:fldChar w:fldCharType="end"/>
            </w:r>
          </w:p>
        </w:tc>
      </w:tr>
      <w:tr w:rsidR="00CA3A28" w:rsidRPr="00367563" w14:paraId="7A216D2D" w14:textId="77777777" w:rsidTr="00CA3A28">
        <w:trPr>
          <w:trHeight w:val="288"/>
        </w:trPr>
        <w:tc>
          <w:tcPr>
            <w:tcW w:w="2695" w:type="dxa"/>
            <w:noWrap/>
            <w:vAlign w:val="bottom"/>
            <w:hideMark/>
          </w:tcPr>
          <w:p w14:paraId="2A271095" w14:textId="54CA29E9"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Alfentanil</w:t>
            </w:r>
          </w:p>
        </w:tc>
        <w:tc>
          <w:tcPr>
            <w:tcW w:w="1330" w:type="dxa"/>
            <w:noWrap/>
            <w:vAlign w:val="bottom"/>
            <w:hideMark/>
          </w:tcPr>
          <w:p w14:paraId="37B3EB1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1.702</w:t>
            </w:r>
          </w:p>
        </w:tc>
        <w:tc>
          <w:tcPr>
            <w:tcW w:w="960" w:type="dxa"/>
            <w:noWrap/>
            <w:vAlign w:val="bottom"/>
            <w:hideMark/>
          </w:tcPr>
          <w:p w14:paraId="0C4E855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3B5ED025"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3F63FE59" w14:textId="33D50794" w:rsidR="00CA3A28" w:rsidRPr="00367563" w:rsidRDefault="002141CB"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{"citationID":"vP86I0ui","properties":{"unsorted":false,"formattedCitation":"\\super 17,18\\nosupersub{}","plainCitation":"17,18","noteIndex":0},"citationItems":[{"id":1318,"uris":["http://zotero.org/users/7234110/items/EGNQIA8N"],"itemData":{"id":1318,"type":"article-journal","abstract":"Efavirenz diminishes methadone plasma concentrations, an effect attributed to CYP3A induction, but actual mechanisms are unknown. This investigation determined the effects of two weeks of efavirenz (600 mg daily) on hepatic and intestinal CYP3A4/5 (probed with intravenous and oral alfentanil), hepatic CYP2B6 (oral efavirenz hydroxylation) and intestinal transporter (oral fexofenadine) activities, and on methadone pharmacokinetics and pharmacodynamics in healthy volunteers. It also assessed efavirenz effects on CYP expression and activity in human hepatocytes. Efavirenz significantly induced systemic and oral alfentanil clearance 2- to 5-fold, increased alfentanil hepatic and intestinal extraction ratios, and significantly induced apparent 8-hydroxyefavirenz formation clearance. Efavirenz also moderately decreased fexofenadine plasma concentrations, suggesting decreased intestinal uptake and/or increased P-glycoprotein-mediated efflux. Efavirenz induced CYP2B6 and CYP3A4 expression, activity, and methadone metabolism in human hepatocytes. Efavirenz coinduces hepatic CYP2B6 and CYP3A4/5 activities, coinduces hepatic and intestinal CYP3A4/5, and coinduces gastrointestinal CYP3A and xenobiotic efflux transporters.","container-title":"Clinical pharmacology and therapeutics","DOI":"10.1038/clpt.2011.276","ISSN":"0009-9236","issue":"4","journalAbbreviation":"Clin Pharmacol Ther","page":"673-684","PMID":"22398970","PMCID":"PMC3600645","source":"PubMed Central","title":"Mechanism of efavirenz influence on methadone pharmacokinetics and pharmacodynamics II: Hepatic and intestinal CYP2B6, CYP3A and transporter activities","title-short":"Mechanism of efavirenz influence on methadone pharmacokinetics and pharmacodynamics II","volume":"91","author":[{"family":"Kharasch","given":"Evan D."},{"family":"Campbell","given":"Scott"},{"family":"Stubbert","given":"Kristi"},{"family":"Crafford","given":"Amanda"},{"family":"London","given":"Amy"},{"family":"Kim","given":"Thomas"},{"family":"Whittington","given":"Dale"},{"family":"Ensign","given":"Dustin"},{"family":"Hoffer","given":"Christine"},{"family":"Bedynek","given":"Pamela Sheffels"}],"issued":{"date-parts":[["2012",4]]}}},{"id":1316,"uris":["http://zotero.org/users/7234110/items/5FEXRPZV"],"itemData":{"id":1316,"type":"article-journal","abstract":"Systemic and oral clearances of alfentanil are in vivo probes for hepatic and first-pass CYP3A. Both alfentanil single point plasma concentrations and miosis are surrogates for area under the concentration-time curve (AUC), clearance, and are minimal and non-invasive CYP3A probes. This investigation determined alfentanil sensitivity for detecting graded CYP3A induction, and compared it with that of midazolam Twelve volunteers (sequential crossover) received 0, 5, 10, 25 or 75 mg oral rifampin for 5d. Midazolam and alfentanil were given intravenously and orally on sequential days. Dark-adapted pupil diameters were measured with blood sampling. Graded rifampin decreased plasma midazolam AUCs to 83, 76, 62 and 59% (intravenous) and 78, 66, 39, and 24% (oral) of control. Hepatic and first-pass CYP3A induction were detected comparably by plasma midazolam and alfentanil AUCs. Single alfentanil concentrations detected all CYP3A induction, while midazolam was less sensitive. Alfentanil miosis detected induction of first-pass but not hepatic CYP3A.","container-title":"Clinical pharmacology and therapeutics","DOI":"10.1038/clpt.2011.59","ISSN":"0009-9236","issue":"1","journalAbbreviation":"Clin Pharmacol Ther","page":"100-108","PMID":"21562488","PMCID":"PMC3560934","source":"PubMed Central","title":"Sensitivity of intravenous and oral alfentanil and pupillary miosis as minimal and noninvasive probes for hepatic and first-pass CYP3A induction","volume":"90","author":[{"family":"Kharasch","given":"Evan D."},{"family":"Francis","given":"Amber"},{"family":"London","given":"Amy"},{"family":"Frey","given":"Karen"},{"family":"Kim","given":"Thomas"},{"family":"Blood","given":"Jane"}],"issued":{"date-parts":[["2011",7]]}}}],"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17,18</w:t>
            </w:r>
            <w:r>
              <w:rPr>
                <w:rFonts w:ascii="Aptos Narrow" w:eastAsia="Times New Roman" w:hAnsi="Aptos Narrow" w:cs="Times New Roman"/>
                <w:color w:val="000000"/>
                <w:kern w:val="0"/>
                <w:sz w:val="22"/>
                <w:szCs w:val="22"/>
                <w14:ligatures w14:val="none"/>
              </w:rPr>
              <w:fldChar w:fldCharType="end"/>
            </w:r>
          </w:p>
        </w:tc>
      </w:tr>
      <w:tr w:rsidR="00CA3A28" w:rsidRPr="00367563" w14:paraId="1CCB3EF3" w14:textId="77777777" w:rsidTr="00CA3A28">
        <w:trPr>
          <w:trHeight w:val="288"/>
        </w:trPr>
        <w:tc>
          <w:tcPr>
            <w:tcW w:w="2695" w:type="dxa"/>
            <w:noWrap/>
            <w:vAlign w:val="bottom"/>
            <w:hideMark/>
          </w:tcPr>
          <w:p w14:paraId="6F66572C" w14:textId="7E287400"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Alfentanil</w:t>
            </w:r>
          </w:p>
        </w:tc>
        <w:tc>
          <w:tcPr>
            <w:tcW w:w="1330" w:type="dxa"/>
            <w:noWrap/>
            <w:vAlign w:val="bottom"/>
            <w:hideMark/>
          </w:tcPr>
          <w:p w14:paraId="442B2EB1"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4.44</w:t>
            </w:r>
          </w:p>
        </w:tc>
        <w:tc>
          <w:tcPr>
            <w:tcW w:w="960" w:type="dxa"/>
            <w:noWrap/>
            <w:vAlign w:val="bottom"/>
            <w:hideMark/>
          </w:tcPr>
          <w:p w14:paraId="47AB11F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08DC3BFF"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03F65944" w14:textId="7B49B7AD" w:rsidR="00CA3A28" w:rsidRPr="00367563" w:rsidRDefault="002141CB"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{"citationID":"q7bw3dMH","properties":{"unsorted":false,"formattedCitation":"\\super 17,18\\nosupersub{}","plainCitation":"17,18","noteIndex":0},"citationItems":[{"id":1318,"uris":["http://zotero.org/users/7234110/items/EGNQIA8N"],"itemData":{"id":1318,"type":"article-journal","abstract":"Efavirenz diminishes methadone plasma concentrations, an effect attributed to CYP3A induction, but actual mechanisms are unknown. This investigation determined the effects of two weeks of efavirenz (600 mg daily) on hepatic and intestinal CYP3A4/5 (probed with intravenous and oral alfentanil), hepatic CYP2B6 (oral efavirenz hydroxylation) and intestinal transporter (oral fexofenadine) activities, and on methadone pharmacokinetics and pharmacodynamics in healthy volunteers. It also assessed efavirenz effects on CYP expression and activity in human hepatocytes. Efavirenz significantly induced systemic and oral alfentanil clearance 2- to 5-fold, increased alfentanil hepatic and intestinal extraction ratios, and significantly induced apparent 8-hydroxyefavirenz formation clearance. Efavirenz also moderately decreased fexofenadine plasma concentrations, suggesting decreased intestinal uptake and/or increased P-glycoprotein-mediated efflux. Efavirenz induced CYP2B6 and CYP3A4 expression, activity, and methadone metabolism in human hepatocytes. Efavirenz coinduces hepatic CYP2B6 and CYP3A4/5 activities, coinduces hepatic and intestinal CYP3A4/5, and coinduces gastrointestinal CYP3A and xenobiotic efflux transporters.","container-title":"Clinical pharmacology and therapeutics","DOI":"10.1038/clpt.2011.276","ISSN":"0009-9236","issue":"4","journalAbbreviation":"Clin Pharmacol Ther","page":"673-684","PMID":"22398970","PMCID":"PMC3600645","source":"PubMed Central","title":"Mechanism of efavirenz influence on methadone pharmacokinetics and pharmacodynamics II: Hepatic and intestinal CYP2B6, CYP3A and transporter activities","title-short":"Mechanism of efavirenz influence on methadone pharmacokinetics and pharmacodynamics II","volume":"91","author":[{"family":"Kharasch","given":"Evan D."},{"family":"Campbell","given":"Scott"},{"family":"Stubbert","given":"Kristi"},{"family":"Crafford","given":"Amanda"},{"family":"London","given":"Amy"},{"family":"Kim","given":"Thomas"},{"family":"Whittington","given":"Dale"},{"family":"Ensign","given":"Dustin"},{"family":"Hoffer","given":"Christine"},{"family":"Bedynek","given":"Pamela Sheffels"}],"issued":{"date-parts":[["2012",4]]}}},{"id":1316,"uris":["http://zotero.org/users/7234110/items/5FEXRPZV"],"itemData":{"id":1316,"type":"article-journal","abstract":"Systemic and oral clearances of alfentanil are in vivo probes for hepatic and first-pass CYP3A. Both alfentanil single point plasma concentrations and miosis are surrogates for area under the concentration-time curve (AUC), clearance, and are minimal and non-invasive CYP3A probes. This investigation determined alfentanil sensitivity for detecting graded CYP3A induction, and compared it with that of midazolam Twelve volunteers (sequential crossover) received 0, 5, 10, 25 or 75 mg oral rifampin for 5d. Midazolam and alfentanil were given intravenously and orally on sequential days. Dark-adapted pupil diameters were measured with blood sampling. Graded rifampin decreased plasma midazolam AUCs to 83, 76, 62 and 59% (intravenous) and 78, 66, 39, and 24% (oral) of control. Hepatic and first-pass CYP3A induction were detected comparably by plasma midazolam and alfentanil AUCs. Single alfentanil concentrations detected all CYP3A induction, while midazolam was less sensitive. Alfentanil miosis detected induction of first-pass but not hepatic CYP3A.","container-title":"Clinical pharmacology and therapeutics","DOI":"10.1038/clpt.2011.59","ISSN":"0009-9236","issue":"1","journalAbbreviation":"Clin Pharmacol Ther","page":"100-108","PMID":"21562488","PMCID":"PMC3560934","source":"PubMed Central","title":"Sensitivity of intravenous and oral alfentanil and pupillary miosis as minimal and noninvasive probes for hepatic and first-pass CYP3A induction","volume":"90","author":[{"family":"Kharasch","given":"Evan D."},{"family":"Francis","given":"Amber"},{"family":"London","given":"Amy"},{"family":"Frey","given":"Karen"},{"family":"Kim","given":"Thomas"},{"family":"Blood","given":"Jane"}],"issued":{"date-parts":[["2011",7]]}}}],"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17,18</w:t>
            </w:r>
            <w:r>
              <w:rPr>
                <w:rFonts w:ascii="Aptos Narrow" w:eastAsia="Times New Roman" w:hAnsi="Aptos Narrow" w:cs="Times New Roman"/>
                <w:color w:val="000000"/>
                <w:kern w:val="0"/>
                <w:sz w:val="22"/>
                <w:szCs w:val="22"/>
                <w14:ligatures w14:val="none"/>
              </w:rPr>
              <w:fldChar w:fldCharType="end"/>
            </w:r>
          </w:p>
        </w:tc>
      </w:tr>
      <w:tr w:rsidR="00CA3A28" w:rsidRPr="00367563" w14:paraId="7C44C9B4" w14:textId="77777777" w:rsidTr="00CA3A28">
        <w:trPr>
          <w:trHeight w:val="288"/>
        </w:trPr>
        <w:tc>
          <w:tcPr>
            <w:tcW w:w="2695" w:type="dxa"/>
            <w:noWrap/>
            <w:vAlign w:val="bottom"/>
            <w:hideMark/>
          </w:tcPr>
          <w:p w14:paraId="3C3AC16D" w14:textId="41940D34"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Alfentanil</w:t>
            </w:r>
          </w:p>
        </w:tc>
        <w:tc>
          <w:tcPr>
            <w:tcW w:w="1330" w:type="dxa"/>
            <w:noWrap/>
            <w:vAlign w:val="bottom"/>
            <w:hideMark/>
          </w:tcPr>
          <w:p w14:paraId="351B419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1.11</w:t>
            </w:r>
          </w:p>
        </w:tc>
        <w:tc>
          <w:tcPr>
            <w:tcW w:w="960" w:type="dxa"/>
            <w:noWrap/>
            <w:vAlign w:val="bottom"/>
            <w:hideMark/>
          </w:tcPr>
          <w:p w14:paraId="71AF691C" w14:textId="715C9865"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716046A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1583CC64" w14:textId="58DF6B77" w:rsidR="00CA3A28" w:rsidRPr="00367563" w:rsidRDefault="002141CB"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{"citationID":"55Z5WlI0","properties":{"unsorted":false,"formattedCitation":"\\super 17,18\\nosupersub{}","plainCitation":"17,18","noteIndex":0},"citationItems":[{"id":1318,"uris":["http://zotero.org/users/7234110/items/EGNQIA8N"],"itemData":{"id":1318,"type":"article-journal","abstract":"Efavirenz diminishes methadone plasma concentrations, an effect attributed to CYP3A induction, but actual mechanisms are unknown. This investigation determined the effects of two weeks of efavirenz (600 mg daily) on hepatic and intestinal CYP3A4/5 (probed with intravenous and oral alfentanil), hepatic CYP2B6 (oral efavirenz hydroxylation) and intestinal transporter (oral fexofenadine) activities, and on methadone pharmacokinetics and pharmacodynamics in healthy volunteers. It also assessed efavirenz effects on CYP expression and activity in human hepatocytes. Efavirenz significantly induced systemic and oral alfentanil clearance 2- to 5-fold, increased alfentanil hepatic and intestinal extraction ratios, and significantly induced apparent 8-hydroxyefavirenz formation clearance. Efavirenz also moderately decreased fexofenadine plasma concentrations, suggesting decreased intestinal uptake and/or increased P-glycoprotein-mediated efflux. Efavirenz induced CYP2B6 and CYP3A4 expression, activity, and methadone metabolism in human hepatocytes. Efavirenz coinduces hepatic CYP2B6 and CYP3A4/5 activities, coinduces hepatic and intestinal CYP3A4/5, and coinduces gastrointestinal CYP3A and xenobiotic efflux transporters.","container-title":"Clinical pharmacology and therapeutics","DOI":"10.1038/clpt.2011.276","ISSN":"0009-9236","issue":"4","journalAbbreviation":"Clin Pharmacol Ther","page":"673-684","PMID":"22398970","PMCID":"PMC3600645","source":"PubMed Central","title":"Mechanism of efavirenz influence on methadone pharmacokinetics and pharmacodynamics II: Hepatic and intestinal CYP2B6, CYP3A and transporter activities","title-short":"Mechanism of efavirenz influence on methadone pharmacokinetics and pharmacodynamics II","volume":"91","author":[{"family":"Kharasch","given":"Evan D."},{"family":"Campbell","given":"Scott"},{"family":"Stubbert","given":"Kristi"},{"family":"Crafford","given":"Amanda"},{"family":"London","given":"Amy"},{"family":"Kim","given":"Thomas"},{"family":"Whittington","given":"Dale"},{"family":"Ensign","given":"Dustin"},{"family":"Hoffer","given":"Christine"},{"family":"Bedynek","given":"Pamela Sheffels"}],"issued":{"date-parts":[["2012",4]]}}},{"id":1316,"uris":["http://zotero.org/users/7234110/items/5FEXRPZV"],"itemData":{"id":1316,"type":"article-journal","abstract":"Systemic and oral clearances of alfentanil are in vivo probes for hepatic and first-pass CYP3A. Both alfentanil single point plasma concentrations and miosis are surrogates for area under the concentration-time curve (AUC), clearance, and are minimal and non-invasive CYP3A probes. This investigation determined alfentanil sensitivity for detecting graded CYP3A induction, and compared it with that of midazolam Twelve volunteers (sequential crossover) received 0, 5, 10, 25 or 75 mg oral rifampin for 5d. Midazolam and alfentanil were given intravenously and orally on sequential days. Dark-adapted pupil diameters were measured with blood sampling. Graded rifampin decreased plasma midazolam AUCs to 83, 76, 62 and 59% (intravenous) and 78, 66, 39, and 24% (oral) of control. Hepatic and first-pass CYP3A induction were detected comparably by plasma midazolam and alfentanil AUCs. Single alfentanil concentrations detected all CYP3A induction, while midazolam was less sensitive. Alfentanil miosis detected induction of first-pass but not hepatic CYP3A.","container-title":"Clinical pharmacology and therapeutics","DOI":"10.1038/clpt.2011.59","ISSN":"0009-9236","issue":"1","journalAbbreviation":"Clin Pharmacol Ther","page":"100-108","PMID":"21562488","PMCID":"PMC3560934","source":"PubMed Central","title":"Sensitivity of intravenous and oral alfentanil and pupillary miosis as minimal and noninvasive probes for hepatic and first-pass CYP3A induction","volume":"90","author":[{"family":"Kharasch","given":"Evan D."},{"family":"Francis","given":"Amber"},{"family":"London","given":"Amy"},{"family":"Frey","given":"Karen"},{"family":"Kim","given":"Thomas"},{"family":"Blood","given":"Jane"}],"issued":{"date-parts":[["2011",7]]}}}],"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17,18</w:t>
            </w:r>
            <w:r>
              <w:rPr>
                <w:rFonts w:ascii="Aptos Narrow" w:eastAsia="Times New Roman" w:hAnsi="Aptos Narrow" w:cs="Times New Roman"/>
                <w:color w:val="000000"/>
                <w:kern w:val="0"/>
                <w:sz w:val="22"/>
                <w:szCs w:val="22"/>
                <w14:ligatures w14:val="none"/>
              </w:rPr>
              <w:fldChar w:fldCharType="end"/>
            </w:r>
          </w:p>
        </w:tc>
      </w:tr>
      <w:tr w:rsidR="00CA3A28" w:rsidRPr="00367563" w14:paraId="587149FA" w14:textId="77777777" w:rsidTr="00CA3A28">
        <w:trPr>
          <w:trHeight w:val="288"/>
        </w:trPr>
        <w:tc>
          <w:tcPr>
            <w:tcW w:w="2695" w:type="dxa"/>
            <w:noWrap/>
            <w:vAlign w:val="bottom"/>
            <w:hideMark/>
          </w:tcPr>
          <w:p w14:paraId="75FAF320" w14:textId="464ADB03"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Amoxicillin</w:t>
            </w:r>
          </w:p>
        </w:tc>
        <w:tc>
          <w:tcPr>
            <w:tcW w:w="1330" w:type="dxa"/>
            <w:noWrap/>
            <w:vAlign w:val="bottom"/>
            <w:hideMark/>
          </w:tcPr>
          <w:p w14:paraId="374E12D4"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1000</w:t>
            </w:r>
          </w:p>
        </w:tc>
        <w:tc>
          <w:tcPr>
            <w:tcW w:w="960" w:type="dxa"/>
            <w:noWrap/>
            <w:vAlign w:val="bottom"/>
            <w:hideMark/>
          </w:tcPr>
          <w:p w14:paraId="493520C3" w14:textId="657ECA75"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1636B93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4C6BA3A2" w14:textId="787EAAA1" w:rsidR="00CA3A28" w:rsidRPr="00367563" w:rsidRDefault="00FD74E3"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{"citationID":"kDdt5o70","properties":{"unsorted":false,"formattedCitation":"\\super 19\\nosupersub{}","plainCitation":"19","noteIndex":0},"citationItems":[{"id":1283,"uris":["http://zotero.org/users/7234110/items/62PQFXPZ"],"itemData":{"id":1283,"type":"article-journal","abstract":"The aim of this study was to determine whether concentration-dependent renal clearance of ampicillin and amoxycillin occurs. The drugs were given as single 20 min i.v. infusions in doses ranging from 1.9 to 2.8 g to nine healthy volunteers using a cross-over design. Plasma and urinary concentrations were determined by a selective liquid chromatographic method using frequent sampling up to 10 and 30 h respectively after termination of the infusion. The renal clearance of the drugs was independent of the plasma concentration. The mean (s.d.) renal clearances of ampicillin and amoxycillin were 167 (24) and 157 (20) ml min-1 1.73 m-2 respectively. The net secretion was about 50% of the total renal clearance of both drugs. The plasma concentration and urinary excretion rate versus time curves indicated a polyexponential decline, which could be described by both a biexponential and a triexponential equation. The former proved to be more reliable, especially in the calculation of micro rate constants. There was a tendency to more sustained plasma concentrations after amoxycillin, also illustrated by a significantly lower mean (s.d.) plasma clearance of this drug, viz. 185 (30) ml min-1 1.73 m-2, as compared to ampicillin, 210 (24) ml min-1 1.73 m-2 (P less than 0.04). There were no major differences in the disposition rate constants and the distribution volumes of ampicillin and amoxycillin. The mean (s.d.) plasma half-life was 1.7 (0.3) h for both drugs. The urinary excretion rate indicated a slower terminal disposition rate however, with ampicillin and amoxycillin half-lives of 3.4 (2.0) and 3.9 (1.2) h respectively. The longer half-life in the terminal phase may be due to increased tubular reabsorption at low urinary concentrations. It was not possible to determine in this study whether the half-life was affected by changes in clearance or volume of distribution. The urinary solubility of the drugs was dependent on pH. This could explain the massive macroscopic crystalluria seen in one subject after amoxycillin. Three hours after termination of the infusion, crystals could no longer be found in the sediment. There was no clinical or laboratory evidence of renal damage.","container-title":"British Journal of Clinical Pharmacology","DOI":"10.1111/j.1365-2125.1985.tb02631.x","ISSN":"0306-5251","issue":"2","journalAbbreviation":"Br J Clin Pharmacol","page":"191-201","PMID":"3986077","PMCID":"PMC1463707","source":"PubMed Central","title":"Renal excretion of intravenously infused amoxycillin and ampicillin.","volume":"19","author":[{"family":"Sjövall","given":"J"},{"family":"Westerlund","given":"D"},{"family":"Alván","given":"G"}],"issued":{"date-parts":[["1985",2]]}}}],"schema":"https://github.com/citation-style-language/schema/raw/master/csl-citation.json"}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19</w:t>
            </w:r>
            <w:r>
              <w:rPr>
                <w:rFonts w:ascii="Aptos Narrow" w:eastAsia="Times New Roman" w:hAnsi="Aptos Narrow" w:cs="Times New Roman"/>
                <w:color w:val="000000"/>
                <w:kern w:val="0"/>
                <w:sz w:val="22"/>
                <w:szCs w:val="22"/>
                <w14:ligatures w14:val="none"/>
              </w:rPr>
              <w:fldChar w:fldCharType="end"/>
            </w:r>
          </w:p>
        </w:tc>
      </w:tr>
      <w:tr w:rsidR="00CA3A28" w:rsidRPr="00367563" w14:paraId="08B68491" w14:textId="77777777" w:rsidTr="00CA3A28">
        <w:trPr>
          <w:trHeight w:val="288"/>
        </w:trPr>
        <w:tc>
          <w:tcPr>
            <w:tcW w:w="2695" w:type="dxa"/>
            <w:noWrap/>
            <w:vAlign w:val="bottom"/>
            <w:hideMark/>
          </w:tcPr>
          <w:p w14:paraId="0D2FEAA5" w14:textId="1A8F01BE"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Bupropion</w:t>
            </w:r>
          </w:p>
        </w:tc>
        <w:tc>
          <w:tcPr>
            <w:tcW w:w="1330" w:type="dxa"/>
            <w:noWrap/>
            <w:vAlign w:val="bottom"/>
            <w:hideMark/>
          </w:tcPr>
          <w:p w14:paraId="024961D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100</w:t>
            </w:r>
          </w:p>
        </w:tc>
        <w:tc>
          <w:tcPr>
            <w:tcW w:w="960" w:type="dxa"/>
            <w:noWrap/>
            <w:vAlign w:val="bottom"/>
            <w:hideMark/>
          </w:tcPr>
          <w:p w14:paraId="543BE4F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18CB28AE"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44E462FE" w14:textId="7E36FEBA" w:rsidR="00CA3A28" w:rsidRPr="00367563" w:rsidRDefault="00B9660C"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{"citationID":"qUU20IEi","properties":{"unsorted":false,"formattedCitation":"\\super 20\\nosupersub{}","plainCitation":"20","noteIndex":0},"citationItems":[{"id":1320,"uris":["http://zotero.org/users/7234110/items/Z4K7MIZF"],"itemData":{"id":1320,"type":"article-journal","abstract":"The pharmacokinetics of bupropion hydrochloride, a structurally novel antidepressant agent, have been studied in healthy male and female subjects following administration of single oral doses of 50, 100 and 200 mg. Plasma drug concentrations were determined directly by a specific radioimmunoassay (r.i.a.), while urinary measurements required a prior solvent extraction to remove substances interfering in the assay. Bupropion appeared rapidly in the plasma, suggesting good absorption. Drug plasma concentration-time data were fitted well to a two-compartment open model of drug disposition by use of the computer program NONLIN. By comparison of AUC, Cmax and tmax values, the pharmacokinetics of bupropion were found to be linear across the 50-200 mg dose range in both sexes. When the data were normalized for subjects' body weights, no differences between pharmacokinetic parameters for male and female subjects were found. Mean disposition half-lives across treatments were 1.2-1.4 h for t1/2 alpha and 10.7-13.8 h for the t1/2 beta. Bupropion was extensively bound (85%) to human plasma proteins over a wide drug concentration range. Less than 1% of a 200 mg oral dose of bupropion hydrochloride appeared in the urine of 16 subjects as unchanged drug, indicating extensive metabolism of the parent compound.","container-title":"European Journal of Clinical Pharmacology","DOI":"10.1007/BF00637513","ISSN":"0031-6970","issue":"2","journalAbbreviation":"Eur J Clin Pharmacol","language":"eng","page":"127-135","PMID":"6804243","source":"PubMed","title":"Pharmacokinetics of bupropion, a novel antidepressant agent, following oral administration to healthy subjects","volume":"21","author":[{"family":"Findlay","given":"J. W."},{"family":"Van Wyck Fleet","given":"J."},{"family":"Smith","given":"P. G."},{"family":"Butz","given":"R. F."},{"family":"Hinton","given":"M. L."},{"family":"Blum","given":"M. R."},{"family":"Schroeder","given":"D. H."}],"issued":{"date-parts":[["1981"]]}}}],"schema":"https://github.com/citation-style-language/schema/raw/master/csl-citation.json"}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20</w:t>
            </w:r>
            <w:r>
              <w:rPr>
                <w:rFonts w:ascii="Aptos Narrow" w:eastAsia="Times New Roman" w:hAnsi="Aptos Narrow" w:cs="Times New Roman"/>
                <w:color w:val="000000"/>
                <w:kern w:val="0"/>
                <w:sz w:val="22"/>
                <w:szCs w:val="22"/>
                <w14:ligatures w14:val="none"/>
              </w:rPr>
              <w:fldChar w:fldCharType="end"/>
            </w:r>
          </w:p>
        </w:tc>
      </w:tr>
      <w:tr w:rsidR="00CA3A28" w:rsidRPr="00367563" w14:paraId="728DDFDF" w14:textId="77777777" w:rsidTr="00CA3A28">
        <w:trPr>
          <w:trHeight w:val="288"/>
        </w:trPr>
        <w:tc>
          <w:tcPr>
            <w:tcW w:w="2695" w:type="dxa"/>
            <w:noWrap/>
            <w:vAlign w:val="bottom"/>
            <w:hideMark/>
          </w:tcPr>
          <w:p w14:paraId="5D085D6E" w14:textId="5C5BC39C"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Bupropion</w:t>
            </w:r>
          </w:p>
        </w:tc>
        <w:tc>
          <w:tcPr>
            <w:tcW w:w="1330" w:type="dxa"/>
            <w:noWrap/>
            <w:vAlign w:val="bottom"/>
            <w:hideMark/>
          </w:tcPr>
          <w:p w14:paraId="24F52BF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200</w:t>
            </w:r>
          </w:p>
        </w:tc>
        <w:tc>
          <w:tcPr>
            <w:tcW w:w="960" w:type="dxa"/>
            <w:noWrap/>
            <w:vAlign w:val="bottom"/>
            <w:hideMark/>
          </w:tcPr>
          <w:p w14:paraId="6CA55961"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1E62E19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5275215D" w14:textId="700717C9" w:rsidR="00CA3A28" w:rsidRPr="00367563" w:rsidRDefault="00B9660C"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{"citationID":"iG8MKgQC","properties":{"unsorted":false,"formattedCitation":"\\super 20\\nosupersub{}","plainCitation":"20","noteIndex":0},"citationItems":[{"id":1320,"uris":["http://zotero.org/users/7234110/items/Z4K7MIZF"],"itemData":{"id":1320,"type":"article-journal","abstract":"The pharmacokinetics of bupropion hydrochloride, a structurally novel antidepressant agent, have been studied in healthy male and female subjects following administration of single oral doses of 50, 100 and 200 mg. Plasma drug concentrations were determined directly by a specific radioimmunoassay (r.i.a.), while urinary measurements required a prior solvent extraction to remove substances interfering in the assay. Bupropion appeared rapidly in the plasma, suggesting good absorption. Drug plasma concentration-time data were fitted well to a two-compartment open model of drug disposition by use of the computer program NONLIN. By comparison of AUC, Cmax and tmax values, the pharmacokinetics of bupropion were found to be linear across the 50-200 mg dose range in both sexes. When the data were normalized for subjects' body weights, no differences between pharmacokinetic parameters for male and female subjects were found. Mean disposition half-lives across treatments were 1.2-1.4 h for t1/2 alpha and 10.7-13.8 h for the t1/2 beta. Bupropion was extensively bound (85%) to human plasma proteins over a wide drug concentration range. Less than 1% of a 200 mg oral dose of bupropion hydrochloride appeared in the urine of 16 subjects as unchanged drug, indicating extensive metabolism of the parent compound.","container-title":"European Journal of Clinical Pharmacology","DOI":"10.1007/BF00637513","ISSN":"0031-6970","issue":"2","journalAbbreviation":"Eur J Clin Pharmacol","language":"eng","page":"127-135","PMID":"6804243","source":"PubMed","title":"Pharmacokinetics of bupropion, a novel antidepressant agent, following oral administration to healthy subjects","volume":"21","author":[{"family":"Findlay","given":"J. W."},{"family":"Van Wyck Fleet","given":"J."},{"family":"Smith","given":"P. G."},{"family":"Butz","given":"R. F."},{"family":"Hinton","given":"M. L."},{"family":"Blum","given":"M. R."},{"family":"Schroeder","given":"D. H."}],"issued":{"date-parts":[["1981"]]}}}],"schema":"https://github.com/citation-style-language/schema/raw/master/csl-citation.json"}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20</w:t>
            </w:r>
            <w:r>
              <w:rPr>
                <w:rFonts w:ascii="Aptos Narrow" w:eastAsia="Times New Roman" w:hAnsi="Aptos Narrow" w:cs="Times New Roman"/>
                <w:color w:val="000000"/>
                <w:kern w:val="0"/>
                <w:sz w:val="22"/>
                <w:szCs w:val="22"/>
                <w14:ligatures w14:val="none"/>
              </w:rPr>
              <w:fldChar w:fldCharType="end"/>
            </w:r>
          </w:p>
        </w:tc>
      </w:tr>
      <w:tr w:rsidR="00CA3A28" w:rsidRPr="00367563" w14:paraId="27AC0D39" w14:textId="77777777" w:rsidTr="00CA3A28">
        <w:trPr>
          <w:trHeight w:val="288"/>
        </w:trPr>
        <w:tc>
          <w:tcPr>
            <w:tcW w:w="2695" w:type="dxa"/>
            <w:noWrap/>
            <w:vAlign w:val="bottom"/>
            <w:hideMark/>
          </w:tcPr>
          <w:p w14:paraId="47D26E37" w14:textId="2F833E73"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Clarithromycin</w:t>
            </w:r>
          </w:p>
        </w:tc>
        <w:tc>
          <w:tcPr>
            <w:tcW w:w="1330" w:type="dxa"/>
            <w:noWrap/>
            <w:vAlign w:val="bottom"/>
            <w:hideMark/>
          </w:tcPr>
          <w:p w14:paraId="6EDB05B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100</w:t>
            </w:r>
          </w:p>
        </w:tc>
        <w:tc>
          <w:tcPr>
            <w:tcW w:w="960" w:type="dxa"/>
            <w:noWrap/>
            <w:vAlign w:val="bottom"/>
            <w:hideMark/>
          </w:tcPr>
          <w:p w14:paraId="637790E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7CFFC4B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7B2A7A8A" w14:textId="4B40F285" w:rsidR="00CA3A28" w:rsidRPr="00367563" w:rsidRDefault="00FD74E3"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{"citationID":"GjBdStgU","properties":{"unsorted":false,"formattedCitation":"\\super 21\\nosupersub{}","plainCitation":"21","noteIndex":0},"citationItems":[{"id":1282,"uris":["http://zotero.org/users/7234110/items/SEVM4YMH"],"itemData":{"id":1282,"type":"article-journal","abstract":"The pharmacokinetics and safety of single ascending doses of clarithromycin (6-0-methylerythromycin A) were assessed in a placebo-controlled, double-blind, randomized trial with 39 healthy male volunteers. Subjects were randomized to receive single doses of either placebo or 100, 200, 400, 600, 800, or 1,200 mg of clarithromycin. Blood and urine collections were performed over the 24 h following administration of the test preparation. Biological specimens were analyzed for clarithromycin and 14(R)-hydroxyclarithromycin content by a high-performance liquid chromatographic technique. The pharmacokinetics of clarithromycin appeared to be dose dependent, with terminal disposition half-life ranging from 2.3 to 6.0 h and mean +/- standard deviation area under the concentration-versus-time curve from time 0 to infinity for plasma ranging from 1.67 +/- 0.48 to 3.72 +/- 1.26 mg/liter.h per 100-mg dose over the 100- to 1,200-mg dose range. Similar dose dependency was noted in the pharmacokinetics of the 14(R)-hydroxy metabolite. Mean urinary excretion of clarithromycin and its 14(R)-hydroxy metabolite ranged from 11.5 to 17.5% and 5.3 to 8.8% of the administered dose, respectively. Urinary excretion data and plasma metabolite/parent compound concentration ratio data suggested that capacity-limited formation of the active metabolite may account, at least in part, for the nonlinear pharmacokinetics of clarithromycin. No substantive dose-related trend was observed for the renal clearance of either compound. There were no clinically significant drug-related alterations in laboratory and nonlaboratory safety parameters. In addition, there was no significant difference between placebo and clarithromycin recipients in the incidence or severity of adverse events. Clarithromycin appears to be safe and well tolerated.","container-title":"Antimicrobial Agents and Chemotherapy","DOI":"10.1128/aac.36.11.2447","issue":"11","page":"2447-2453","publisher":"American Society for Microbiology","source":"journals.asm.org (Atypon)","title":"Pharmacokinetics of clarithromycin, a new macrolide, after single ascending oral doses","volume":"36","author":[{"family":"Chu","given":"S Y"},{"family":"Sennello","given":"L T"},{"family":"Bunnell","given":"S T"},{"family":"Varga","given":"L L"},{"family":"Wilson","given":"D S"},{"family":"Sonders","given":"R C"}],"issued":{"date-parts":[["1992",11]]}}}],"schema":"https://github.com/citation-style-language/schema/raw/master/csl-citation.json"}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21</w:t>
            </w:r>
            <w:r>
              <w:rPr>
                <w:rFonts w:ascii="Aptos Narrow" w:eastAsia="Times New Roman" w:hAnsi="Aptos Narrow" w:cs="Times New Roman"/>
                <w:color w:val="000000"/>
                <w:kern w:val="0"/>
                <w:sz w:val="22"/>
                <w:szCs w:val="22"/>
                <w14:ligatures w14:val="none"/>
              </w:rPr>
              <w:fldChar w:fldCharType="end"/>
            </w:r>
          </w:p>
        </w:tc>
      </w:tr>
      <w:tr w:rsidR="00CA3A28" w:rsidRPr="00367563" w14:paraId="693397F3" w14:textId="77777777" w:rsidTr="00CA3A28">
        <w:trPr>
          <w:trHeight w:val="288"/>
        </w:trPr>
        <w:tc>
          <w:tcPr>
            <w:tcW w:w="2695" w:type="dxa"/>
            <w:noWrap/>
            <w:vAlign w:val="bottom"/>
            <w:hideMark/>
          </w:tcPr>
          <w:p w14:paraId="0E841EC0" w14:textId="107B53DC"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Clarithromycin</w:t>
            </w:r>
          </w:p>
        </w:tc>
        <w:tc>
          <w:tcPr>
            <w:tcW w:w="1330" w:type="dxa"/>
            <w:noWrap/>
            <w:vAlign w:val="bottom"/>
            <w:hideMark/>
          </w:tcPr>
          <w:p w14:paraId="7D9C5375"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200</w:t>
            </w:r>
          </w:p>
        </w:tc>
        <w:tc>
          <w:tcPr>
            <w:tcW w:w="960" w:type="dxa"/>
            <w:noWrap/>
            <w:vAlign w:val="bottom"/>
            <w:hideMark/>
          </w:tcPr>
          <w:p w14:paraId="713ABA0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750032A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23A417D9" w14:textId="44C355B5" w:rsidR="00CA3A28" w:rsidRPr="00367563" w:rsidRDefault="00FD74E3"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{"citationID":"YEApctwb","properties":{"unsorted":false,"formattedCitation":"\\super 21\\nosupersub{}","plainCitation":"21","noteIndex":0},"citationItems":[{"id":1282,"uris":["http://zotero.org/users/7234110/items/SEVM4YMH"],"itemData":{"id":1282,"type":"article-journal","abstract":"The pharmacokinetics and safety of single ascending doses of clarithromycin (6-0-methylerythromycin A) were assessed in a placebo-controlled, double-blind, randomized trial with 39 healthy male volunteers. Subjects were randomized to receive single doses of either placebo or 100, 200, 400, 600, 800, or 1,200 mg of clarithromycin. Blood and urine collections were performed over the 24 h following administration of the test preparation. Biological specimens were analyzed for clarithromycin and 14(R)-hydroxyclarithromycin content by a high-performance liquid chromatographic technique. The pharmacokinetics of clarithromycin appeared to be dose dependent, with terminal disposition half-life ranging from 2.3 to 6.0 h and mean +/- standard deviation area under the concentration-versus-time curve from time 0 to infinity for plasma ranging from 1.67 +/- 0.48 to 3.72 +/- 1.26 mg/liter.h per 100-mg dose over the 100- to 1,200-mg dose range. Similar dose dependency was noted in the pharmacokinetics of the 14(R)-hydroxy metabolite. Mean urinary excretion of clarithromycin and its 14(R)-hydroxy metabolite ranged from 11.5 to 17.5% and 5.3 to 8.8% of the administered dose, respectively. Urinary excretion data and plasma metabolite/parent compound concentration ratio data suggested that capacity-limited formation of the active metabolite may account, at least in part, for the nonlinear pharmacokinetics of clarithromycin. No substantive dose-related trend was observed for the renal clearance of either compound. There were no clinically significant drug-related alterations in laboratory and nonlaboratory safety parameters. In addition, there was no significant difference between placebo and clarithromycin recipients in the incidence or severity of adverse events. Clarithromycin appears to be safe and well tolerated.","container-title":"Antimicrobial Agents and Chemotherapy","DOI":"10.1128/aac.36.11.2447","issue":"11","page":"2447-2453","publisher":"American Society for Microbiology","source":"journals.asm.org (Atypon)","title":"Pharmacokinetics of clarithromycin, a new macrolide, after single ascending oral doses","volume":"36","author":[{"family":"Chu","given":"S Y"},{"family":"Sennello","given":"L T"},{"family":"Bunnell","given":"S T"},{"family":"Varga","given":"L L"},{"family":"Wilson","given":"D S"},{"family":"Sonders","given":"R C"}],"issued":{"date-parts":[["1992",11]]}}}],"schema":"https://github.com/citation-style-language/schema/raw/master/csl-citation.json"}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21</w:t>
            </w:r>
            <w:r>
              <w:rPr>
                <w:rFonts w:ascii="Aptos Narrow" w:eastAsia="Times New Roman" w:hAnsi="Aptos Narrow" w:cs="Times New Roman"/>
                <w:color w:val="000000"/>
                <w:kern w:val="0"/>
                <w:sz w:val="22"/>
                <w:szCs w:val="22"/>
                <w14:ligatures w14:val="none"/>
              </w:rPr>
              <w:fldChar w:fldCharType="end"/>
            </w:r>
          </w:p>
        </w:tc>
      </w:tr>
      <w:tr w:rsidR="00CA3A28" w:rsidRPr="00367563" w14:paraId="27EA74BE" w14:textId="77777777" w:rsidTr="00CA3A28">
        <w:trPr>
          <w:trHeight w:val="288"/>
        </w:trPr>
        <w:tc>
          <w:tcPr>
            <w:tcW w:w="2695" w:type="dxa"/>
            <w:noWrap/>
            <w:vAlign w:val="bottom"/>
            <w:hideMark/>
          </w:tcPr>
          <w:p w14:paraId="7B594759" w14:textId="4223A7EF"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Clarithromycin</w:t>
            </w:r>
          </w:p>
        </w:tc>
        <w:tc>
          <w:tcPr>
            <w:tcW w:w="1330" w:type="dxa"/>
            <w:noWrap/>
            <w:vAlign w:val="bottom"/>
            <w:hideMark/>
          </w:tcPr>
          <w:p w14:paraId="2B132E2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400</w:t>
            </w:r>
          </w:p>
        </w:tc>
        <w:tc>
          <w:tcPr>
            <w:tcW w:w="960" w:type="dxa"/>
            <w:noWrap/>
            <w:vAlign w:val="bottom"/>
            <w:hideMark/>
          </w:tcPr>
          <w:p w14:paraId="19DD40C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580B63F1"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4805F73B" w14:textId="4B03C8C5" w:rsidR="00CA3A28" w:rsidRPr="00367563" w:rsidRDefault="00FD74E3"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{"citationID":"k84AELRN","properties":{"unsorted":false,"formattedCitation":"\\super 21\\nosupersub{}","plainCitation":"21","noteIndex":0},"citationItems":[{"id":1282,"uris":["http://zotero.org/users/7234110/items/SEVM4YMH"],"itemData":{"id":1282,"type":"article-journal","abstract":"The pharmacokinetics and safety of single ascending doses of clarithromycin (6-0-methylerythromycin A) were assessed in a placebo-controlled, double-blind, randomized trial with 39 healthy male volunteers. Subjects were randomized to receive single doses of either placebo or 100, 200, 400, 600, 800, or 1,200 mg of clarithromycin. Blood and urine collections were performed over the 24 h following administration of the test preparation. Biological specimens were analyzed for clarithromycin and 14(R)-hydroxyclarithromycin content by a high-performance liquid chromatographic technique. The pharmacokinetics of clarithromycin appeared to be dose dependent, with terminal disposition half-life ranging from 2.3 to 6.0 h and mean +/- standard deviation area under the concentration-versus-time curve from time 0 to infinity for plasma ranging from 1.67 +/- 0.48 to 3.72 +/- 1.26 mg/liter.h per 100-mg dose over the 100- to 1,200-mg dose range. Similar dose dependency was noted in the pharmacokinetics of the 14(R)-hydroxy metabolite. Mean urinary excretion of clarithromycin and its 14(R)-hydroxy metabolite ranged from 11.5 to 17.5% and 5.3 to 8.8% of the administered dose, respectively. Urinary excretion data and plasma metabolite/parent compound concentration ratio data suggested that capacity-limited formation of the active metabolite may account, at least in part, for the nonlinear pharmacokinetics of clarithromycin. No substantive dose-related trend was observed for the renal clearance of either compound. There were no clinically significant drug-related alterations in laboratory and nonlaboratory safety parameters. In addition, there was no significant difference between placebo and clarithromycin recipients in the incidence or severity of adverse events. Clarithromycin appears to be safe and well tolerated.","container-title":"Antimicrobial Agents and Chemotherapy","DOI":"10.1128/aac.36.11.2447","issue":"11","page":"2447-2453","publisher":"American Society for Microbiology","source":"journals.asm.org (Atypon)","title":"Pharmacokinetics of clarithromycin, a new macrolide, after single ascending oral doses","volume":"36","author":[{"family":"Chu","given":"S Y"},{"family":"Sennello","given":"L T"},{"family":"Bunnell","given":"S T"},{"family":"Varga","given":"L L"},{"family":"Wilson","given":"D S"},{"family":"Sonders","given":"R C"}],"issued":{"date-parts":[["1992",11]]}}}],"schema":"https://github.com/citation-style-language/schema/raw/master/csl-citation.json"}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21</w:t>
            </w:r>
            <w:r>
              <w:rPr>
                <w:rFonts w:ascii="Aptos Narrow" w:eastAsia="Times New Roman" w:hAnsi="Aptos Narrow" w:cs="Times New Roman"/>
                <w:color w:val="000000"/>
                <w:kern w:val="0"/>
                <w:sz w:val="22"/>
                <w:szCs w:val="22"/>
                <w14:ligatures w14:val="none"/>
              </w:rPr>
              <w:fldChar w:fldCharType="end"/>
            </w:r>
          </w:p>
        </w:tc>
      </w:tr>
      <w:tr w:rsidR="00CA3A28" w:rsidRPr="00367563" w14:paraId="66374C88" w14:textId="77777777" w:rsidTr="00CA3A28">
        <w:trPr>
          <w:trHeight w:val="288"/>
        </w:trPr>
        <w:tc>
          <w:tcPr>
            <w:tcW w:w="2695" w:type="dxa"/>
            <w:noWrap/>
            <w:vAlign w:val="bottom"/>
            <w:hideMark/>
          </w:tcPr>
          <w:p w14:paraId="688D5C7C" w14:textId="4CA1B4F8"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Clarithromycin</w:t>
            </w:r>
          </w:p>
        </w:tc>
        <w:tc>
          <w:tcPr>
            <w:tcW w:w="1330" w:type="dxa"/>
            <w:noWrap/>
            <w:vAlign w:val="bottom"/>
            <w:hideMark/>
          </w:tcPr>
          <w:p w14:paraId="1221FB7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600</w:t>
            </w:r>
          </w:p>
        </w:tc>
        <w:tc>
          <w:tcPr>
            <w:tcW w:w="960" w:type="dxa"/>
            <w:noWrap/>
            <w:vAlign w:val="bottom"/>
            <w:hideMark/>
          </w:tcPr>
          <w:p w14:paraId="3CB96FE1"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3105EE8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4B9D223D" w14:textId="20BECAD8" w:rsidR="00CA3A28" w:rsidRPr="00367563" w:rsidRDefault="00FD74E3"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{"citationID":"wHPbMmQj","properties":{"unsorted":false,"formattedCitation":"\\super 21\\nosupersub{}","plainCitation":"21","noteIndex":0},"citationItems":[{"id":1282,"uris":["http://zotero.org/users/7234110/items/SEVM4YMH"],"itemData":{"id":1282,"type":"article-journal","abstract":"The pharmacokinetics and safety of single ascending doses of clarithromycin (6-0-methylerythromycin A) were assessed in a placebo-controlled, double-blind, randomized trial with 39 healthy male volunteers. Subjects were randomized to receive single doses of either placebo or 100, 200, 400, 600, 800, or 1,200 mg of clarithromycin. Blood and urine collections were performed over the 24 h following administration of the test preparation. Biological specimens were analyzed for clarithromycin and 14(R)-hydroxyclarithromycin content by a high-performance liquid chromatographic technique. The pharmacokinetics of clarithromycin appeared to be dose dependent, with terminal disposition half-life ranging from 2.3 to 6.0 h and mean +/- standard deviation area under the concentration-versus-time curve from time 0 to infinity for plasma ranging from 1.67 +/- 0.48 to 3.72 +/- 1.26 mg/liter.h per 100-mg dose over the 100- to 1,200-mg dose range. Similar dose dependency was noted in the pharmacokinetics of the 14(R)-hydroxy metabolite. Mean urinary excretion of clarithromycin and its 14(R)-hydroxy metabolite ranged from 11.5 to 17.5% and 5.3 to 8.8% of the administered dose, respectively. Urinary excretion data and plasma metabolite/parent compound concentration ratio data suggested that capacity-limited formation of the active metabolite may account, at least in part, for the nonlinear pharmacokinetics of clarithromycin. No substantive dose-related trend was observed for the renal clearance of either compound. There were no clinically significant drug-related alterations in laboratory and nonlaboratory safety parameters. In addition, there was no significant difference between placebo and clarithromycin recipients in the incidence or severity of adverse events. Clarithromycin appears to be safe and well tolerated.","container-title":"Antimicrobial Agents and Chemotherapy","DOI":"10.1128/aac.36.11.2447","issue":"11","page":"2447-2453","publisher":"American Society for Microbiology","source":"journals.asm.org (Atypon)","title":"Pharmacokinetics of clarithromycin, a new macrolide, after single ascending oral doses","volume":"36","author":[{"family":"Chu","given":"S Y"},{"family":"Sennello","given":"L T"},{"family":"Bunnell","given":"S T"},{"family":"Varga","given":"L L"},{"family":"Wilson","given":"D S"},{"family":"Sonders","given":"R C"}],"issued":{"date-parts":[["1992",11]]}}}],"schema":"https://github.com/citation-style-language/schema/raw/master/csl-citation.json"}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21</w:t>
            </w:r>
            <w:r>
              <w:rPr>
                <w:rFonts w:ascii="Aptos Narrow" w:eastAsia="Times New Roman" w:hAnsi="Aptos Narrow" w:cs="Times New Roman"/>
                <w:color w:val="000000"/>
                <w:kern w:val="0"/>
                <w:sz w:val="22"/>
                <w:szCs w:val="22"/>
                <w14:ligatures w14:val="none"/>
              </w:rPr>
              <w:fldChar w:fldCharType="end"/>
            </w:r>
          </w:p>
        </w:tc>
      </w:tr>
      <w:tr w:rsidR="00CA3A28" w:rsidRPr="00367563" w14:paraId="4753C89D" w14:textId="77777777" w:rsidTr="00CA3A28">
        <w:trPr>
          <w:trHeight w:val="288"/>
        </w:trPr>
        <w:tc>
          <w:tcPr>
            <w:tcW w:w="2695" w:type="dxa"/>
            <w:noWrap/>
            <w:vAlign w:val="bottom"/>
            <w:hideMark/>
          </w:tcPr>
          <w:p w14:paraId="727FFD75" w14:textId="5F5D7CCA"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Clarithromycin</w:t>
            </w:r>
          </w:p>
        </w:tc>
        <w:tc>
          <w:tcPr>
            <w:tcW w:w="1330" w:type="dxa"/>
            <w:noWrap/>
            <w:vAlign w:val="bottom"/>
            <w:hideMark/>
          </w:tcPr>
          <w:p w14:paraId="332B5B9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800</w:t>
            </w:r>
          </w:p>
        </w:tc>
        <w:tc>
          <w:tcPr>
            <w:tcW w:w="960" w:type="dxa"/>
            <w:noWrap/>
            <w:vAlign w:val="bottom"/>
            <w:hideMark/>
          </w:tcPr>
          <w:p w14:paraId="21660494"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61CA6F3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2E1A7052" w14:textId="14ECA893" w:rsidR="00CA3A28" w:rsidRPr="00367563" w:rsidRDefault="00FD74E3"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{"citationID":"zlIYQPoK","properties":{"unsorted":false,"formattedCitation":"\\super 21\\nosupersub{}","plainCitation":"21","noteIndex":0},"citationItems":[{"id":1282,"uris":["http://zotero.org/users/7234110/items/SEVM4YMH"],"itemData":{"id":1282,"type":"article-journal","abstract":"The pharmacokinetics and safety of single ascending doses of clarithromycin (6-0-methylerythromycin A) were assessed in a placebo-controlled, double-blind, randomized trial with 39 healthy male volunteers. Subjects were randomized to receive single doses of either placebo or 100, 200, 400, 600, 800, or 1,200 mg of clarithromycin. Blood and urine collections were performed over the 24 h following administration of the test preparation. Biological specimens were analyzed for clarithromycin and 14(R)-hydroxyclarithromycin content by a high-performance liquid chromatographic technique. The pharmacokinetics of clarithromycin appeared to be dose dependent, with terminal disposition half-life ranging from 2.3 to 6.0 h and mean +/- standard deviation area under the concentration-versus-time curve from time 0 to infinity for plasma ranging from 1.67 +/- 0.48 to 3.72 +/- 1.26 mg/liter.h per 100-mg dose over the 100- to 1,200-mg dose range. Similar dose dependency was noted in the pharmacokinetics of the 14(R)-hydroxy metabolite. Mean urinary excretion of clarithromycin and its 14(R)-hydroxy metabolite ranged from 11.5 to 17.5% and 5.3 to 8.8% of the administered dose, respectively. Urinary excretion data and plasma metabolite/parent compound concentration ratio data suggested that capacity-limited formation of the active metabolite may account, at least in part, for the nonlinear pharmacokinetics of clarithromycin. No substantive dose-related trend was observed for the renal clearance of either compound. There were no clinically significant drug-related alterations in laboratory and nonlaboratory safety parameters. In addition, there was no significant difference between placebo and clarithromycin recipients in the incidence or severity of adverse events. Clarithromycin appears to be safe and well tolerated.","container-title":"Antimicrobial Agents and Chemotherapy","DOI":"10.1128/aac.36.11.2447","issue":"11","page":"2447-2453","publisher":"American Society for Microbiology","source":"journals.asm.org (Atypon)","title":"Pharmacokinetics of clarithromycin, a new macrolide, after single ascending oral doses","volume":"36","author":[{"family":"Chu","given":"S Y"},{"family":"Sennello","given":"L T"},{"family":"Bunnell","given":"S T"},{"family":"Varga","given":"L L"},{"family":"Wilson","given":"D S"},{"family":"Sonders","given":"R C"}],"issued":{"date-parts":[["1992",11]]}}}],"schema":"https://github.com/citation-style-language/schema/raw/master/csl-citation.json"}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21</w:t>
            </w:r>
            <w:r>
              <w:rPr>
                <w:rFonts w:ascii="Aptos Narrow" w:eastAsia="Times New Roman" w:hAnsi="Aptos Narrow" w:cs="Times New Roman"/>
                <w:color w:val="000000"/>
                <w:kern w:val="0"/>
                <w:sz w:val="22"/>
                <w:szCs w:val="22"/>
                <w14:ligatures w14:val="none"/>
              </w:rPr>
              <w:fldChar w:fldCharType="end"/>
            </w:r>
          </w:p>
        </w:tc>
      </w:tr>
      <w:tr w:rsidR="00CA3A28" w:rsidRPr="00367563" w14:paraId="458F368F" w14:textId="77777777" w:rsidTr="00CA3A28">
        <w:trPr>
          <w:trHeight w:val="288"/>
        </w:trPr>
        <w:tc>
          <w:tcPr>
            <w:tcW w:w="2695" w:type="dxa"/>
            <w:noWrap/>
            <w:vAlign w:val="bottom"/>
            <w:hideMark/>
          </w:tcPr>
          <w:p w14:paraId="74440C2B" w14:textId="6F44F16D"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Clarithromycin</w:t>
            </w:r>
          </w:p>
        </w:tc>
        <w:tc>
          <w:tcPr>
            <w:tcW w:w="1330" w:type="dxa"/>
            <w:noWrap/>
            <w:vAlign w:val="bottom"/>
            <w:hideMark/>
          </w:tcPr>
          <w:p w14:paraId="7193C55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1200</w:t>
            </w:r>
          </w:p>
        </w:tc>
        <w:tc>
          <w:tcPr>
            <w:tcW w:w="960" w:type="dxa"/>
            <w:noWrap/>
            <w:vAlign w:val="bottom"/>
            <w:hideMark/>
          </w:tcPr>
          <w:p w14:paraId="4D07181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2433F0B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77A66575" w14:textId="4D8EE835" w:rsidR="00CA3A28" w:rsidRPr="00367563" w:rsidRDefault="00FD74E3"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{"citationID":"P4MM5A3m","properties":{"unsorted":false,"formattedCitation":"\\super 21\\nosupersub{}","plainCitation":"21","noteIndex":0},"citationItems":[{"id":1282,"uris":["http://zotero.org/users/7234110/items/SEVM4YMH"],"itemData":{"id":1282,"type":"article-journal","abstract":"The pharmacokinetics and safety of single ascending doses of clarithromycin (6-0-methylerythromycin A) were assessed in a placebo-controlled, double-blind, randomized trial with 39 healthy male volunteers. Subjects were randomized to receive single doses of either placebo or 100, 200, 400, 600, 800, or 1,200 mg of clarithromycin. Blood and urine collections were performed over the 24 h following administration of the test preparation. Biological specimens were analyzed for clarithromycin and 14(R)-hydroxyclarithromycin content by a high-performance liquid chromatographic technique. The pharmacokinetics of clarithromycin appeared to be dose dependent, with terminal disposition half-life ranging from 2.3 to 6.0 h and mean +/- standard deviation area under the concentration-versus-time curve from time 0 to infinity for plasma ranging from 1.67 +/- 0.48 to 3.72 +/- 1.26 mg/liter.h per 100-mg dose over the 100- to 1,200-mg dose range. Similar dose dependency was noted in the pharmacokinetics of the 14(R)-hydroxy metabolite. Mean urinary excretion of clarithromycin and its 14(R)-hydroxy metabolite ranged from 11.5 to 17.5% and 5.3 to 8.8% of the administered dose, respectively. Urinary excretion data and plasma metabolite/parent compound concentration ratio data suggested that capacity-limited formation of the active metabolite may account, at least in part, for the nonlinear pharmacokinetics of clarithromycin. No substantive dose-related trend was observed for the renal clearance of either compound. There were no clinically significant drug-related alterations in laboratory and nonlaboratory safety parameters. In addition, there was no significant difference between placebo and clarithromycin recipients in the incidence or severity of adverse events. Clarithromycin appears to be safe and well tolerated.","container-title":"Antimicrobial Agents and Chemotherapy","DOI":"10.1128/aac.36.11.2447","issue":"11","page":"2447-2453","publisher":"American Society for Microbiology","source":"journals.asm.org (Atypon)","title":"Pharmacokinetics of clarithromycin, a new macrolide, after single ascending oral doses","volume":"36","author":[{"family":"Chu","given":"S Y"},{"family":"Sennello","given":"L T"},{"family":"Bunnell","given":"S T"},{"family":"Varga","given":"L L"},{"family":"Wilson","given":"D S"},{"family":"Sonders","given":"R C"}],"issued":{"date-parts":[["1992",11]]}}}],"schema":"https://github.com/citation-style-language/schema/raw/master/csl-citation.json"}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21</w:t>
            </w:r>
            <w:r>
              <w:rPr>
                <w:rFonts w:ascii="Aptos Narrow" w:eastAsia="Times New Roman" w:hAnsi="Aptos Narrow" w:cs="Times New Roman"/>
                <w:color w:val="000000"/>
                <w:kern w:val="0"/>
                <w:sz w:val="22"/>
                <w:szCs w:val="22"/>
                <w14:ligatures w14:val="none"/>
              </w:rPr>
              <w:fldChar w:fldCharType="end"/>
            </w:r>
          </w:p>
        </w:tc>
      </w:tr>
      <w:tr w:rsidR="00CA3A28" w:rsidRPr="00367563" w14:paraId="23BA7758" w14:textId="77777777" w:rsidTr="00CA3A28">
        <w:trPr>
          <w:trHeight w:val="288"/>
        </w:trPr>
        <w:tc>
          <w:tcPr>
            <w:tcW w:w="2695" w:type="dxa"/>
            <w:noWrap/>
            <w:vAlign w:val="bottom"/>
            <w:hideMark/>
          </w:tcPr>
          <w:p w14:paraId="222CEBEF" w14:textId="65A217F3"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Cyclosporin</w:t>
            </w:r>
          </w:p>
        </w:tc>
        <w:tc>
          <w:tcPr>
            <w:tcW w:w="1330" w:type="dxa"/>
            <w:noWrap/>
            <w:vAlign w:val="bottom"/>
            <w:hideMark/>
          </w:tcPr>
          <w:p w14:paraId="3063FD74"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300</w:t>
            </w:r>
          </w:p>
        </w:tc>
        <w:tc>
          <w:tcPr>
            <w:tcW w:w="960" w:type="dxa"/>
            <w:noWrap/>
            <w:vAlign w:val="bottom"/>
            <w:hideMark/>
          </w:tcPr>
          <w:p w14:paraId="06FF058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0083392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45352ADF" w14:textId="15A8F502" w:rsidR="00CA3A28" w:rsidRPr="00367563" w:rsidRDefault="00690945"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{"citationID":"Ohd4VTdX","properties":{"unsorted":false,"formattedCitation":"\\super 22\\nosupersub{}","plainCitation":"22","noteIndex":0},"citationItems":[{"id":1274,"uris":["http://zotero.org/users/7234110/items/KY64BIIX"],"itemData":{"id":1274,"type":"article-journal","abstract":"This cross-over study compared the pharmacokinetic parameters obtained from cyclosporine (CsA) concentration-time profiles after administration of the corn oil-based soft gel cap (CsA-GC) with those with the microemulsion (CsA-ME) gel cap. Neither the fasting state nor the coadministration of a low- or high-fat breakfast affected the pharmacokinetics of CsA presented in either formulation. Comparisons of the three sets of pharmacokinetic parameters--namely, after fasting or after low-fat or after high-fat diets--demonstrated the CsA-ME formulation to display greater intraindividual reproducibility of the C0 and C12 trough levels (TLs), Cmax, tmax, and area under the concentration-time curve (AUC) than the CsA-GC formulation. Although the degree of interindividual variation in AUC, Cmax and tmax after CsA-ME administration was slightly, but significantly, less than after CsA-GC administration, there was no difference between the two formulations in terms of the customarily monitored C0 or C12 TL values. CsA-ME showed higher correlation coefficients of drug exposure (AUC) with C12 than CsA-GC (0.910 versus 0.712). However, CsA-ME administration resulted in only modest improvement over CsA-GC administration in the relationships between drug dose and C0, C12, or AUC--namely, 0.645 versus 0.496, 0.611 versus 0.517, and 0.700 versus 0.501, respectively. Correlation analysis between individual timed samples and AUC determinations revealed that CsA-ME requires significantly less frequent blood monitoring for prediction of total drug exposure than does CsA-GC. Although the clinical utility of this reproducible pharmacokinetic behavior remains to be demonstrated in the de novo transplant setting, the markedly reduced intraindividual variation produced by administration of CsA-ME will likely improve the accuracy of pretransplant prediction of, and reduce the frequency of subsequent adjustments in, CsA doses.","container-title":"Transplantation","ISSN":"0041-1337","issue":"4","journalAbbreviation":"Transplantation","language":"eng","page":"505-511","PMID":"7878754","source":"PubMed","title":"Reduced inter- and intrasubject variability in cyclosporine pharmacokinetics in renal transplant recipients treated with a microemulsion formulation in conjunction with fasting, low-fat meals, or high-fat meals","volume":"59","author":[{"family":"Kahan","given":"B. D."},{"family":"Dunn","given":"J."},{"family":"Fitts","given":"C."},{"family":"Van Buren","given":"D."},{"family":"Wombolt","given":"D."},{"family":"Pollak","given":"R."},{"family":"Carson","given":"R."},{"family":"Alexander","given":"J. W."},{"family":"Choc","given":"M."},{"family":"Wong","given":"R."}],"issued":{"date-parts":[["1995",2,27]]}}}],"schema":"https://github.com/citation-style-language/schema/raw/master/csl-citation.json"}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22</w:t>
            </w:r>
            <w:r>
              <w:rPr>
                <w:rFonts w:ascii="Aptos Narrow" w:eastAsia="Times New Roman" w:hAnsi="Aptos Narrow" w:cs="Times New Roman"/>
                <w:color w:val="000000"/>
                <w:kern w:val="0"/>
                <w:sz w:val="22"/>
                <w:szCs w:val="22"/>
                <w14:ligatures w14:val="none"/>
              </w:rPr>
              <w:fldChar w:fldCharType="end"/>
            </w:r>
          </w:p>
        </w:tc>
      </w:tr>
      <w:tr w:rsidR="00CA3A28" w:rsidRPr="00367563" w14:paraId="3D33F03F" w14:textId="77777777" w:rsidTr="00CA3A28">
        <w:trPr>
          <w:trHeight w:val="288"/>
        </w:trPr>
        <w:tc>
          <w:tcPr>
            <w:tcW w:w="2695" w:type="dxa"/>
            <w:noWrap/>
            <w:vAlign w:val="bottom"/>
            <w:hideMark/>
          </w:tcPr>
          <w:p w14:paraId="4381311A" w14:textId="443AC880"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Danuglipron</w:t>
            </w:r>
            <w:proofErr w:type="spellEnd"/>
          </w:p>
        </w:tc>
        <w:tc>
          <w:tcPr>
            <w:tcW w:w="1330" w:type="dxa"/>
            <w:noWrap/>
            <w:vAlign w:val="bottom"/>
            <w:hideMark/>
          </w:tcPr>
          <w:p w14:paraId="4E458CE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w:t>
            </w:r>
          </w:p>
        </w:tc>
        <w:tc>
          <w:tcPr>
            <w:tcW w:w="960" w:type="dxa"/>
            <w:noWrap/>
            <w:vAlign w:val="bottom"/>
            <w:hideMark/>
          </w:tcPr>
          <w:p w14:paraId="5D3A9D28"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2CABE651"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59AF82A6" w14:textId="47AF3647" w:rsidR="00CA3A28" w:rsidRPr="00367563" w:rsidRDefault="00876D34"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{"citationID":"TVkt85Go","properties":{"unsorted":false,"formattedCitation":"\\super 23\\nosupersub{}","plainCitation":"23","noteIndex":0},"citationItems":[{"id":1326,"uris":["http://zotero.org/users/7234110/items/ERCC4JLH"],"itemData":{"id":1326,"type":"article-journal","abstract":"Peptide agonists of the glucagon-like peptide-1 receptor (GLP-1R) have revolutionized diabetes therapy, but their use has been limited because they require injection. Herein, we describe the discovery of the orally bioavailable, small-molecule, GLP-1R agonist PF-06882961 (danuglipron). A sensitized high-throughput screen was used to identify 5-fluoropyrimidine-based GLP-1R agonists that were optimized to promote endogenous GLP-1R signaling with nanomolar potency. Incorporation of a carboxylic acid moiety provided considerable GLP-1R potency gains with improved off-target pharmacology and reduced metabolic clearance, ultimately resulting in the identification of danuglipron. Danuglipron increased insulin levels in primates but not rodents, which was explained by receptor mutagensis studies and a cryogenic electron microscope structure that revealed a binding pocket requiring a primate-specific tryptophan 33 residue. Oral administration of danuglipron to healthy humans produced dose-proportional increases in systemic exposure (NCT03309241). This opens an opportunity for oral small-molecule therapies that target the well-validated GLP-1R for metabolic health.","container-title":"Journal of Medicinal Chemistry","DOI":"10.1021/acs.jmedchem.1c01856","ISSN":"0022-2623","issue":"12","journalAbbreviation":"J. Med. Chem.","page":"8208-8226","publisher":"American Chemical Society","source":"ACS Publications","title":"A Small-Molecule Oral Agonist of the Human Glucagon-like Peptide-1 Receptor","volume":"65","author":[{"family":"Griffith","given":"David A."},{"family":"Edmonds","given":"David J."},{"family":"Fortin","given":"Jean-Philippe"},{"family":"Kalgutkar","given":"Amit S."},{"family":"Kuzmiski","given":"J. Brent"},{"family":"Loria","given":"Paula M."},{"family":"Saxena","given":"Aditi R."},{"family":"Bagley","given":"Scott W."},{"family":"Buckeridge","given":"Clare"},{"family":"Curto","given":"John M."},{"family":"Derksen","given":"David R."},{"family":"Dias","given":"João M."},{"family":"Griffor","given":"Matthew C."},{"family":"Han","given":"Seungil"},{"family":"Jackson","given":"V. Margaret"},{"family":"Landis","given":"Margaret S."},{"family":"Lettiere","given":"Daniel"},{"family":"Limberakis","given":"Chris"},{"family":"Liu","given":"Yuhang"},{"family":"Mathiowetz","given":"Alan M."},{"family":"Patel","given":"Jayesh C."},{"family":"Piotrowski","given":"David W."},{"family":"Price","given":"David A."},{"family":"Ruggeri","given":"Roger B."},{"family":"Tess","given":"David A."}],"issued":{"date-parts":[["2022",6,23]]}}}],"schema":"https://github.com/citation-style-language/schema/raw/master/csl-citation.json"}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23</w:t>
            </w:r>
            <w:r>
              <w:rPr>
                <w:rFonts w:ascii="Aptos Narrow" w:eastAsia="Times New Roman" w:hAnsi="Aptos Narrow" w:cs="Times New Roman"/>
                <w:color w:val="000000"/>
                <w:kern w:val="0"/>
                <w:sz w:val="22"/>
                <w:szCs w:val="22"/>
                <w14:ligatures w14:val="none"/>
              </w:rPr>
              <w:fldChar w:fldCharType="end"/>
            </w:r>
          </w:p>
        </w:tc>
      </w:tr>
      <w:tr w:rsidR="00CA3A28" w:rsidRPr="00367563" w14:paraId="2F45E7D4" w14:textId="77777777" w:rsidTr="00CA3A28">
        <w:trPr>
          <w:trHeight w:val="288"/>
        </w:trPr>
        <w:tc>
          <w:tcPr>
            <w:tcW w:w="2695" w:type="dxa"/>
            <w:noWrap/>
            <w:vAlign w:val="bottom"/>
            <w:hideMark/>
          </w:tcPr>
          <w:p w14:paraId="0C9487D7" w14:textId="49B42DF3"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Danuglipron</w:t>
            </w:r>
            <w:proofErr w:type="spellEnd"/>
          </w:p>
        </w:tc>
        <w:tc>
          <w:tcPr>
            <w:tcW w:w="1330" w:type="dxa"/>
            <w:noWrap/>
            <w:vAlign w:val="bottom"/>
            <w:hideMark/>
          </w:tcPr>
          <w:p w14:paraId="392C0C9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w:t>
            </w:r>
          </w:p>
        </w:tc>
        <w:tc>
          <w:tcPr>
            <w:tcW w:w="960" w:type="dxa"/>
            <w:noWrap/>
            <w:vAlign w:val="bottom"/>
            <w:hideMark/>
          </w:tcPr>
          <w:p w14:paraId="69EC9DC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356DC4B8"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4F20901F" w14:textId="57762EF0" w:rsidR="00CA3A28" w:rsidRPr="00367563" w:rsidRDefault="00876D34"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{"citationID":"hhZUkleU","properties":{"unsorted":false,"formattedCitation":"\\super 23\\nosupersub{}","plainCitation":"23","noteIndex":0},"citationItems":[{"id":1326,"uris":["http://zotero.org/users/7234110/items/ERCC4JLH"],"itemData":{"id":1326,"type":"article-journal","abstract":"Peptide agonists of the glucagon-like peptide-1 receptor (GLP-1R) have revolutionized diabetes therapy, but their use has been limited because they require injection. Herein, we describe the discovery of the orally bioavailable, small-molecule, GLP-1R agonist PF-06882961 (danuglipron). A sensitized high-throughput screen was used to identify 5-fluoropyrimidine-based GLP-1R agonists that were optimized to promote endogenous GLP-1R signaling with nanomolar potency. Incorporation of a carboxylic acid moiety provided considerable GLP-1R potency gains with improved off-target pharmacology and reduced metabolic clearance, ultimately resulting in the identification of danuglipron. Danuglipron increased insulin levels in primates but not rodents, which was explained by receptor mutagensis studies and a cryogenic electron microscope structure that revealed a binding pocket requiring a primate-specific tryptophan 33 residue. Oral administration of danuglipron to healthy humans produced dose-proportional increases in systemic exposure (NCT03309241). This opens an opportunity for oral small-molecule therapies that target the well-validated GLP-1R for metabolic health.","container-title":"Journal of Medicinal Chemistry","DOI":"10.1021/acs.jmedchem.1c01856","ISSN":"0022-2623","issue":"12","journalAbbreviation":"J. Med. Chem.","page":"8208-8226","publisher":"American Chemical Society","source":"ACS Publications","title":"A Small-Molecule Oral Agonist of the Human Glucagon-like Peptide-1 Receptor","volume":"65","author":[{"family":"Griffith","given":"David A."},{"family":"Edmonds","given":"David J."},{"family":"Fortin","given":"Jean-Philippe"},{"family":"Kalgutkar","given":"Amit S."},{"family":"Kuzmiski","given":"J. Brent"},{"family":"Loria","given":"Paula M."},{"family":"Saxena","given":"Aditi R."},{"family":"Bagley","given":"Scott W."},{"family":"Buckeridge","given":"Clare"},{"family":"Curto","given":"John M."},{"family":"Derksen","given":"David R."},{"family":"Dias","given":"João M."},{"family":"Griffor","given":"Matthew C."},{"family":"Han","given":"Seungil"},{"family":"Jackson","given":"V. Margaret"},{"family":"Landis","given":"Margaret S."},{"family":"Lettiere","given":"Daniel"},{"family":"Limberakis","given":"Chris"},{"family":"Liu","given":"Yuhang"},{"family":"Mathiowetz","given":"Alan M."},{"family":"Patel","given":"Jayesh C."},{"family":"Piotrowski","given":"David W."},{"family":"Price","given":"David A."},{"family":"Ruggeri","given":"Roger B."},{"family":"Tess","given":"David A."}],"issued":{"date-parts":[["2022",6,23]]}}}],"schema":"https://github.com/citation-style-language/schema/raw/master/csl-citation.json"}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23</w:t>
            </w:r>
            <w:r>
              <w:rPr>
                <w:rFonts w:ascii="Aptos Narrow" w:eastAsia="Times New Roman" w:hAnsi="Aptos Narrow" w:cs="Times New Roman"/>
                <w:color w:val="000000"/>
                <w:kern w:val="0"/>
                <w:sz w:val="22"/>
                <w:szCs w:val="22"/>
                <w14:ligatures w14:val="none"/>
              </w:rPr>
              <w:fldChar w:fldCharType="end"/>
            </w:r>
          </w:p>
        </w:tc>
      </w:tr>
      <w:tr w:rsidR="00CA3A28" w:rsidRPr="00367563" w14:paraId="7B2DF49F" w14:textId="77777777" w:rsidTr="00CA3A28">
        <w:trPr>
          <w:trHeight w:val="288"/>
        </w:trPr>
        <w:tc>
          <w:tcPr>
            <w:tcW w:w="2695" w:type="dxa"/>
            <w:noWrap/>
            <w:vAlign w:val="bottom"/>
            <w:hideMark/>
          </w:tcPr>
          <w:p w14:paraId="27DB7F71" w14:textId="34F3229C"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Danuglipron</w:t>
            </w:r>
            <w:proofErr w:type="spellEnd"/>
          </w:p>
        </w:tc>
        <w:tc>
          <w:tcPr>
            <w:tcW w:w="1330" w:type="dxa"/>
            <w:noWrap/>
            <w:vAlign w:val="bottom"/>
            <w:hideMark/>
          </w:tcPr>
          <w:p w14:paraId="2AB4DA35"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30</w:t>
            </w:r>
          </w:p>
        </w:tc>
        <w:tc>
          <w:tcPr>
            <w:tcW w:w="960" w:type="dxa"/>
            <w:noWrap/>
            <w:vAlign w:val="bottom"/>
            <w:hideMark/>
          </w:tcPr>
          <w:p w14:paraId="7723FA05"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3A3B78B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16920747" w14:textId="673DFC2C" w:rsidR="00CA3A28" w:rsidRPr="00367563" w:rsidRDefault="00876D34"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{"citationID":"kQfOZSTb","properties":{"unsorted":false,"formattedCitation":"\\super 23\\nosupersub{}","plainCitation":"23","noteIndex":0},"citationItems":[{"id":1326,"uris":["http://zotero.org/users/7234110/items/ERCC4JLH"],"itemData":{"id":1326,"type":"article-journal","abstract":"Peptide agonists of the glucagon-like peptide-1 receptor (GLP-1R) have revolutionized diabetes therapy, but their use has been limited because they require injection. Herein, we describe the discovery of the orally bioavailable, small-molecule, GLP-1R agonist PF-06882961 (danuglipron). A sensitized high-throughput screen was used to identify 5-fluoropyrimidine-based GLP-1R agonists that were optimized to promote endogenous GLP-1R signaling with nanomolar potency. Incorporation of a carboxylic acid moiety provided considerable GLP-1R potency gains with improved off-target pharmacology and reduced metabolic clearance, ultimately resulting in the identification of danuglipron. Danuglipron increased insulin levels in primates but not rodents, which was explained by receptor mutagensis studies and a cryogenic electron microscope structure that revealed a binding pocket requiring a primate-specific tryptophan 33 residue. Oral administration of danuglipron to healthy humans produced dose-proportional increases in systemic exposure (NCT03309241). This opens an opportunity for oral small-molecule therapies that target the well-validated GLP-1R for metabolic health.","container-title":"Journal of Medicinal Chemistry","DOI":"10.1021/acs.jmedchem.1c01856","ISSN":"0022-2623","issue":"12","journalAbbreviation":"J. Med. Chem.","page":"8208-8226","publisher":"American Chemical Society","source":"ACS Publications","title":"A Small-Molecule Oral Agonist of the Human Glucagon-like Peptide-1 Receptor","volume":"65","author":[{"family":"Griffith","given":"David A."},{"family":"Edmonds","given":"David J."},{"family":"Fortin","given":"Jean-Philippe"},{"family":"Kalgutkar","given":"Amit S."},{"family":"Kuzmiski","given":"J. Brent"},{"family":"Loria","given":"Paula M."},{"family":"Saxena","given":"Aditi R."},{"family":"Bagley","given":"Scott W."},{"family":"Buckeridge","given":"Clare"},{"family":"Curto","given":"John M."},{"family":"Derksen","given":"David R."},{"family":"Dias","given":"João M."},{"family":"Griffor","given":"Matthew C."},{"family":"Han","given":"Seungil"},{"family":"Jackson","given":"V. Margaret"},{"family":"Landis","given":"Margaret S."},{"family":"Lettiere","given":"Daniel"},{"family":"Limberakis","given":"Chris"},{"family":"Liu","given":"Yuhang"},{"family":"Mathiowetz","given":"Alan M."},{"family":"Patel","given":"Jayesh C."},{"family":"Piotrowski","given":"David W."},{"family":"Price","given":"David A."},{"family":"Ruggeri","given":"Roger B."},{"family":"Tess","given":"David A."}],"issued":{"date-parts":[["2022",6,23]]}}}],"schema":"https://github.com/citation-style-language/schema/raw/master/csl-citation.json"}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23</w:t>
            </w:r>
            <w:r>
              <w:rPr>
                <w:rFonts w:ascii="Aptos Narrow" w:eastAsia="Times New Roman" w:hAnsi="Aptos Narrow" w:cs="Times New Roman"/>
                <w:color w:val="000000"/>
                <w:kern w:val="0"/>
                <w:sz w:val="22"/>
                <w:szCs w:val="22"/>
                <w14:ligatures w14:val="none"/>
              </w:rPr>
              <w:fldChar w:fldCharType="end"/>
            </w:r>
          </w:p>
        </w:tc>
      </w:tr>
      <w:tr w:rsidR="00CA3A28" w:rsidRPr="00367563" w14:paraId="567ECE11" w14:textId="77777777" w:rsidTr="00CA3A28">
        <w:trPr>
          <w:trHeight w:val="288"/>
        </w:trPr>
        <w:tc>
          <w:tcPr>
            <w:tcW w:w="2695" w:type="dxa"/>
            <w:noWrap/>
            <w:vAlign w:val="bottom"/>
            <w:hideMark/>
          </w:tcPr>
          <w:p w14:paraId="2D0E830E" w14:textId="20DC85B4"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Danuglipron</w:t>
            </w:r>
            <w:proofErr w:type="spellEnd"/>
          </w:p>
        </w:tc>
        <w:tc>
          <w:tcPr>
            <w:tcW w:w="1330" w:type="dxa"/>
            <w:noWrap/>
            <w:vAlign w:val="bottom"/>
            <w:hideMark/>
          </w:tcPr>
          <w:p w14:paraId="20C67D5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100</w:t>
            </w:r>
          </w:p>
        </w:tc>
        <w:tc>
          <w:tcPr>
            <w:tcW w:w="960" w:type="dxa"/>
            <w:noWrap/>
            <w:vAlign w:val="bottom"/>
            <w:hideMark/>
          </w:tcPr>
          <w:p w14:paraId="79C3307E"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5028535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3611733D" w14:textId="17DBBAE5" w:rsidR="00CA3A28" w:rsidRPr="00367563" w:rsidRDefault="00876D34"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{"citationID":"bSiUJA4s","properties":{"unsorted":false,"formattedCitation":"\\super 23\\nosupersub{}","plainCitation":"23","noteIndex":0},"citationItems":[{"id":1326,"uris":["http://zotero.org/users/7234110/items/ERCC4JLH"],"itemData":{"id":1326,"type":"article-journal","abstract":"Peptide agonists of the glucagon-like peptide-1 receptor (GLP-1R) have revolutionized diabetes therapy, but their use has been limited because they require injection. Herein, we describe the discovery of the orally bioavailable, small-molecule, GLP-1R agonist PF-06882961 (danuglipron). A sensitized high-throughput screen was used to identify 5-fluoropyrimidine-based GLP-1R agonists that were optimized to promote endogenous GLP-1R signaling with nanomolar potency. Incorporation of a carboxylic acid moiety provided considerable GLP-1R potency gains with improved off-target pharmacology and reduced metabolic clearance, ultimately resulting in the identification of danuglipron. Danuglipron increased insulin levels in primates but not rodents, which was explained by receptor mutagensis studies and a cryogenic electron microscope structure that revealed a binding pocket requiring a primate-specific tryptophan 33 residue. Oral administration of danuglipron to healthy humans produced dose-proportional increases in systemic exposure (NCT03309241). This opens an opportunity for oral small-molecule therapies that target the well-validated GLP-1R for metabolic health.","container-title":"Journal of Medicinal Chemistry","DOI":"10.1021/acs.jmedchem.1c01856","ISSN":"0022-2623","issue":"12","journalAbbreviation":"J. Med. Chem.","page":"8208-8226","publisher":"American Chemical Society","source":"ACS Publications","title":"A Small-Molecule Oral Agonist of the Human Glucagon-like Peptide-1 Receptor","volume":"65","author":[{"family":"Griffith","given":"David A."},{"family":"Edmonds","given":"David J."},{"family":"Fortin","given":"Jean-Philippe"},{"family":"Kalgutkar","given":"Amit S."},{"family":"Kuzmiski","given":"J. Brent"},{"family":"Loria","given":"Paula M."},{"family":"Saxena","given":"Aditi R."},{"family":"Bagley","given":"Scott W."},{"family":"Buckeridge","given":"Clare"},{"family":"Curto","given":"John M."},{"family":"Derksen","given":"David R."},{"family":"Dias","given":"João M."},{"family":"Griffor","given":"Matthew C."},{"family":"Han","given":"Seungil"},{"family":"Jackson","given":"V. Margaret"},{"family":"Landis","given":"Margaret S."},{"family":"Lettiere","given":"Daniel"},{"family":"Limberakis","given":"Chris"},{"family":"Liu","given":"Yuhang"},{"family":"Mathiowetz","given":"Alan M."},{"family":"Patel","given":"Jayesh C."},{"family":"Piotrowski","given":"David W."},{"family":"Price","given":"David A."},{"family":"Ruggeri","given":"Roger B."},{"family":"Tess","given":"David A."}],"issued":{"date-parts":[["2022",6,23]]}}}],"schema":"https://github.com/citation-style-language/schema/raw/master/csl-citation.json"}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23</w:t>
            </w:r>
            <w:r>
              <w:rPr>
                <w:rFonts w:ascii="Aptos Narrow" w:eastAsia="Times New Roman" w:hAnsi="Aptos Narrow" w:cs="Times New Roman"/>
                <w:color w:val="000000"/>
                <w:kern w:val="0"/>
                <w:sz w:val="22"/>
                <w:szCs w:val="22"/>
                <w14:ligatures w14:val="none"/>
              </w:rPr>
              <w:fldChar w:fldCharType="end"/>
            </w:r>
          </w:p>
        </w:tc>
      </w:tr>
      <w:tr w:rsidR="00CA3A28" w:rsidRPr="00367563" w14:paraId="125C61B3" w14:textId="77777777" w:rsidTr="00CA3A28">
        <w:trPr>
          <w:trHeight w:val="288"/>
        </w:trPr>
        <w:tc>
          <w:tcPr>
            <w:tcW w:w="2695" w:type="dxa"/>
            <w:noWrap/>
            <w:vAlign w:val="bottom"/>
            <w:hideMark/>
          </w:tcPr>
          <w:p w14:paraId="59B43306" w14:textId="053072DB"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Danuglipron</w:t>
            </w:r>
            <w:proofErr w:type="spellEnd"/>
          </w:p>
        </w:tc>
        <w:tc>
          <w:tcPr>
            <w:tcW w:w="1330" w:type="dxa"/>
            <w:noWrap/>
            <w:vAlign w:val="bottom"/>
            <w:hideMark/>
          </w:tcPr>
          <w:p w14:paraId="711646A4"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300</w:t>
            </w:r>
          </w:p>
        </w:tc>
        <w:tc>
          <w:tcPr>
            <w:tcW w:w="960" w:type="dxa"/>
            <w:noWrap/>
            <w:vAlign w:val="bottom"/>
            <w:hideMark/>
          </w:tcPr>
          <w:p w14:paraId="7EA0FD2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011BEF6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27BCD5A2" w14:textId="34154D74" w:rsidR="00CA3A28" w:rsidRPr="00367563" w:rsidRDefault="00876D34"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{"citationID":"cld5Q474","properties":{"unsorted":false,"formattedCitation":"\\super 23\\nosupersub{}","plainCitation":"23","noteIndex":0},"citationItems":[{"id":1326,"uris":["http://zotero.org/users/7234110/items/ERCC4JLH"],"itemData":{"id":1326,"type":"article-journal","abstract":"Peptide agonists of the glucagon-like peptide-1 receptor (GLP-1R) have revolutionized diabetes therapy, but their use has been limited because they require injection. Herein, we describe the discovery of the orally bioavailable, small-molecule, GLP-1R agonist PF-06882961 (danuglipron). A sensitized high-throughput screen was used to identify 5-fluoropyrimidine-based GLP-1R agonists that were optimized to promote endogenous GLP-1R signaling with nanomolar potency. Incorporation of a carboxylic acid moiety provided considerable GLP-1R potency gains with improved off-target pharmacology and reduced metabolic clearance, ultimately resulting in the identification of danuglipron. Danuglipron increased insulin levels in primates but not rodents, which was explained by receptor mutagensis studies and a cryogenic electron microscope structure that revealed a binding pocket requiring a primate-specific tryptophan 33 residue. Oral administration of danuglipron to healthy humans produced dose-proportional increases in systemic exposure (NCT03309241). This opens an opportunity for oral small-molecule therapies that target the well-validated GLP-1R for metabolic health.","container-title":"Journal of Medicinal Chemistry","DOI":"10.1021/acs.jmedchem.1c01856","ISSN":"0022-2623","issue":"12","journalAbbreviation":"J. Med. Chem.","page":"8208-8226","publisher":"American Chemical Society","source":"ACS Publications","title":"A Small-Molecule Oral Agonist of the Human Glucagon-like Peptide-1 Receptor","volume":"65","author":[{"family":"Griffith","given":"David A."},{"family":"Edmonds","given":"David J."},{"family":"Fortin","given":"Jean-Philippe"},{"family":"Kalgutkar","given":"Amit S."},{"family":"Kuzmiski","given":"J. Brent"},{"family":"Loria","given":"Paula M."},{"family":"Saxena","given":"Aditi R."},{"family":"Bagley","given":"Scott W."},{"family":"Buckeridge","given":"Clare"},{"family":"Curto","given":"John M."},{"family":"Derksen","given":"David R."},{"family":"Dias","given":"João M."},{"family":"Griffor","given":"Matthew C."},{"family":"Han","given":"Seungil"},{"family":"Jackson","given":"V. Margaret"},{"family":"Landis","given":"Margaret S."},{"family":"Lettiere","given":"Daniel"},{"family":"Limberakis","given":"Chris"},{"family":"Liu","given":"Yuhang"},{"family":"Mathiowetz","given":"Alan M."},{"family":"Patel","given":"Jayesh C."},{"family":"Piotrowski","given":"David W."},{"family":"Price","given":"David A."},{"family":"Ruggeri","given":"Roger B."},{"family":"Tess","given":"David A."}],"issued":{"date-parts":[["2022",6,23]]}}}],"schema":"https://github.com/citation-style-language/schema/raw/master/csl-citation.json"}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23</w:t>
            </w:r>
            <w:r>
              <w:rPr>
                <w:rFonts w:ascii="Aptos Narrow" w:eastAsia="Times New Roman" w:hAnsi="Aptos Narrow" w:cs="Times New Roman"/>
                <w:color w:val="000000"/>
                <w:kern w:val="0"/>
                <w:sz w:val="22"/>
                <w:szCs w:val="22"/>
                <w14:ligatures w14:val="none"/>
              </w:rPr>
              <w:fldChar w:fldCharType="end"/>
            </w:r>
          </w:p>
        </w:tc>
      </w:tr>
      <w:tr w:rsidR="00CA3A28" w:rsidRPr="00367563" w14:paraId="6C8B46D1" w14:textId="77777777" w:rsidTr="00CA3A28">
        <w:trPr>
          <w:trHeight w:val="288"/>
        </w:trPr>
        <w:tc>
          <w:tcPr>
            <w:tcW w:w="2695" w:type="dxa"/>
            <w:noWrap/>
            <w:vAlign w:val="bottom"/>
            <w:hideMark/>
          </w:tcPr>
          <w:p w14:paraId="7D1CD7B1" w14:textId="58C7AA0A"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Digoxin</w:t>
            </w:r>
          </w:p>
        </w:tc>
        <w:tc>
          <w:tcPr>
            <w:tcW w:w="1330" w:type="dxa"/>
            <w:noWrap/>
            <w:vAlign w:val="bottom"/>
            <w:hideMark/>
          </w:tcPr>
          <w:p w14:paraId="568BAAAE"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0.25</w:t>
            </w:r>
          </w:p>
        </w:tc>
        <w:tc>
          <w:tcPr>
            <w:tcW w:w="960" w:type="dxa"/>
            <w:noWrap/>
            <w:vAlign w:val="bottom"/>
            <w:hideMark/>
          </w:tcPr>
          <w:p w14:paraId="471FC3B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28A4B3B4"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518EC0E7" w14:textId="0BD1C1C0" w:rsidR="00CA3A28" w:rsidRPr="00367563" w:rsidRDefault="002141CB"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{"citationID":"zqRFT38P","properties":{"unsorted":false,"formattedCitation":"\\super 24\\nosupersub{}","plainCitation":"24","noteIndex":0},"citationItems":[{"id":1314,"uris":["http://zotero.org/users/7234110/items/RUI7XD4Q"],"itemData":{"id":1314,"type":"article-journal","abstract":"Background and Objective\nA novel cocktail containing four substrates of key drug transporters was previously optimized to eliminate mutual drug–drug interactions between the probes digoxin (P-glycoprotein substrate), furosemide (organic anion transporter 1/3), metformin (organic cation transporter 2, multidrug and toxin extrusion protein 1/2-K), and rosuvastatin (organic anion transporting polypeptide 1B1/3, breast cancer resistance protein). This clinical trial investigated the effects of four commonly employed drug transporter inhibitors on cocktail drug pharmacokinetics.\n\nMethods\nIn a randomized open-label crossover trial in 45 healthy male subjects, treatment groups received the cocktail with or without single oral doses of rifampin, verapamil, cimetidine or probenecid. Concentrations of the probe drugs in serial plasma samples and urine fractions were measured by validated liquid chromatography-tandem mass spectrometry assays to assess systemic exposure.\n\nResults\nThe results were generally in accordance with known in vitro and/or clinical drug–drug interaction data. Single-dose rifampin increased rosuvastatin area under the plasma concentration–time curve up to the last quantifiable concentration (AUC0–tz) by 248% and maximum plasma concentration (Cmax) by 1025%. Probenecid increased furosemide AUC0–tz by 172% and Cmax by 23%. Cimetidine reduced metformin renal clearance by 26%. The effect of single-dose verapamil on digoxin systemic exposure was less than expected from multiple-dose studies (AUC0–tz unaltered, Cmax</w:instrText>
            </w:r>
            <w:r w:rsidR="000777C6">
              <w:rPr>
                <w:rFonts w:ascii="Arial" w:eastAsia="Times New Roman" w:hAnsi="Arial" w:cs="Arial"/>
                <w:color w:val="000000"/>
                <w:kern w:val="0"/>
                <w:sz w:val="22"/>
                <w:szCs w:val="22"/>
                <w14:ligatures w14:val="none"/>
              </w:rPr>
              <w:instrText> </w:instrText>
            </w:r>
            <w:r w:rsidR="000777C6">
              <w:rPr>
                <w:rFonts w:ascii="Aptos Narrow" w:eastAsia="Times New Roman" w:hAnsi="Aptos Narrow" w:cs="Times New Roman"/>
                <w:color w:val="000000"/>
                <w:kern w:val="0"/>
                <w:sz w:val="22"/>
                <w:szCs w:val="22"/>
                <w14:ligatures w14:val="none"/>
              </w:rPr>
              <w:instrText>+</w:instrText>
            </w:r>
            <w:r w:rsidR="000777C6">
              <w:rPr>
                <w:rFonts w:ascii="Arial" w:eastAsia="Times New Roman" w:hAnsi="Arial" w:cs="Arial"/>
                <w:color w:val="000000"/>
                <w:kern w:val="0"/>
                <w:sz w:val="22"/>
                <w:szCs w:val="22"/>
                <w14:ligatures w14:val="none"/>
              </w:rPr>
              <w:instrText> </w:instrText>
            </w:r>
            <w:r w:rsidR="000777C6">
              <w:rPr>
                <w:rFonts w:ascii="Aptos Narrow" w:eastAsia="Times New Roman" w:hAnsi="Aptos Narrow" w:cs="Times New Roman"/>
                <w:color w:val="000000"/>
                <w:kern w:val="0"/>
                <w:sz w:val="22"/>
                <w:szCs w:val="22"/>
                <w14:ligatures w14:val="none"/>
              </w:rPr>
              <w:instrText xml:space="preserve">22%).\n\nConclusions\nTaking all the interaction results together, the transporter cocktail is considered to be validated as a sensitive and specific tool for evaluating transporter-mediated drug–drug interactions in drug development.\n\nClinical Trial Registration\nEudraCT number 2017-001549-29.\n\nElectronic supplementary material\nThe online version of this article (10.1007/s40262-020-00907-w) contains supplementary material, which is available to authorized users.","container-title":"Clinical Pharmacokinetics","DOI":"10.1007/s40262-020-00907-w","ISSN":"0312-5963","issue":"12","journalAbbreviation":"Clin Pharmacokinet","page":"1627-1639","PMID":"32504272","PMCID":"PMC7716890","source":"PubMed Central","title":"Validation of a Drug Transporter Probe Cocktail Using the Prototypical Inhibitors Rifampin, Probenecid, Verapamil, and Cimetidine","volume":"59","author":[{"family":"Wiebe","given":"Sabrina T."},{"family":"Giessmann","given":"Thomas"},{"family":"Hohl","given":"Kathrin"},{"family":"Schmidt-Gerets","given":"Sven"},{"family":"Hauel","given":"Edith"},{"family":"Jambrecina","given":"Alen"},{"family":"Bader","given":"Kerstin"},{"family":"Ishiguro","given":"Naoki"},{"family":"Taub","given":"Mitchell E."},{"family":"Sharma","given":"Ashish"},{"family":"Ebner","given":"Thomas"},{"family":"Mikus","given":"Gerd"},{"family":"Fromm","given":"Martin F."},{"family":"Müller","given":"Fabian"},{"family":"Stopfer","given":"Peter"}],"issued":{"date-parts":[["2020"]]}}}],"schema":"https://github.com/citation-style-language/schema/raw/master/csl-citation.json"}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24</w:t>
            </w:r>
            <w:r>
              <w:rPr>
                <w:rFonts w:ascii="Aptos Narrow" w:eastAsia="Times New Roman" w:hAnsi="Aptos Narrow" w:cs="Times New Roman"/>
                <w:color w:val="000000"/>
                <w:kern w:val="0"/>
                <w:sz w:val="22"/>
                <w:szCs w:val="22"/>
                <w14:ligatures w14:val="none"/>
              </w:rPr>
              <w:fldChar w:fldCharType="end"/>
            </w:r>
          </w:p>
        </w:tc>
      </w:tr>
      <w:tr w:rsidR="00CA3A28" w:rsidRPr="00367563" w14:paraId="1C6ED09C" w14:textId="77777777" w:rsidTr="00CA3A28">
        <w:trPr>
          <w:trHeight w:val="288"/>
        </w:trPr>
        <w:tc>
          <w:tcPr>
            <w:tcW w:w="2695" w:type="dxa"/>
            <w:noWrap/>
            <w:vAlign w:val="bottom"/>
            <w:hideMark/>
          </w:tcPr>
          <w:p w14:paraId="3628A528"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lastRenderedPageBreak/>
              <w:t>Diltiazem</w:t>
            </w:r>
          </w:p>
        </w:tc>
        <w:tc>
          <w:tcPr>
            <w:tcW w:w="1330" w:type="dxa"/>
            <w:noWrap/>
            <w:vAlign w:val="bottom"/>
            <w:hideMark/>
          </w:tcPr>
          <w:p w14:paraId="5054B24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60</w:t>
            </w:r>
          </w:p>
        </w:tc>
        <w:tc>
          <w:tcPr>
            <w:tcW w:w="960" w:type="dxa"/>
            <w:noWrap/>
            <w:vAlign w:val="bottom"/>
            <w:hideMark/>
          </w:tcPr>
          <w:p w14:paraId="5C48BB04"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6D3B652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1AA3E402" w14:textId="6758473E" w:rsidR="00CA3A28" w:rsidRPr="00367563" w:rsidRDefault="00E25CDC"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{"citationID":"FKVu5Vai","properties":{"unsorted":false,"formattedCitation":"\\super 25\\nosupersub{}","plainCitation":"25","noteIndex":0},"citationItems":[{"id":1303,"uris":["http://zotero.org/users/7234110/items/M9RKQ3JF"],"itemData":{"id":1303,"type":"article-journal","abstract":"In a complete crossover study, balanced for sex and treatment order, we have investigated the pharmacokinetics of diltiazem in 10 healthy middle-aged volunteers. The treatments were 60 mg t.i.d. and 120 mg t.i.d. during 14 days' treatment, with the last dose pulsed with 1.85 MBq [14C]diltiazem. The absorption was rapid and did not differ between treatments. The disposition could be appropriately described using a two-compartment model with terminal half-lives of 6.57 +/- 1.41 h (mean +/- SD) after 60 mg t.i.d. and 5.44 +/- 0.66 h after 120 mg t.i.d. The half-life of the metabolite N-demethyldiltiazem (MA) was similar to that of diltiazem, whereas the half-lives of deacetyldiltiazem (M1) and N-demethyldeacetyldiltiazem (M2) were longer. The plasma concentrations and areas under the curve found after doubling of the dose were not significantly different from dose-adjusted directly proportional estimations. However, the mean concentration of MA in percent of diltiazem concentration was significantly higher at the lower-dose regimen 41 +/- 11% versus 36 +/- 8%, whereas the corresponding values for M1 were 11 +/- 3% versus 11 +/- 4% and for M2 12 +/- 4% versus 12 +/- 6%, respectively. The median cumulative excretions of radioactivity during 120 h were 90 and 93%, respectively. The drug was mainly excreted in urine (73 versus 73%, median), the remaining amounts were eliminated in feces.","container-title":"Therapeutic Drug Monitoring","ISSN":"0163-4356","issue":"5","journalAbbreviation":"Ther Drug Monit","language":"eng","page":"543-550","PMID":"2815229","source":"PubMed","title":"Pharmacokinetics of diltiazem and its metabolites after repeated multiple-dose treatments in healthy volunteers","volume":"11","author":[{"family":"Höglund","given":"P."},{"family":"Nilsson","given":"L. G."}],"issued":{"date-parts":[["1989",9]]}}}],"schema":"https://github.com/citation-style-language/schema/raw/master/csl-citation.json"}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25</w:t>
            </w:r>
            <w:r>
              <w:rPr>
                <w:rFonts w:ascii="Aptos Narrow" w:eastAsia="Times New Roman" w:hAnsi="Aptos Narrow" w:cs="Times New Roman"/>
                <w:color w:val="000000"/>
                <w:kern w:val="0"/>
                <w:sz w:val="22"/>
                <w:szCs w:val="22"/>
                <w14:ligatures w14:val="none"/>
              </w:rPr>
              <w:fldChar w:fldCharType="end"/>
            </w:r>
          </w:p>
        </w:tc>
      </w:tr>
      <w:tr w:rsidR="00CA3A28" w:rsidRPr="00367563" w14:paraId="1A2FF9EA" w14:textId="77777777" w:rsidTr="00CA3A28">
        <w:trPr>
          <w:trHeight w:val="288"/>
        </w:trPr>
        <w:tc>
          <w:tcPr>
            <w:tcW w:w="2695" w:type="dxa"/>
            <w:noWrap/>
            <w:vAlign w:val="bottom"/>
            <w:hideMark/>
          </w:tcPr>
          <w:p w14:paraId="6245A6C5"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Diltiazem</w:t>
            </w:r>
          </w:p>
        </w:tc>
        <w:tc>
          <w:tcPr>
            <w:tcW w:w="1330" w:type="dxa"/>
            <w:noWrap/>
            <w:vAlign w:val="bottom"/>
            <w:hideMark/>
          </w:tcPr>
          <w:p w14:paraId="251BB2F4"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120</w:t>
            </w:r>
          </w:p>
        </w:tc>
        <w:tc>
          <w:tcPr>
            <w:tcW w:w="960" w:type="dxa"/>
            <w:noWrap/>
            <w:vAlign w:val="bottom"/>
            <w:hideMark/>
          </w:tcPr>
          <w:p w14:paraId="32ACF6E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30881771"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6FF80DA2" w14:textId="27D8780B" w:rsidR="00CA3A28" w:rsidRPr="00367563" w:rsidRDefault="000A2592"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B548C7">
              <w:rPr>
                <w:rFonts w:ascii="Aptos Narrow" w:eastAsia="Times New Roman" w:hAnsi="Aptos Narrow" w:cs="Times New Roman"/>
                <w:color w:val="000000"/>
                <w:kern w:val="0"/>
                <w:sz w:val="22"/>
                <w:szCs w:val="22"/>
                <w14:ligatures w14:val="none"/>
              </w:rPr>
              <w:instrText xml:space="preserve"> ADDIN ZOTERO_ITEM CSL_CITATION {"citationID":"PtjPFXdL","properties":{"unsorted":false,"formattedCitation":"\\super 25\\nosupersub{}","plainCitation":"25","noteIndex":0},"citationItems":[{"id":1303,"uris":["http://zotero.org/users/7234110/items/M9RKQ3JF"],"itemData":{"id":1303,"type":"article-journal","abstract":"In a complete crossover study, balanced for sex and treatment order, we have investigated the pharmacokinetics of diltiazem in 10 healthy middle-aged volunteers. The treatments were 60 mg t.i.d. and 120 mg t.i.d. during 14 days' treatment, with the last dose pulsed with 1.85 MBq [14C]diltiazem. The absorption was rapid and did not differ between treatments. The disposition could be appropriately described using a two-compartment model with terminal half-lives of 6.57 +/- 1.41 h (mean +/- SD) after 60 mg t.i.d. and 5.44 +/- 0.66 h after 120 mg t.i.d. The half-life of the metabolite N-demethyldiltiazem (MA) was similar to that of diltiazem, whereas the half-lives of deacetyldiltiazem (M1) and N-demethyldeacetyldiltiazem (M2) were longer. The plasma concentrations and areas under the curve found after doubling of the dose were not significantly different from dose-adjusted directly proportional estimations. However, the mean concentration of MA in percent of diltiazem concentration was significantly higher at the lower-dose regimen 41 +/- 11% versus 36 +/- 8%, whereas the corresponding values for M1 were 11 +/- 3% versus 11 +/- 4% and for M2 12 +/- 4% versus 12 +/- 6%, respectively. The median cumulative excretions of radioactivity during 120 h were 90 and 93%, respectively. The drug was mainly excreted in urine (73 versus 73%, median), the remaining amounts were eliminated in feces.","container-title":"Therapeutic Drug Monitoring","ISSN":"0163-4356","issue":"5","journalAbbreviation":"Ther Drug Monit","language":"eng","page":"543-550","PMID":"2815229","source":"PubMed","title":"Pharmacokinetics of diltiazem and its metabolites after repeated multiple-dose treatments in healthy volunteers","volume":"11","author":[{"family":"Höglund","given":"P."},{"family":"Nilsson","given":"L. G."}],"issued":{"date-parts":[["1989",9]]}}}],"schema":"https://github.com/citation-style-language/schema/raw/master/csl-citation.json"}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777C6">
              <w:rPr>
                <w:rFonts w:ascii="Aptos Narrow" w:hAnsi="Aptos Narrow" w:cs="Times New Roman"/>
                <w:kern w:val="0"/>
                <w:sz w:val="22"/>
                <w:vertAlign w:val="superscript"/>
              </w:rPr>
              <w:t>25</w:t>
            </w:r>
            <w:r>
              <w:rPr>
                <w:rFonts w:ascii="Aptos Narrow" w:eastAsia="Times New Roman" w:hAnsi="Aptos Narrow" w:cs="Times New Roman"/>
                <w:color w:val="000000"/>
                <w:kern w:val="0"/>
                <w:sz w:val="22"/>
                <w:szCs w:val="22"/>
                <w14:ligatures w14:val="none"/>
              </w:rPr>
              <w:fldChar w:fldCharType="end"/>
            </w:r>
          </w:p>
        </w:tc>
      </w:tr>
      <w:tr w:rsidR="00CA3A28" w:rsidRPr="00367563" w14:paraId="459ADF98" w14:textId="77777777" w:rsidTr="00CA3A28">
        <w:trPr>
          <w:trHeight w:val="288"/>
        </w:trPr>
        <w:tc>
          <w:tcPr>
            <w:tcW w:w="2695" w:type="dxa"/>
            <w:noWrap/>
            <w:vAlign w:val="bottom"/>
            <w:hideMark/>
          </w:tcPr>
          <w:p w14:paraId="3D933570" w14:textId="03C791CA"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Edoxaban</w:t>
            </w:r>
            <w:proofErr w:type="spellEnd"/>
          </w:p>
        </w:tc>
        <w:tc>
          <w:tcPr>
            <w:tcW w:w="1330" w:type="dxa"/>
            <w:noWrap/>
            <w:vAlign w:val="bottom"/>
            <w:hideMark/>
          </w:tcPr>
          <w:p w14:paraId="5375E2B4"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60</w:t>
            </w:r>
          </w:p>
        </w:tc>
        <w:tc>
          <w:tcPr>
            <w:tcW w:w="960" w:type="dxa"/>
            <w:noWrap/>
            <w:vAlign w:val="bottom"/>
            <w:hideMark/>
          </w:tcPr>
          <w:p w14:paraId="6C86E52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0E11501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4939B328" w14:textId="43974E5C" w:rsidR="00CA3A28" w:rsidRPr="00367563" w:rsidRDefault="00DA3012"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{"citationID":"VSb6EM3n","properties":{"unsorted":false,"formattedCitation":"\\super 26,27\\nosupersub{}","plainCitation":"26,27","noteIndex":0},"citationItems":[{"id":1306,"uris":["http://zotero.org/users/7234110/items/AEI5GHKY"],"itemData":{"id":1306,"type":"article-journal","abstract":"This study determined the mass balance and pharmacokinetics of edoxaban in humans after oral administration of [¹⁴C]edoxaban. After oral administration of 60 mg (as active moiety) of [¹⁴C]edoxaban to six healthy male subjects, serial blood/plasma and urinary and fecal samples were collected for up to 168 h postdose. All samples were analyzed for total radioactivity by liquid scintillation counting and for concentrations of edoxaban and four metabolites in plasma, urine, and fecal samples by either high-performance liquid chromatography/tandem mass spectrometry method using multiple reaction modes, or a liquid chromatography radiometric method. The mean recovery of radioactivity was &gt;97% of the administered radioactive dose, with 62.2% eliminated in feces and 35.4% in urine. Unchanged edoxaban accounted for the majority of radioactivity, with 49.1 and 23.8% of the dose as parent observed in feces and urine, respectively. Unchanged edoxaban was the most abundant species in plasma, with a mean area under the curve (AUC)(0-∞) of 1596 ng · h/ml. The next most abundant species was metabolite M4, with a mean AUC(0-∞) 147 ng · h/ml. The mass balance of edoxaban was well described, with unchanged edoxaban as the most abundant component of total radioactivity. Edoxaban is eliminated through multiple pathways, but each accounts for only a small amount of overall elimination.","container-title":"Drug Metabolism and Disposition: The Biological Fate of Chemicals","DOI":"10.1124/dmd.112.046888","ISSN":"1521-009X","issue":"12","journalAbbreviation":"Drug Metab Dispos","language":"eng","page":"2250-2255","PMID":"22936313","source":"PubMed","title":"Pharmacokinetics, biotransformation, and mass balance of edoxaban, a selective, direct factor Xa inhibitor, in humans","volume":"40","author":[{"family":"Bathala","given":"Mohinder S."},{"family":"Masumoto","given":"Hiroshi"},{"family":"Oguma","given":"Toshihiro"},{"family":"He","given":"Ling"},{"family":"Lowrie","given":"Chris"},{"family":"Mendell","given":"Jeanne"}],"issued":{"date-parts":[["2012",12]]}}},{"id":1305,"uris":["http://zotero.org/users/7234110/items/4CVVYBRR"],"itemData":{"id":1305,"type":"document","publisher":"US Food and Drug Administration","title":"NDA 206316/S-019 Approval Letter (Savaysa)","author":[{"family":"","given":"US FDA"}],"issued":{"date-parts":[["2023",10,18]]}}}],"schema":"https://github.com/citation-style-language/schema/raw/master/csl-citation.json"}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26,27</w:t>
            </w:r>
            <w:r>
              <w:rPr>
                <w:rFonts w:ascii="Aptos Narrow" w:eastAsia="Times New Roman" w:hAnsi="Aptos Narrow" w:cs="Times New Roman"/>
                <w:color w:val="000000"/>
                <w:kern w:val="0"/>
                <w:sz w:val="22"/>
                <w:szCs w:val="22"/>
                <w14:ligatures w14:val="none"/>
              </w:rPr>
              <w:fldChar w:fldCharType="end"/>
            </w:r>
          </w:p>
        </w:tc>
      </w:tr>
      <w:tr w:rsidR="00CA3A28" w:rsidRPr="00367563" w14:paraId="7F0948FC" w14:textId="77777777" w:rsidTr="00CA3A28">
        <w:trPr>
          <w:trHeight w:val="288"/>
        </w:trPr>
        <w:tc>
          <w:tcPr>
            <w:tcW w:w="2695" w:type="dxa"/>
            <w:noWrap/>
            <w:vAlign w:val="bottom"/>
            <w:hideMark/>
          </w:tcPr>
          <w:p w14:paraId="6180B0CB" w14:textId="3CB7F260"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Edoxaban</w:t>
            </w:r>
            <w:proofErr w:type="spellEnd"/>
          </w:p>
        </w:tc>
        <w:tc>
          <w:tcPr>
            <w:tcW w:w="1330" w:type="dxa"/>
            <w:noWrap/>
            <w:vAlign w:val="bottom"/>
            <w:hideMark/>
          </w:tcPr>
          <w:p w14:paraId="210B4F2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60</w:t>
            </w:r>
          </w:p>
        </w:tc>
        <w:tc>
          <w:tcPr>
            <w:tcW w:w="960" w:type="dxa"/>
            <w:noWrap/>
            <w:vAlign w:val="bottom"/>
            <w:hideMark/>
          </w:tcPr>
          <w:p w14:paraId="49E7C11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5AE66A5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548B4CAC" w14:textId="3732C448" w:rsidR="00CA3A28" w:rsidRPr="00367563" w:rsidRDefault="00DA3012"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{"citationID":"zC2kgF2o","properties":{"unsorted":false,"formattedCitation":"\\super 27\\uc0\\u8211{}30\\nosupersub{}","plainCitation":"27–30","noteIndex":0},"citationItems":[{"id":1305,"uris":["http://zotero.org/users/7234110/items/4CVVYBRR"],"itemData":{"id":1305,"type":"document","publisher":"US Food and Drug Administration","title":"NDA 206316/S-019 Approval Letter (Savaysa)","author":[{"family":"","given":"US FDA"}],"issued":{"date-parts":[["2023",10,18]]}}},{"id":1310,"uris":["http://zotero.org/users/7234110/items/YF2QSS4M"],"itemData":{"id":1310,"type":"article-journal","abstract":"1. This study investigated the pharmacokinetics and pharmacodynamics of single-dose edoxaban in healthy Chinese subjects. 2. This single-centre, open-label, 3-occasion, cross-over study enrolled six males and six females. Subjects received a single-oral-dose of edoxaban 30-90</w:instrText>
            </w:r>
            <w:r w:rsidR="000777C6">
              <w:rPr>
                <w:rFonts w:ascii="Arial" w:eastAsia="Times New Roman" w:hAnsi="Arial" w:cs="Arial"/>
                <w:color w:val="000000"/>
                <w:kern w:val="0"/>
                <w:sz w:val="22"/>
                <w:szCs w:val="22"/>
                <w14:ligatures w14:val="none"/>
              </w:rPr>
              <w:instrText> </w:instrText>
            </w:r>
            <w:r w:rsidR="000777C6">
              <w:rPr>
                <w:rFonts w:ascii="Aptos Narrow" w:eastAsia="Times New Roman" w:hAnsi="Aptos Narrow" w:cs="Times New Roman"/>
                <w:color w:val="000000"/>
                <w:kern w:val="0"/>
                <w:sz w:val="22"/>
                <w:szCs w:val="22"/>
                <w14:ligatures w14:val="none"/>
              </w:rPr>
              <w:instrText>mg in each study occasion under fasting condition. Serial blood samples were collected to measure the plasma concentrations of edoxaban and its major active metabolite D21-2393. Meanwhile, PT, INR, aPTT were measured pre- and post-dose. Safety was assessed. 3. After administration, edoxaban was rapidly absorbed (median Tmax</w:instrText>
            </w:r>
            <w:r w:rsidR="000777C6">
              <w:rPr>
                <w:rFonts w:ascii="Arial" w:eastAsia="Times New Roman" w:hAnsi="Arial" w:cs="Arial"/>
                <w:color w:val="000000"/>
                <w:kern w:val="0"/>
                <w:sz w:val="22"/>
                <w:szCs w:val="22"/>
                <w14:ligatures w14:val="none"/>
              </w:rPr>
              <w:instrText> </w:instrText>
            </w:r>
            <w:r w:rsidR="000777C6">
              <w:rPr>
                <w:rFonts w:ascii="Aptos Narrow" w:eastAsia="Times New Roman" w:hAnsi="Aptos Narrow" w:cs="Times New Roman"/>
                <w:color w:val="000000"/>
                <w:kern w:val="0"/>
                <w:sz w:val="22"/>
                <w:szCs w:val="22"/>
                <w14:ligatures w14:val="none"/>
              </w:rPr>
              <w:instrText>=</w:instrText>
            </w:r>
            <w:r w:rsidR="000777C6">
              <w:rPr>
                <w:rFonts w:ascii="Arial" w:eastAsia="Times New Roman" w:hAnsi="Arial" w:cs="Arial"/>
                <w:color w:val="000000"/>
                <w:kern w:val="0"/>
                <w:sz w:val="22"/>
                <w:szCs w:val="22"/>
                <w14:ligatures w14:val="none"/>
              </w:rPr>
              <w:instrText> </w:instrText>
            </w:r>
            <w:r w:rsidR="000777C6">
              <w:rPr>
                <w:rFonts w:ascii="Aptos Narrow" w:eastAsia="Times New Roman" w:hAnsi="Aptos Narrow" w:cs="Times New Roman"/>
                <w:color w:val="000000"/>
                <w:kern w:val="0"/>
                <w:sz w:val="22"/>
                <w:szCs w:val="22"/>
                <w14:ligatures w14:val="none"/>
              </w:rPr>
              <w:instrText>1-2</w:instrText>
            </w:r>
            <w:r w:rsidR="000777C6">
              <w:rPr>
                <w:rFonts w:ascii="Arial" w:eastAsia="Times New Roman" w:hAnsi="Arial" w:cs="Arial"/>
                <w:color w:val="000000"/>
                <w:kern w:val="0"/>
                <w:sz w:val="22"/>
                <w:szCs w:val="22"/>
                <w14:ligatures w14:val="none"/>
              </w:rPr>
              <w:instrText> </w:instrText>
            </w:r>
            <w:r w:rsidR="000777C6">
              <w:rPr>
                <w:rFonts w:ascii="Aptos Narrow" w:eastAsia="Times New Roman" w:hAnsi="Aptos Narrow" w:cs="Times New Roman"/>
                <w:color w:val="000000"/>
                <w:kern w:val="0"/>
                <w:sz w:val="22"/>
                <w:szCs w:val="22"/>
                <w14:ligatures w14:val="none"/>
              </w:rPr>
              <w:instrText>h). With rapid transformation, peak concentration of D21-2393 was reached within 2-h post-dose. The elimination half-life of edoxaban was 5-20</w:instrText>
            </w:r>
            <w:r w:rsidR="000777C6">
              <w:rPr>
                <w:rFonts w:ascii="Arial" w:eastAsia="Times New Roman" w:hAnsi="Arial" w:cs="Arial"/>
                <w:color w:val="000000"/>
                <w:kern w:val="0"/>
                <w:sz w:val="22"/>
                <w:szCs w:val="22"/>
                <w14:ligatures w14:val="none"/>
              </w:rPr>
              <w:instrText> </w:instrText>
            </w:r>
            <w:r w:rsidR="000777C6">
              <w:rPr>
                <w:rFonts w:ascii="Aptos Narrow" w:eastAsia="Times New Roman" w:hAnsi="Aptos Narrow" w:cs="Times New Roman"/>
                <w:color w:val="000000"/>
                <w:kern w:val="0"/>
                <w:sz w:val="22"/>
                <w:szCs w:val="22"/>
                <w14:ligatures w14:val="none"/>
              </w:rPr>
              <w:instrText>h. The dose-exposure relationships were slightly lower-than-dose-proportional for both edoxaban and D21-2393. Although women had higher plasma exposure of edoxaban and D21-2393 than men, it was considered clinically insignificant. 4. The effects of edoxaban on all pharmacodynamic biomarkers were concentration-dependent and linearly-correlated to plasma level of the compound. Minor bleeding was the most commonly reported adverse events. 5. Single oral doses of edoxaban 30-90</w:instrText>
            </w:r>
            <w:r w:rsidR="000777C6">
              <w:rPr>
                <w:rFonts w:ascii="Arial" w:eastAsia="Times New Roman" w:hAnsi="Arial" w:cs="Arial"/>
                <w:color w:val="000000"/>
                <w:kern w:val="0"/>
                <w:sz w:val="22"/>
                <w:szCs w:val="22"/>
                <w14:ligatures w14:val="none"/>
              </w:rPr>
              <w:instrText> </w:instrText>
            </w:r>
            <w:r w:rsidR="000777C6">
              <w:rPr>
                <w:rFonts w:ascii="Aptos Narrow" w:eastAsia="Times New Roman" w:hAnsi="Aptos Narrow" w:cs="Times New Roman"/>
                <w:color w:val="000000"/>
                <w:kern w:val="0"/>
                <w:sz w:val="22"/>
                <w:szCs w:val="22"/>
                <w14:ligatures w14:val="none"/>
              </w:rPr>
              <w:instrText>mg were safe and well tolerated in healthy Chinese volunteers. 6. The pharmacokinetic and pharmacodynamic profiles of edoxaban in Chinese subjects were comparable to those observed in Caucasian and Japanese populations.","container-title":"Xenobiotica; the Fate of Foreign Compounds in Biological Systems","DOI":"10.1080/00498254.2016.1207825","ISSN":"1366-5928","issue":"7","journalAbbreviation":"Xenobiotica","language":"eng","page":"592-599","PMID":"27560456","source":"PubMed","title":"A single-dose study investigating the pharmacokinetics and pharmacodynamics of edoxaban at 30-90</w:instrText>
            </w:r>
            <w:r w:rsidR="000777C6">
              <w:rPr>
                <w:rFonts w:ascii="Arial" w:eastAsia="Times New Roman" w:hAnsi="Arial" w:cs="Arial"/>
                <w:color w:val="000000"/>
                <w:kern w:val="0"/>
                <w:sz w:val="22"/>
                <w:szCs w:val="22"/>
                <w14:ligatures w14:val="none"/>
              </w:rPr>
              <w:instrText> </w:instrText>
            </w:r>
            <w:r w:rsidR="000777C6">
              <w:rPr>
                <w:rFonts w:ascii="Aptos Narrow" w:eastAsia="Times New Roman" w:hAnsi="Aptos Narrow" w:cs="Times New Roman"/>
                <w:color w:val="000000"/>
                <w:kern w:val="0"/>
                <w:sz w:val="22"/>
                <w:szCs w:val="22"/>
                <w14:ligatures w14:val="none"/>
              </w:rPr>
              <w:instrText>mg in healthy Chinese volunteers","volume":"47","author":[{"family":"Chen","given":"Xia"},{"family":"Liu","given":"Dongyang"},{"family":"Wu","given":"Yiwen"},{"family":"Song","given":"Hanlin"},{"family":"Liu","given":"Yang"},{"family":"Jiang","given":"Ji"},{"family":"Hu","given":"Pei"}],"issued":{"date-parts":[["2017",7]]}}},{"id":1312,"uris":["http://zotero.org/users/7234110/items/4QEVLRD9"],"itemData":{"id":1312,"type":"article-journal","abstract":"This is a clinical safety, tolerability, pharmacokinetics (PK), and pharmacodynamics (PD) study of a single ascending dose (SAD) and a multiple ascending dose (MAD) of the oral direct factor Xa inhibitor edoxaban in healthy males. The placebo-controlled, single-blind, randomized, 2-part study consists of a SAD arm with 85 subjects (10, 30, 60, 90, 120, 150 mg) and a MAD arm with 36 subjects (90 mg daily, 60 mg twice daily, 120 mg daily). Effects of food and formulation (tablet vs solution) are assessed in a crossover substudy. In the SAD, doses are well tolerated up to 150 mg. Exposure is proportional to dose. PK profiles are consistent across dose with rapid absorption, biphasic elimination, and terminal elimination half-life of 5.8 to 10.7 hours. In the MAD, mean accumulation after daily dosing is 1.10 to 1.13 and consistent with elimination half-life of 8.75 to 10.4 hours. Intrasubject variability ranges from 12% to 17% for area under the curve. In general, plasma edoxaban concentrations are linearly correlated with coagulation parameters. Edoxaban is safe and well tolerated with no dose-dependent increases in adverse events. It is concluded that single and multiple doses of edoxaban are safe and well tolerated up to 150 mg with predictable PK and PD profiles.","container-title":"Journal of Clinical Pharmacology","DOI":"10.1177/0091270009351883","ISSN":"1552-4604","issue":"7","journalAbbreviation":"J Clin Pharmacol","language":"eng","page":"743-753","PMID":"20081065","source":"PubMed","title":"Clinical safety, tolerability, pharmacokinetics, and pharmacodynamics of the novel factor Xa inhibitor edoxaban in healthy volunteers","volume":"50","author":[{"family":"Ogata","given":"Koichiro"},{"family":"Mendell-Harary","given":"Jeanne"},{"family":"Tachibana","given":"Masaya"},{"family":"Masumoto","given":"Hiroshi"},{"family":"Oguma","given":"Toshihiro"},{"family":"Kojima","given":"Masazumi"},{"family":"Kunitada","given":"Satoshi"}],"issued":{"date-parts":[["2010",7]]}}},{"id":1308,"uris":["http://zotero.org/users/7234110/items/4IK3LG2V"],"itemData":{"id":1308,"type":"article-journal","abstract":"BACKGROUND: Edoxaban is an oral, once-daily, direct factor Xa inhibitor under investigation for stroke prevention in patients with atrial fibrillation and for treatment and secondary prevention of venous thromboembolism. This study evaluated edoxaban absolute bioavailability and effects of the P-glycoprotein inhibitor quinidine on edoxaban pharmacokinetics after intravenous edoxaban administration.\nMETHODS: Healthy volunteers received three treatments in a randomized sequence: single oral 60-mg edoxaban dose, single intravenous 30-mg edoxaban dose, and concomitant single intravenous 30-mg edoxaban dose with quinidine 300</w:instrText>
            </w:r>
            <w:r w:rsidR="000777C6">
              <w:rPr>
                <w:rFonts w:ascii="Arial" w:eastAsia="Times New Roman" w:hAnsi="Arial" w:cs="Arial"/>
                <w:color w:val="000000"/>
                <w:kern w:val="0"/>
                <w:sz w:val="22"/>
                <w:szCs w:val="22"/>
                <w14:ligatures w14:val="none"/>
              </w:rPr>
              <w:instrText> </w:instrText>
            </w:r>
            <w:r w:rsidR="000777C6">
              <w:rPr>
                <w:rFonts w:ascii="Aptos Narrow" w:eastAsia="Times New Roman" w:hAnsi="Aptos Narrow" w:cs="Times New Roman"/>
                <w:color w:val="000000"/>
                <w:kern w:val="0"/>
                <w:sz w:val="22"/>
                <w:szCs w:val="22"/>
                <w14:ligatures w14:val="none"/>
              </w:rPr>
              <w:instrText>mg every 8</w:instrText>
            </w:r>
            <w:r w:rsidR="000777C6">
              <w:rPr>
                <w:rFonts w:ascii="Arial" w:eastAsia="Times New Roman" w:hAnsi="Arial" w:cs="Arial"/>
                <w:color w:val="000000"/>
                <w:kern w:val="0"/>
                <w:sz w:val="22"/>
                <w:szCs w:val="22"/>
                <w14:ligatures w14:val="none"/>
              </w:rPr>
              <w:instrText> </w:instrText>
            </w:r>
            <w:r w:rsidR="000777C6">
              <w:rPr>
                <w:rFonts w:ascii="Aptos Narrow" w:eastAsia="Times New Roman" w:hAnsi="Aptos Narrow" w:cs="Times New Roman"/>
                <w:color w:val="000000"/>
                <w:kern w:val="0"/>
                <w:sz w:val="22"/>
                <w:szCs w:val="22"/>
                <w14:ligatures w14:val="none"/>
              </w:rPr>
              <w:instrText xml:space="preserve">hours for 4 days. The primary objective was to determine absolute bioavailability of edoxaban. Secondary objectives included pharmacokinetics and pharmacodynamics of edoxaban after oral or intravenous administration, quinidine effect on intravenous edoxaban pharmacokinetics, and safety.\nRESULTS: Thirty-six subjects were randomized; five discontinued (three for adverse events [AEs]). Edoxaban oral absolute bioavailability was 61.8%. With concomitant quinidine, total edoxaban exposure increased </w:instrText>
            </w:r>
            <w:r w:rsidR="000777C6">
              <w:rPr>
                <w:rFonts w:ascii="Cambria Math" w:eastAsia="Times New Roman" w:hAnsi="Cambria Math" w:cs="Cambria Math"/>
                <w:color w:val="000000"/>
                <w:kern w:val="0"/>
                <w:sz w:val="22"/>
                <w:szCs w:val="22"/>
                <w14:ligatures w14:val="none"/>
              </w:rPr>
              <w:instrText>∼</w:instrText>
            </w:r>
            <w:r w:rsidR="000777C6">
              <w:rPr>
                <w:rFonts w:ascii="Aptos Narrow" w:eastAsia="Times New Roman" w:hAnsi="Aptos Narrow" w:cs="Times New Roman"/>
                <w:color w:val="000000"/>
                <w:kern w:val="0"/>
                <w:sz w:val="22"/>
                <w:szCs w:val="22"/>
                <w14:ligatures w14:val="none"/>
              </w:rPr>
              <w:instrText xml:space="preserve">35% and total clearance decreased </w:instrText>
            </w:r>
            <w:r w:rsidR="000777C6">
              <w:rPr>
                <w:rFonts w:ascii="Cambria Math" w:eastAsia="Times New Roman" w:hAnsi="Cambria Math" w:cs="Cambria Math"/>
                <w:color w:val="000000"/>
                <w:kern w:val="0"/>
                <w:sz w:val="22"/>
                <w:szCs w:val="22"/>
                <w14:ligatures w14:val="none"/>
              </w:rPr>
              <w:instrText>∼</w:instrText>
            </w:r>
            <w:r w:rsidR="000777C6">
              <w:rPr>
                <w:rFonts w:ascii="Aptos Narrow" w:eastAsia="Times New Roman" w:hAnsi="Aptos Narrow" w:cs="Times New Roman"/>
                <w:color w:val="000000"/>
                <w:kern w:val="0"/>
                <w:sz w:val="22"/>
                <w:szCs w:val="22"/>
                <w14:ligatures w14:val="none"/>
              </w:rPr>
              <w:instrText>25%. Coagulation parameters increased after edoxaban administration in most subjects, but returned to baseline within 24</w:instrText>
            </w:r>
            <w:r w:rsidR="000777C6">
              <w:rPr>
                <w:rFonts w:ascii="Arial" w:eastAsia="Times New Roman" w:hAnsi="Arial" w:cs="Arial"/>
                <w:color w:val="000000"/>
                <w:kern w:val="0"/>
                <w:sz w:val="22"/>
                <w:szCs w:val="22"/>
                <w14:ligatures w14:val="none"/>
              </w:rPr>
              <w:instrText> </w:instrText>
            </w:r>
            <w:r w:rsidR="000777C6">
              <w:rPr>
                <w:rFonts w:ascii="Aptos Narrow" w:eastAsia="Times New Roman" w:hAnsi="Aptos Narrow" w:cs="Times New Roman"/>
                <w:color w:val="000000"/>
                <w:kern w:val="0"/>
                <w:sz w:val="22"/>
                <w:szCs w:val="22"/>
                <w14:ligatures w14:val="none"/>
              </w:rPr>
              <w:instrText xml:space="preserve">hours postdose. No deaths, serious AEs, or bleeding-related AEs occurred.\nCONCLUSIONS: Absolute bioavailability of edoxaban in healthy volunteers was established (61.8%). Edoxaban, administered orally or intravenously, appeared to be safe and well tolerated.","container-title":"Clinical Pharmacology in Drug Development","DOI":"10.1002/cpdd.53","ISSN":"2160-763X","issue":"4","journalAbbreviation":"Clin Pharmacol Drug Dev","language":"eng","page":"358-366","PMID":"27121940","source":"PubMed","title":"Bioavailability and Safety of the Factor Xa Inhibitor Edoxaban and the Effects of Quinidine in Healthy Subjects","volume":"2","author":[{"family":"Matsushima","given":"Nobuko"},{"family":"Lee","given":"Frank"},{"family":"Sato","given":"Toshiyuki"},{"family":"Weiss","given":"Daniel"},{"family":"Mendell","given":"Jeanne"}],"issued":{"date-parts":[["2013",10]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27–30</w:t>
            </w:r>
            <w:r>
              <w:rPr>
                <w:rFonts w:ascii="Aptos Narrow" w:eastAsia="Times New Roman" w:hAnsi="Aptos Narrow" w:cs="Times New Roman"/>
                <w:color w:val="000000"/>
                <w:kern w:val="0"/>
                <w:sz w:val="22"/>
                <w:szCs w:val="22"/>
                <w14:ligatures w14:val="none"/>
              </w:rPr>
              <w:fldChar w:fldCharType="end"/>
            </w:r>
          </w:p>
        </w:tc>
      </w:tr>
      <w:tr w:rsidR="00CA3A28" w:rsidRPr="00367563" w14:paraId="57300DD2" w14:textId="77777777" w:rsidTr="00CA3A28">
        <w:trPr>
          <w:trHeight w:val="288"/>
        </w:trPr>
        <w:tc>
          <w:tcPr>
            <w:tcW w:w="2695" w:type="dxa"/>
            <w:noWrap/>
            <w:vAlign w:val="bottom"/>
            <w:hideMark/>
          </w:tcPr>
          <w:p w14:paraId="2241D7F8" w14:textId="1D29D2B0"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Efavirenz</w:t>
            </w:r>
          </w:p>
        </w:tc>
        <w:tc>
          <w:tcPr>
            <w:tcW w:w="1330" w:type="dxa"/>
            <w:noWrap/>
            <w:vAlign w:val="bottom"/>
            <w:hideMark/>
          </w:tcPr>
          <w:p w14:paraId="530718A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100</w:t>
            </w:r>
          </w:p>
        </w:tc>
        <w:tc>
          <w:tcPr>
            <w:tcW w:w="960" w:type="dxa"/>
            <w:noWrap/>
            <w:vAlign w:val="bottom"/>
            <w:hideMark/>
          </w:tcPr>
          <w:p w14:paraId="5249135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58788AB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236E3D3D" w14:textId="43FFBC79" w:rsidR="00CA3A28" w:rsidRPr="00367563" w:rsidRDefault="00274CA1"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{"citationID":"DJ3KZaKQ","properties":{"unsorted":false,"formattedCitation":"\\super 31\\nosupersub{}","plainCitation":"31","noteIndex":0},"citationItems":[{"id":1298,"uris":["http://zotero.org/users/7234110/items/AH6JQUWZ"],"itemData":{"id":1298,"type":"article-journal","abstract":"Cytochrome P450 2B6 (CYP2B6) metabolizes clinically important drugs and other compounds. Its expression and activity vary widely among individuals, but quantitative estimation is hampered by the lack of safe and selective in vivo probes of CYP2B6 activity. Efavirenz, a nonnucleoside HIV-1 reverse transcriptase inhibitor, is mainly cleared by CYP2B6, an enzyme strongly inhibited in vitro by voriconazole. To test efavirenz metabolism as an in vivo probe of CYP2B6 activity, we quantified the inhibition of CYP2B6 activity by voriconazole in 61 healthy volunteers administered a single 100-mg oral dose of efavirenz with and without voriconazole administration. The kinetics of efavirenz metabolites demonstrated formation rate-limited elimination. Compared to control, voriconazole prolonged the elimination half-life (t1/2) and increased both the maximum concentration of drug in serum (Cmax) and the area under the concentration-time curve from 0 h to t (AUC0–t) of efavirenz (mean change of 51%, 36%, and 89%, respectively) (P &lt; 0.0001) with marked intersubject variability (e.g., the percent change in efavirenz AUC0–t ranged from 0.4% to </w:instrText>
            </w:r>
            <w:r w:rsidR="000777C6">
              <w:rPr>
                <w:rFonts w:ascii="Cambria Math" w:eastAsia="Times New Roman" w:hAnsi="Cambria Math" w:cs="Cambria Math"/>
                <w:color w:val="000000"/>
                <w:kern w:val="0"/>
                <w:sz w:val="22"/>
                <w:szCs w:val="22"/>
                <w14:ligatures w14:val="none"/>
              </w:rPr>
              <w:instrText>∼</w:instrText>
            </w:r>
            <w:r w:rsidR="000777C6">
              <w:rPr>
                <w:rFonts w:ascii="Aptos Narrow" w:eastAsia="Times New Roman" w:hAnsi="Aptos Narrow" w:cs="Times New Roman"/>
                <w:color w:val="000000"/>
                <w:kern w:val="0"/>
                <w:sz w:val="22"/>
                <w:szCs w:val="22"/>
                <w14:ligatures w14:val="none"/>
              </w:rPr>
              <w:instrText xml:space="preserve">224%). Voriconazole decreased efavirenz 8-hydroxylation by greater than 60% (P &lt; 0.0001), whereas its effect on 7-hydroxylation was marginal. The plasma concentration ratio of efavirenz to 8-hydroxyefavirenz, determined 1 to 6 h after dosing, was significantly increased by voriconazole and correlated with the efavirenz AUC0–t (Pearson r = &gt;0.8; P &lt; 0.0001). This study demonstrates the mechanisms of voriconazole-efavirenz interaction, establishes the use of a low dose of efavirenz as a safe and selective in vivo probe for phenotyping CYP2B6 activity, and identifies several easy-to-use indices that should enhance understanding of the mechanisms of CYP2B6 interindividual variability. (This study is registered at ClinicalTrials.gov under identifier NCT01104376.)","container-title":"Antimicrobial Agents and Chemotherapy","DOI":"10.1128/aac.01000-16","issue":"11","page":"6813-6822","publisher":"American Society for Microbiology","source":"journals.asm.org (Atypon)","title":"Inhibition of Cytochrome P450 2B6 Activity by Voriconazole Profiled Using Efavirenz Disposition in Healthy Volunteers","volume":"60","author":[{"family":"Desta","given":"Zeruesenay"},{"family":"Metzger","given":"Ingrid F."},{"family":"Thong","given":"Nancy"},{"family":"Lu","given":"Jessica B. L."},{"family":"Callaghan","given":"John T."},{"family":"Skaar","given":"Todd C."},{"family":"Flockhart","given":"David A."},{"family":"Galinsky","given":"Raymond E."}],"issued":{"date-parts":[["2016",10,21]]}}}],"schema":"https://github.com/citation-style-language/schema/raw/master/csl-citation.json"}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31</w:t>
            </w:r>
            <w:r>
              <w:rPr>
                <w:rFonts w:ascii="Aptos Narrow" w:eastAsia="Times New Roman" w:hAnsi="Aptos Narrow" w:cs="Times New Roman"/>
                <w:color w:val="000000"/>
                <w:kern w:val="0"/>
                <w:sz w:val="22"/>
                <w:szCs w:val="22"/>
                <w14:ligatures w14:val="none"/>
              </w:rPr>
              <w:fldChar w:fldCharType="end"/>
            </w:r>
          </w:p>
        </w:tc>
      </w:tr>
      <w:tr w:rsidR="00CA3A28" w:rsidRPr="00367563" w14:paraId="06FD8339" w14:textId="77777777" w:rsidTr="00CA3A28">
        <w:trPr>
          <w:trHeight w:val="288"/>
        </w:trPr>
        <w:tc>
          <w:tcPr>
            <w:tcW w:w="2695" w:type="dxa"/>
            <w:noWrap/>
            <w:vAlign w:val="bottom"/>
            <w:hideMark/>
          </w:tcPr>
          <w:p w14:paraId="698F2820" w14:textId="7D83705E"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Efavirenz</w:t>
            </w:r>
          </w:p>
        </w:tc>
        <w:tc>
          <w:tcPr>
            <w:tcW w:w="1330" w:type="dxa"/>
            <w:noWrap/>
            <w:vAlign w:val="bottom"/>
            <w:hideMark/>
          </w:tcPr>
          <w:p w14:paraId="3403309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200</w:t>
            </w:r>
          </w:p>
        </w:tc>
        <w:tc>
          <w:tcPr>
            <w:tcW w:w="960" w:type="dxa"/>
            <w:noWrap/>
            <w:vAlign w:val="bottom"/>
            <w:hideMark/>
          </w:tcPr>
          <w:p w14:paraId="796CBA78"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5B3A79B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6D5C3F83" w14:textId="3549A438" w:rsidR="00CA3A28" w:rsidRPr="00367563" w:rsidRDefault="00274CA1"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{"citationID":"4RarLPfb","properties":{"unsorted":false,"formattedCitation":"\\super 32\\nosupersub{}","plainCitation":"32","noteIndex":0},"citationItems":[{"id":1296,"uris":["http://zotero.org/users/7234110/items/7DFX4KID"],"itemData":{"id":1296,"type":"article-journal","abstract":"AIMS: To evaluate the effects of clopidogrel and itraconazole on the disposition of efavirenz and its hydroxyl metabolites in relation to the CYP2B6*6 genotype and explore potential phenotyping indices for CYP2B6 activity in vivo using a low dose of oral efavirenz.\nMETHODS: We conducted a randomized three phase crossover study in 17 healthy Korean subjects pre-genotyped for the CYP2B6*6 allele (CYP2B6*1/*1, n = 6; *1/*6, n = 6; *6/*6, n = 5). Subjects were pretreated with clopidogrel (75 mg day(-1) for 4 days), itraconazole (200 mg day(-1) for 6 days), or placebo and then given a single dose of efavirenz (200 mg). The plasma (0-120 h) and urine (0-24 h) concentrations of efavirenz and its metabolites (7- and 8-hydroxyefavirenz and 8,14-dihydroxyefavirenz) were determined by LC/MS/MS.\nRESULTS: This study is the first to delineate quantitatively the full (phase I and II) metabolic profile of efavirenz and its three hydroxyl metabolites in humans. Clopidogrel pretreatment markedly decreased AUC(0,48 h), C(max) and Ae(0,24 h) for 8,14-dihydroxyefavirenz, compared with placebo; 95% CI of the ratios were 0.55, 0.73, 0.30, 0.45 and 0.25, 0.47, respectively. The 8,14-dihydroxyefavirenz : efavirenz AUC(0,120 h) ratio was significantly correlated with the weight-adjusted CL/F of efavirenz (r(2) ≈ 0.4, P &lt; 0.05), differed with CYP2B6*6 genotype and was affected by clopidogrel pretreatment (P &lt; 0.05) but not by itraconazole pretreatment.\nCONCLUSIONS: The disposition of 8,14-dihydroxy-EFV appears to be sensitive to CYP2B6 activity alterations in human subjects. The 8,14-dihydroxyefaviremz : efavirenz AUC(0,120 h) ratio is attractive as a candidate phenotyping index for CYP2B6 activity in vivo.","container-title":"British Journal of Clinical Pharmacology","DOI":"10.1111/j.1365-2125.2012.04314.x","ISSN":"1365-2125","issue":"1","journalAbbreviation":"Br J Clin Pharmacol","language":"eng","page":"244-253","PMID":"22554354","PMCID":"PMC3555064","source":"PubMed","title":"Effects of clopidogrel and itraconazole on the disposition of efavirenz and its hydroxyl metabolites: exploration of a novel CYP2B6 phenotyping index","title-short":"Effects of clopidogrel and itraconazole on the disposition of efavirenz and its hydroxyl metabolites","volume":"75","author":[{"family":"Jiang","given":"Fen"},{"family":"Desta","given":"Zeruesenay"},{"family":"Shon","given":"Ji-Hong"},{"family":"Yeo","given":"Chang-Woo"},{"family":"Kim","given":"Ho-Sook"},{"family":"Liu","given":"Kwang-Hyeon"},{"family":"Bae","given":"Soo-Kyung"},{"family":"Lee","given":"Sang-Seop"},{"family":"Flockhart","given":"David A."},{"family":"Shin","given":"Jae-Gook"}],"issued":{"date-parts":[["2013",1]]}}}],"schema":"https://github.com/citation-style-language/schema/raw/master/csl-citation.json"}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32</w:t>
            </w:r>
            <w:r>
              <w:rPr>
                <w:rFonts w:ascii="Aptos Narrow" w:eastAsia="Times New Roman" w:hAnsi="Aptos Narrow" w:cs="Times New Roman"/>
                <w:color w:val="000000"/>
                <w:kern w:val="0"/>
                <w:sz w:val="22"/>
                <w:szCs w:val="22"/>
                <w14:ligatures w14:val="none"/>
              </w:rPr>
              <w:fldChar w:fldCharType="end"/>
            </w:r>
          </w:p>
        </w:tc>
      </w:tr>
      <w:tr w:rsidR="00CA3A28" w:rsidRPr="00367563" w14:paraId="7E501C87" w14:textId="77777777" w:rsidTr="00CA3A28">
        <w:trPr>
          <w:trHeight w:val="288"/>
        </w:trPr>
        <w:tc>
          <w:tcPr>
            <w:tcW w:w="2695" w:type="dxa"/>
            <w:noWrap/>
            <w:vAlign w:val="bottom"/>
            <w:hideMark/>
          </w:tcPr>
          <w:p w14:paraId="469FD449" w14:textId="30AC362D"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Efavirenz</w:t>
            </w:r>
          </w:p>
        </w:tc>
        <w:tc>
          <w:tcPr>
            <w:tcW w:w="1330" w:type="dxa"/>
            <w:noWrap/>
            <w:vAlign w:val="bottom"/>
            <w:hideMark/>
          </w:tcPr>
          <w:p w14:paraId="7C9FBF4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600</w:t>
            </w:r>
          </w:p>
        </w:tc>
        <w:tc>
          <w:tcPr>
            <w:tcW w:w="960" w:type="dxa"/>
            <w:noWrap/>
            <w:vAlign w:val="bottom"/>
            <w:hideMark/>
          </w:tcPr>
          <w:p w14:paraId="177AAB1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58025B29"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6D700A82" w14:textId="193A1B47" w:rsidR="00CA3A28" w:rsidRPr="00367563" w:rsidRDefault="00274CA1"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{"citationID":"YNIGZVqz","properties":{"unsorted":false,"formattedCitation":"\\super 33,34\\nosupersub{}","plainCitation":"33,34","noteIndex":0},"citationItems":[{"id":1301,"uris":["http://zotero.org/users/7234110/items/5RNG3YUW"],"itemData":{"id":1301,"type":"article-journal","abstract":"The effect of rifampin on the in vivo metabolism of the antiretroviral drug efavirenz was evaluated in healthy volunteers. In a cross-over placebo control trial, healthy subjects (n = 20) were administered a single 600 mg oral dose of efavirenz after pretreatment with placebo or rifampin (600 mg/day for 10 days). Plasma and urine concentrations of efavirenz, 8-hydroxyefavirenz and 8,14-dihydroxyefavirenz were measured by LC–MS/MS. Compared to placebo treatment, rifampin increased the oral clearance (by ~2.5-fold) and decreased maximum plasma concentration (Cmax) and area under the plasma concentration–time curve (AUC0–∞) of efavirenz (by ~1.6- and ~2.5-fold respectively) (p &lt; 0.001). Rifampin treatment substantially increased the Cmax and AUC0–12h of 8-hydroxyefavirenz and 8,14-dihydroxyefavirenz, metabolic ratio (AUC0–72h of metabolites to AUC0–72h efavirenz) and the amount of metabolites excreted in urine (Ae0–12hr) (all, p &lt; 0.01). Female subjects had longer elimination half-life (1.6–2.2-fold) and larger weight-adjusted distribution volume (1.6– 1.9-fold) of efavirenz than male subjects (p &lt; 0.05) in placebo and rifampin treated groups respectively. In conclusion, rifampin enhances CYP2B6-mediated efavirenz 8-hydroxylation in vivo. The metabolism of a single oral dose of efavirenz may be a suitable in vivo marker of CYP2B6 activity to evaluate induction drug interactions involving this enzyme.","container-title":"Drug metabolism and pharmacokinetics","DOI":"10.1016/j.dmpk.2015.07.002","ISSN":"1347-4367","issue":"2","journalAbbreviation":"Drug Metab Pharmacokinet","page":"107-116","PMID":"27053325","PMCID":"PMC4974081","source":"PubMed Central","title":"Rifampin enhances cytochrome P450 (CYP) 2B6-mediated efavirenz 8-hydroxylation in healthy volunteers","volume":"31","author":[{"family":"Cho","given":"Doo-Yeoun"},{"family":"Shen","given":"Joan H.Q."},{"family":"Lemler","given":"Suzanne M."},{"family":"Skaar","given":"Todd C"},{"family":"Li","given":"Lang"},{"family":"Blievernicht","given":"Julia"},{"family":"Zanger","given":"Ulrich M."},{"family":"Kim","given":"Kwon-Bok"},{"family":"Shin","given":"Jae-Gook"},{"family":"Flockhart","given":"David A."},{"family":"Desta","given":"Zeruesenay"}],"issued":{"date-parts":[["2016",4]]}}},{"id":1299,"uris":["http://zotero.org/users/7234110/items/EXGXPFSZ"],"itemData":{"id":1299,"type":"article-journal","abstract":"OBJECTIVE: Rifampicin induces the metabolism of efavirenz in humans. This study evaluated efavirenz bioavailability after rifampicin administration to healthy volunteers.\nMETHODS: A 3-week, before-and-after trial was performed on 8 healthy volunteers. The pharmacokinetic parameters were: plasma drug concentration-time profile from 0 to 72 h (AUC0-72), plasma drug concentration-time profile from 0 h to infinity (AUC0-inf), maximal drug concentration (Cmax), time to reach maximal drug concentration (tmax), and time to reach half the initial drug concentration in elimination phase (t1/2). After an overnight fast, the volunteers ingested one efavirenz 600 mg tablet, then blood samples were drawn to evaluate plasma efavirenz levels at 0, 2, 3, 4, 5, 6, 24, 72, 120, and 168 h. The procedure was repeated after a 1-week induction period of 450 mg/day. Paired-t test and Wilcoxon matched-pairs test were used for differences between mean concentrations.\nRESULTS: Baseline mean AUC0-72 was 46.80 ± 9.27 µg/ml.h, AUC0-inf was 96.38 ± 38.10 µg/ml.h, Cmax 2.19 ± 0.68 µg/ml.h, tmax 4.50 ± 0.93 h, and t1/2 96.60 ± 42.38 h. Post-induction values were significantly increased: AUC0-72 9.53 ± 11.26 µg/ml.h (p &lt; 0.05; CI95% = 0.112 - 18.940), AUC0-inf 37.24 ± 42.43 (p &lt; 0.05; CI95% = 0.021 - 0.406) µg/ml.h, and tmax 1.13 ± 0.99 h (p &lt; 0.05; CI95% = 0.296 - 1.953). No significant reduction occurred in post-rifampicin induction means of Cmax and t1/2.\nCONCLUSION: Co-administration of a single dose of efavirenz 600 mg/day with 1-week rifampicin 450 mg/day significantly reduced efavirenz bioavailability in healthy volunteers.","container-title":"International Journal of Clinical Pharmacology and Therapeutics","DOI":"10.5414/cp201473","ISSN":"0946-1965","issue":"2","journalAbbreviation":"Int J Clin Pharmacol Ther","language":"eng","page":"162-168","PMID":"21255533","source":"PubMed","title":"Pharmacokinetic interaction between efavirenz and rifampicin in healthy volunteers","volume":"49","author":[{"family":"Yenny","given":"null"},{"family":"Nafrialdi","given":"null"},{"family":"Djoerban","given":"Z."},{"family":"Setiabudy","given":"R."}],"issued":{"date-parts":[["2011",2]]}}}],"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33,34</w:t>
            </w:r>
            <w:r>
              <w:rPr>
                <w:rFonts w:ascii="Aptos Narrow" w:eastAsia="Times New Roman" w:hAnsi="Aptos Narrow" w:cs="Times New Roman"/>
                <w:color w:val="000000"/>
                <w:kern w:val="0"/>
                <w:sz w:val="22"/>
                <w:szCs w:val="22"/>
                <w14:ligatures w14:val="none"/>
              </w:rPr>
              <w:fldChar w:fldCharType="end"/>
            </w:r>
          </w:p>
        </w:tc>
      </w:tr>
      <w:tr w:rsidR="00CA3A28" w:rsidRPr="00367563" w14:paraId="15C3606A" w14:textId="77777777" w:rsidTr="00CA3A28">
        <w:trPr>
          <w:trHeight w:val="288"/>
        </w:trPr>
        <w:tc>
          <w:tcPr>
            <w:tcW w:w="2695" w:type="dxa"/>
            <w:noWrap/>
            <w:vAlign w:val="bottom"/>
            <w:hideMark/>
          </w:tcPr>
          <w:p w14:paraId="62635842" w14:textId="5337737B"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Fexofenadine</w:t>
            </w:r>
          </w:p>
        </w:tc>
        <w:tc>
          <w:tcPr>
            <w:tcW w:w="1330" w:type="dxa"/>
            <w:noWrap/>
            <w:vAlign w:val="bottom"/>
            <w:hideMark/>
          </w:tcPr>
          <w:p w14:paraId="183DC78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80</w:t>
            </w:r>
          </w:p>
        </w:tc>
        <w:tc>
          <w:tcPr>
            <w:tcW w:w="960" w:type="dxa"/>
            <w:noWrap/>
            <w:vAlign w:val="bottom"/>
            <w:hideMark/>
          </w:tcPr>
          <w:p w14:paraId="151B4614"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525C392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370A0089" w14:textId="40360080" w:rsidR="00CA3A28" w:rsidRPr="00367563" w:rsidRDefault="00F55142"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{"citationID":"W8WBojcN","properties":{"unsorted":false,"formattedCitation":"\\super 35,36\\nosupersub{}","plainCitation":"35,36","noteIndex":0},"citationItems":[{"id":1294,"uris":["http://zotero.org/users/7234110/items/Q2NIRHFC"],"itemData":{"id":1294,"type":"article-journal","container-title":"Biopharmaceutics &amp; Drug Disposition","DOI":"10.1002/(SICI)1099-081X(199710)18:7&lt;645::AID-BDD50&gt;3.0.CO;2-3","ISSN":"1099-081X","issue":"7","language":"en","license":"Copyright © 1997 John Wiley &amp; Sons, Ltd.","note":"_eprint: https://onlinelibrary.wiley.com/doi/pdf/10.1002/%28SICI%291099-081X%28199710%2918%3A7%3C645%3A%3AAID-BDD50%3E3.0.CO%3B2-3","page":"645-648","source":"Wiley Online Library","title":"Effect of food on the bioavailability of fexofenadine hydrochloride (MDL 16 455A)","volume":"18","author":[{"family":"Stoltz","given":"Maxine"},{"family":"Arumugham","given":"Thangam"},{"family":"Lippert","given":"Christina"},{"family":"Yu","given":"Dale"},{"family":"Bhargava","given":"Vijay"},{"family":"Eller","given":"Mark"},{"family":"Weir","given":"Scott"}],"issued":{"date-parts":[["1997"]]}}},{"id":1292,"uris":["http://zotero.org/users/7234110/items/V4RUMTPY"],"itemData":{"id":1292,"type":"article-journal","abstract":"Background Fexofenadine is a selective, nonsedating H1-receptor antagonist that relieves symptoms of allergic conditions. Methods Two randomized, double-blind, parallel-group, placebo-controlled dose-escalation studies were performed in healthy men to determine the maximum tolerated oral dose, pharmacokinetics, pharmacodynamics, and safety of fexofenadine hydrochloride. In the first study, 87 subjects (6 in the active drug group and 2 in the placebo group) received single oral doses of fexofenadine hydrochloride ranging from 10 to 800 mg or placebo. In the second study, 32 subjects (3 in the active drug group and 1 in the placebo group) received multiple fexofenadine hydrochloride doses ranging from 20 to 690 mg or placebo twice daily for 28½ days. Serial plasma and urine samples were collected. Fexofenadine concentrations were determined by HPLC and fluorescence. Wheal and flare response to intradermal histamine was used to evaluate antihistaminic activity. Results Fexofenadine hydrochloride was rapidly absorbed, reaching peak concentrations in 0.83 to 1.33 hours. Single-dose mean concentration ranged from 46 to 6383 ng/mL, and steady-state maximum plasma concentration ranged from 58 to 4677 ng/mL. Mean area under the plasma concentration-time curve was approximately proportional to dose. Oral clearance, renal clearance, and cumulative percent of drug excreted in urine were similar after single and multiple doses and were generally constant over the dose range studied. Inhibition of skin wheal and flare was shown for single doses of 40 mg and higher and for all multiple doses. No fexofenadine dose-related trends or apparent differences from placebo were found for any safety parameter. Conclusions Fexofenadine hydrochloride was well tolerated at oral doses up to 11 times the recommended therapeutic dose. In addition, fexofenadine hydrochloride showed significant antihistaminic activity and dose-proportional pharmacokinetics over a wide dosing range. Clinical Pharmacology &amp; Therapeutics (1998) 64, 612–621; doi:","container-title":"Clinical Pharmacology &amp; Therapeutics","DOI":"10.1016/S0009-9236(98)90052-2","ISSN":"1532-6535","issue":"6","language":"en","license":"© 1998 American Society for Clinical Pharmacology and Therapeutics","note":"_eprint: https://ascpt.onlinelibrary.wiley.com/doi/pdf/10.1016/S0009-9236%2898%2990052-2","page":"612-621","source":"Wiley Online Library","title":"Pharmacokinetics, pharmacodynamics, and tolerance of single- and multiple-dose fexofenadine hydrochloride in healthy male volunteers","volume":"64","author":[{"family":"Russell","given":"Tanya"},{"family":"Stoltz","given":"Maxine"},{"family":"Weir","given":"Scott"}],"issued":{"date-parts":[["1998"]]}}}],"schema":"https://github.com/citation-style-language/schema/raw/master/csl-citation.json"}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35,36</w:t>
            </w:r>
            <w:r>
              <w:rPr>
                <w:rFonts w:ascii="Aptos Narrow" w:eastAsia="Times New Roman" w:hAnsi="Aptos Narrow" w:cs="Times New Roman"/>
                <w:color w:val="000000"/>
                <w:kern w:val="0"/>
                <w:sz w:val="22"/>
                <w:szCs w:val="22"/>
                <w14:ligatures w14:val="none"/>
              </w:rPr>
              <w:fldChar w:fldCharType="end"/>
            </w:r>
          </w:p>
        </w:tc>
      </w:tr>
      <w:tr w:rsidR="00CA3A28" w:rsidRPr="00367563" w14:paraId="5FF92DE1" w14:textId="77777777" w:rsidTr="00CA3A28">
        <w:trPr>
          <w:trHeight w:val="288"/>
        </w:trPr>
        <w:tc>
          <w:tcPr>
            <w:tcW w:w="2695" w:type="dxa"/>
            <w:noWrap/>
            <w:vAlign w:val="bottom"/>
            <w:hideMark/>
          </w:tcPr>
          <w:p w14:paraId="0356716B" w14:textId="0720D77B"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Fexofenadine</w:t>
            </w:r>
          </w:p>
        </w:tc>
        <w:tc>
          <w:tcPr>
            <w:tcW w:w="1330" w:type="dxa"/>
            <w:noWrap/>
            <w:vAlign w:val="bottom"/>
            <w:hideMark/>
          </w:tcPr>
          <w:p w14:paraId="2649BE1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800</w:t>
            </w:r>
          </w:p>
        </w:tc>
        <w:tc>
          <w:tcPr>
            <w:tcW w:w="960" w:type="dxa"/>
            <w:noWrap/>
            <w:vAlign w:val="bottom"/>
            <w:hideMark/>
          </w:tcPr>
          <w:p w14:paraId="760F006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388F4D2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6C8FB3FF" w14:textId="7C64EF74" w:rsidR="00CA3A28" w:rsidRPr="00367563" w:rsidRDefault="00F55142"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{"citationID":"BRJqxV7b","properties":{"unsorted":false,"formattedCitation":"\\super 36\\nosupersub{}","plainCitation":"36","noteIndex":0},"citationItems":[{"id":1292,"uris":["http://zotero.org/users/7234110/items/V4RUMTPY"],"itemData":{"id":1292,"type":"article-journal","abstract":"Background Fexofenadine is a selective, nonsedating H1-receptor antagonist that relieves symptoms of allergic conditions. Methods Two randomized, double-blind, parallel-group, placebo-controlled dose-escalation studies were performed in healthy men to determine the maximum tolerated oral dose, pharmacokinetics, pharmacodynamics, and safety of fexofenadine hydrochloride. In the first study, 87 subjects (6 in the active drug group and 2 in the placebo group) received single oral doses of fexofenadine hydrochloride ranging from 10 to 800 mg or placebo. In the second study, 32 subjects (3 in the active drug group and 1 in the placebo group) received multiple fexofenadine hydrochloride doses ranging from 20 to 690 mg or placebo twice daily for 28½ days. Serial plasma and urine samples were collected. Fexofenadine concentrations were determined by HPLC and fluorescence. Wheal and flare response to intradermal histamine was used to evaluate antihistaminic activity. Results Fexofenadine hydrochloride was rapidly absorbed, reaching peak concentrations in 0.83 to 1.33 hours. Single-dose mean concentration ranged from 46 to 6383 ng/mL, and steady-state maximum plasma concentration ranged from 58 to 4677 ng/mL. Mean area under the plasma concentration-time curve was approximately proportional to dose. Oral clearance, renal clearance, and cumulative percent of drug excreted in urine were similar after single and multiple doses and were generally constant over the dose range studied. Inhibition of skin wheal and flare was shown for single doses of 40 mg and higher and for all multiple doses. No fexofenadine dose-related trends or apparent differences from placebo were found for any safety parameter. Conclusions Fexofenadine hydrochloride was well tolerated at oral doses up to 11 times the recommended therapeutic dose. In addition, fexofenadine hydrochloride showed significant antihistaminic activity and dose-proportional pharmacokinetics over a wide dosing range. Clinical Pharmacology &amp; Therapeutics (1998) 64, 612–621; doi:","container-title":"Clinical Pharmacology &amp; Therapeutics","DOI":"10.1016/S0009-9236(98)90052-2","ISSN":"1532-6535","issue":"6","language":"en","license":"© 1998 American Society for Clinical Pharmacology and Therapeutics","note":"_eprint: https://ascpt.onlinelibrary.wiley.com/doi/pdf/10.1016/S0009-9236%2898%2990052-2","page":"612-621","source":"Wiley Online Library","title":"Pharmacokinetics, pharmacodynamics, and tolerance of single- and multiple-dose fexofenadine hydrochloride in healthy male volunteers","volume":"64","author":[{"family":"Russell","given":"Tanya"},{"family":"Stoltz","given":"Maxine"},{"family":"Weir","given":"Scott"}],"issued":{"date-parts":[["1998"]]}}}],"schema":"https://github.com/citation-style-language/schema/raw/master/csl-citation.json"}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36</w:t>
            </w:r>
            <w:r>
              <w:rPr>
                <w:rFonts w:ascii="Aptos Narrow" w:eastAsia="Times New Roman" w:hAnsi="Aptos Narrow" w:cs="Times New Roman"/>
                <w:color w:val="000000"/>
                <w:kern w:val="0"/>
                <w:sz w:val="22"/>
                <w:szCs w:val="22"/>
                <w14:ligatures w14:val="none"/>
              </w:rPr>
              <w:fldChar w:fldCharType="end"/>
            </w:r>
          </w:p>
        </w:tc>
      </w:tr>
      <w:tr w:rsidR="00CA3A28" w:rsidRPr="00367563" w14:paraId="313D0790" w14:textId="77777777" w:rsidTr="00CA3A28">
        <w:trPr>
          <w:trHeight w:val="288"/>
        </w:trPr>
        <w:tc>
          <w:tcPr>
            <w:tcW w:w="2695" w:type="dxa"/>
            <w:noWrap/>
            <w:vAlign w:val="bottom"/>
            <w:hideMark/>
          </w:tcPr>
          <w:p w14:paraId="7561EE78"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Itraconazole</w:t>
            </w:r>
          </w:p>
        </w:tc>
        <w:tc>
          <w:tcPr>
            <w:tcW w:w="1330" w:type="dxa"/>
            <w:noWrap/>
            <w:vAlign w:val="bottom"/>
            <w:hideMark/>
          </w:tcPr>
          <w:p w14:paraId="49067AB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100</w:t>
            </w:r>
          </w:p>
        </w:tc>
        <w:tc>
          <w:tcPr>
            <w:tcW w:w="960" w:type="dxa"/>
            <w:noWrap/>
            <w:vAlign w:val="bottom"/>
            <w:hideMark/>
          </w:tcPr>
          <w:p w14:paraId="189E818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13DC7AC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0C5EF080" w14:textId="2DA3B1DC" w:rsidR="00CA3A28" w:rsidRPr="00367563" w:rsidRDefault="00FD74E3"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{"citationID":"P2yrWLOl","properties":{"unsorted":false,"formattedCitation":"\\super 37\\nosupersub{}","plainCitation":"37","noteIndex":0},"citationItems":[{"id":1285,"uris":["http://zotero.org/users/7234110/items/3XUBNX9L"],"itemData":{"id":1285,"type":"article-journal","abstract":"STUDY OBJECTIVE: To compare the pharmacokinetics of a single 100-mg oral dose of itraconazole administered as 10 ml of a 10-mg/ml itraconazole solution in hydroxypropyl-beta-cyclodextrin under fasting versus postprandial conditions.\nDESIGN: Open-label, two-way, randomized, crossover study.\nSETTING: Janssen Research Foundation, Belgium.\nPATIENTS: Twelve healthy volunteers.\nINTERVENTIONS: Blood samples were obtained for pharmacokinetic analyses immediately before dosing and at regular intervals up to 96 hours after each dose. Blood and urine samples were obtained for hematologic, biochemical, and urinary safety analyses at baseline and at the end of the study.\nMEASUREMENTS AND MAIN RESULTS: The mean peak plasma concentrations of both itraconazole and its active metabolite hydroxy-itraconazole were significantly higher under fasting conditions than under postprandial conditions. The mean times to peak concentration for both the parent compound and its metabolite were significantly shorter under fasting than under nonfasting conditions. The mean areas under the curve (AUC0-infinity and AUC0-24 hrs) were also significantly higher under fasting than under postprandial conditions.\nCONCLUSIONS: Our findings suggest that the higher bioavailability of this new formulation of itraconazole may be of benefit in seriously ill patients who are not able to ingest adequate quantities of food. The fact that the solution was also well tolerated and was not associated with clinically significant changes in any laboratory value further underscores the potential utility of this dosing form.","container-title":"Pharmacotherapy","ISSN":"0277-0008","issue":"3","journalAbbreviation":"Pharmacotherapy","language":"eng","page":"424-428","PMID":"8726601","source":"PubMed","title":"Effect of food on the pharmacokinetics of a new hydroxypropyl-beta-cyclodextrin formulation of itraconazole","volume":"16","author":[{"family":"Van de Velde","given":"V. J."},{"family":"Van Peer","given":"A. P."},{"family":"Heykants","given":"J. J."},{"family":"Woestenborghs","given":"R. J."},{"family":"Van Rooy","given":"P."},{"family":"De Beule","given":"K. L."},{"family":"Cauwenbergh","given":"G. F."}],"issued":{"date-parts":[["1996"]]}}}],"schema":"https://github.com/citation-style-language/schema/raw/master/csl-citation.json"}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37</w:t>
            </w:r>
            <w:r>
              <w:rPr>
                <w:rFonts w:ascii="Aptos Narrow" w:eastAsia="Times New Roman" w:hAnsi="Aptos Narrow" w:cs="Times New Roman"/>
                <w:color w:val="000000"/>
                <w:kern w:val="0"/>
                <w:sz w:val="22"/>
                <w:szCs w:val="22"/>
                <w14:ligatures w14:val="none"/>
              </w:rPr>
              <w:fldChar w:fldCharType="end"/>
            </w:r>
          </w:p>
        </w:tc>
      </w:tr>
      <w:tr w:rsidR="00CA3A28" w:rsidRPr="00367563" w14:paraId="562A7B6F" w14:textId="77777777" w:rsidTr="00CA3A28">
        <w:trPr>
          <w:trHeight w:val="288"/>
        </w:trPr>
        <w:tc>
          <w:tcPr>
            <w:tcW w:w="2695" w:type="dxa"/>
            <w:noWrap/>
            <w:vAlign w:val="bottom"/>
            <w:hideMark/>
          </w:tcPr>
          <w:p w14:paraId="0D57E779" w14:textId="03DCC841"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Ketoconazole</w:t>
            </w:r>
          </w:p>
        </w:tc>
        <w:tc>
          <w:tcPr>
            <w:tcW w:w="1330" w:type="dxa"/>
            <w:noWrap/>
            <w:vAlign w:val="bottom"/>
            <w:hideMark/>
          </w:tcPr>
          <w:p w14:paraId="0057BD5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200</w:t>
            </w:r>
          </w:p>
        </w:tc>
        <w:tc>
          <w:tcPr>
            <w:tcW w:w="960" w:type="dxa"/>
            <w:noWrap/>
            <w:vAlign w:val="bottom"/>
            <w:hideMark/>
          </w:tcPr>
          <w:p w14:paraId="4108594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7856A18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2E7EEBD8" w14:textId="29C73443" w:rsidR="00CA3A28" w:rsidRPr="00367563" w:rsidRDefault="00FD74E3"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{"citationID":"cdyNOoj2","properties":{"unsorted":false,"formattedCitation":"\\super 38\\nosupersub{}","plainCitation":"38","noteIndex":0},"citationItems":[{"id":1287,"uris":["http://zotero.org/users/7234110/items/P88SXY7P"],"itemData":{"id":1287,"type":"article-journal","abstract":"Ketoconazole is an orally effective, broad-spectrum, systemic antifungal agent. The pharmacokinetics and bioavailability of ketoconazole given as a 200-mg single dose in a tablet, suspension, or solution were studied in 24 fasting healthy males by using a crossover design. Levels of ketoconazole in plasma were determined for up to 48 h by a sensitive reverse-phase high-performance liquid chromatography method. The absorption of ketoconazole was rapid, with mean maximum concentrations of the drug in plasma of 4.2, 5.0, and 6.2 micrograms/ml attained at 1.7, 1.2, and 1.0 h, respectively, after administration of the tablet, suspension, and solution, respectively. The mean distribution and elimination half-life values were 1.5 to 1.7 and 7.5 to 7.9 h, respectively. The mean oral clearance of the solution dose was 209 (+/- 82.9 [standard deviation]) ml/min, and the mean apparent volume of distribution was 88.31 (+/- 68.72) liters. The relative bioavailabilities for the tablet and suspension were 81.2 (+/- 33.5) and 89.0 (+/- 23.1)%, respectively, of that of the solution. The data indicated the bioequivalence of the tablet to the suspension and of the suspension of the solution. Dose proportionality of ketoconazole was also studied in 12 volunteers after they received solution doses of 200, 400, and 800 mg. Linear correlations between the dose and the maximum concentration of the drug in plasma, the time to the maximum concentration, and the area under the concentration-time curve were observed. However, the increase in the area under the curve was more than proportional to the dose given. The levels in plasma seemed to decay at a lower rate after 400- and 800-mg doses. The mean oral clearance decreased from 244.9 to 123.6 and 80.0 ml/min, respectively, as the dose increased from 200 to 400 and 800 mg. The apparent dose-dependent kinetics may have been due to the presystemic elimination and capacity-limited hepatic metabolism which become saturated at higher doses.","container-title":"Antimicrobial Agents and Chemotherapy","DOI":"10.1128/aac.30.2.206","issue":"2","page":"206-210","publisher":"American Society for Microbiology","source":"journals.asm.org (Atypon)","title":"Pharmacokinetics and dose proportionality of ketoconazole in normal volunteers","volume":"30","author":[{"family":"Huang","given":"Y C"},{"family":"Colaizzi","given":"J L"},{"family":"Bierman","given":"R H"},{"family":"Woestenborghs","given":"R"},{"family":"Heykants","given":"J"}],"issued":{"date-parts":[["1986",8]]}}}],"schema":"https://github.com/citation-style-language/schema/raw/master/csl-citation.json"}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38</w:t>
            </w:r>
            <w:r>
              <w:rPr>
                <w:rFonts w:ascii="Aptos Narrow" w:eastAsia="Times New Roman" w:hAnsi="Aptos Narrow" w:cs="Times New Roman"/>
                <w:color w:val="000000"/>
                <w:kern w:val="0"/>
                <w:sz w:val="22"/>
                <w:szCs w:val="22"/>
                <w14:ligatures w14:val="none"/>
              </w:rPr>
              <w:fldChar w:fldCharType="end"/>
            </w:r>
          </w:p>
        </w:tc>
      </w:tr>
      <w:tr w:rsidR="00CA3A28" w:rsidRPr="00367563" w14:paraId="66CFC5A6" w14:textId="77777777" w:rsidTr="00CA3A28">
        <w:trPr>
          <w:trHeight w:val="288"/>
        </w:trPr>
        <w:tc>
          <w:tcPr>
            <w:tcW w:w="2695" w:type="dxa"/>
            <w:noWrap/>
            <w:vAlign w:val="bottom"/>
            <w:hideMark/>
          </w:tcPr>
          <w:p w14:paraId="36CE337B" w14:textId="6951D881"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Ketoconazole</w:t>
            </w:r>
          </w:p>
        </w:tc>
        <w:tc>
          <w:tcPr>
            <w:tcW w:w="1330" w:type="dxa"/>
            <w:noWrap/>
            <w:vAlign w:val="bottom"/>
            <w:hideMark/>
          </w:tcPr>
          <w:p w14:paraId="1F99CD94"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400</w:t>
            </w:r>
          </w:p>
        </w:tc>
        <w:tc>
          <w:tcPr>
            <w:tcW w:w="960" w:type="dxa"/>
            <w:noWrap/>
            <w:vAlign w:val="bottom"/>
            <w:hideMark/>
          </w:tcPr>
          <w:p w14:paraId="6A705CB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73A1A9E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1C00D3F3" w14:textId="191FDAC5" w:rsidR="00CA3A28" w:rsidRPr="00367563" w:rsidRDefault="00FD74E3"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{"citationID":"2Wyjk6H3","properties":{"unsorted":false,"formattedCitation":"\\super 38\\nosupersub{}","plainCitation":"38","noteIndex":0},"citationItems":[{"id":1287,"uris":["http://zotero.org/users/7234110/items/P88SXY7P"],"itemData":{"id":1287,"type":"article-journal","abstract":"Ketoconazole is an orally effective, broad-spectrum, systemic antifungal agent. The pharmacokinetics and bioavailability of ketoconazole given as a 200-mg single dose in a tablet, suspension, or solution were studied in 24 fasting healthy males by using a crossover design. Levels of ketoconazole in plasma were determined for up to 48 h by a sensitive reverse-phase high-performance liquid chromatography method. The absorption of ketoconazole was rapid, with mean maximum concentrations of the drug in plasma of 4.2, 5.0, and 6.2 micrograms/ml attained at 1.7, 1.2, and 1.0 h, respectively, after administration of the tablet, suspension, and solution, respectively. The mean distribution and elimination half-life values were 1.5 to 1.7 and 7.5 to 7.9 h, respectively. The mean oral clearance of the solution dose was 209 (+/- 82.9 [standard deviation]) ml/min, and the mean apparent volume of distribution was 88.31 (+/- 68.72) liters. The relative bioavailabilities for the tablet and suspension were 81.2 (+/- 33.5) and 89.0 (+/- 23.1)%, respectively, of that of the solution. The data indicated the bioequivalence of the tablet to the suspension and of the suspension of the solution. Dose proportionality of ketoconazole was also studied in 12 volunteers after they received solution doses of 200, 400, and 800 mg. Linear correlations between the dose and the maximum concentration of the drug in plasma, the time to the maximum concentration, and the area under the concentration-time curve were observed. However, the increase in the area under the curve was more than proportional to the dose given. The levels in plasma seemed to decay at a lower rate after 400- and 800-mg doses. The mean oral clearance decreased from 244.9 to 123.6 and 80.0 ml/min, respectively, as the dose increased from 200 to 400 and 800 mg. The apparent dose-dependent kinetics may have been due to the presystemic elimination and capacity-limited hepatic metabolism which become saturated at higher doses.","container-title":"Antimicrobial Agents and Chemotherapy","DOI":"10.1128/aac.30.2.206","issue":"2","page":"206-210","publisher":"American Society for Microbiology","source":"journals.asm.org (Atypon)","title":"Pharmacokinetics and dose proportionality of ketoconazole in normal volunteers","volume":"30","author":[{"family":"Huang","given":"Y C"},{"family":"Colaizzi","given":"J L"},{"family":"Bierman","given":"R H"},{"family":"Woestenborghs","given":"R"},{"family":"Heykants","given":"J"}],"issued":{"date-parts":[["1986",8]]}}}],"schema":"https://github.com/citation-style-language/schema/raw/master/csl-citation.json"}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38</w:t>
            </w:r>
            <w:r>
              <w:rPr>
                <w:rFonts w:ascii="Aptos Narrow" w:eastAsia="Times New Roman" w:hAnsi="Aptos Narrow" w:cs="Times New Roman"/>
                <w:color w:val="000000"/>
                <w:kern w:val="0"/>
                <w:sz w:val="22"/>
                <w:szCs w:val="22"/>
                <w14:ligatures w14:val="none"/>
              </w:rPr>
              <w:fldChar w:fldCharType="end"/>
            </w:r>
          </w:p>
        </w:tc>
      </w:tr>
      <w:tr w:rsidR="00CA3A28" w:rsidRPr="00367563" w14:paraId="4F3810F2" w14:textId="77777777" w:rsidTr="00CA3A28">
        <w:trPr>
          <w:trHeight w:val="288"/>
        </w:trPr>
        <w:tc>
          <w:tcPr>
            <w:tcW w:w="2695" w:type="dxa"/>
            <w:noWrap/>
            <w:vAlign w:val="bottom"/>
            <w:hideMark/>
          </w:tcPr>
          <w:p w14:paraId="4BDE703C" w14:textId="341FA7BA"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Ketoconazole</w:t>
            </w:r>
          </w:p>
        </w:tc>
        <w:tc>
          <w:tcPr>
            <w:tcW w:w="1330" w:type="dxa"/>
            <w:noWrap/>
            <w:vAlign w:val="bottom"/>
            <w:hideMark/>
          </w:tcPr>
          <w:p w14:paraId="2F847C19"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800</w:t>
            </w:r>
          </w:p>
        </w:tc>
        <w:tc>
          <w:tcPr>
            <w:tcW w:w="960" w:type="dxa"/>
            <w:noWrap/>
            <w:vAlign w:val="bottom"/>
            <w:hideMark/>
          </w:tcPr>
          <w:p w14:paraId="08999DCE"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0847AFB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412BFA8F" w14:textId="2AB9B5E8" w:rsidR="00CA3A28" w:rsidRPr="00367563" w:rsidRDefault="00FD74E3"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{"citationID":"jD7SVQcC","properties":{"unsorted":false,"formattedCitation":"\\super 38\\nosupersub{}","plainCitation":"38","noteIndex":0},"citationItems":[{"id":1287,"uris":["http://zotero.org/users/7234110/items/P88SXY7P"],"itemData":{"id":1287,"type":"article-journal","abstract":"Ketoconazole is an orally effective, broad-spectrum, systemic antifungal agent. The pharmacokinetics and bioavailability of ketoconazole given as a 200-mg single dose in a tablet, suspension, or solution were studied in 24 fasting healthy males by using a crossover design. Levels of ketoconazole in plasma were determined for up to 48 h by a sensitive reverse-phase high-performance liquid chromatography method. The absorption of ketoconazole was rapid, with mean maximum concentrations of the drug in plasma of 4.2, 5.0, and 6.2 micrograms/ml attained at 1.7, 1.2, and 1.0 h, respectively, after administration of the tablet, suspension, and solution, respectively. The mean distribution and elimination half-life values were 1.5 to 1.7 and 7.5 to 7.9 h, respectively. The mean oral clearance of the solution dose was 209 (+/- 82.9 [standard deviation]) ml/min, and the mean apparent volume of distribution was 88.31 (+/- 68.72) liters. The relative bioavailabilities for the tablet and suspension were 81.2 (+/- 33.5) and 89.0 (+/- 23.1)%, respectively, of that of the solution. The data indicated the bioequivalence of the tablet to the suspension and of the suspension of the solution. Dose proportionality of ketoconazole was also studied in 12 volunteers after they received solution doses of 200, 400, and 800 mg. Linear correlations between the dose and the maximum concentration of the drug in plasma, the time to the maximum concentration, and the area under the concentration-time curve were observed. However, the increase in the area under the curve was more than proportional to the dose given. The levels in plasma seemed to decay at a lower rate after 400- and 800-mg doses. The mean oral clearance decreased from 244.9 to 123.6 and 80.0 ml/min, respectively, as the dose increased from 200 to 400 and 800 mg. The apparent dose-dependent kinetics may have been due to the presystemic elimination and capacity-limited hepatic metabolism which become saturated at higher doses.","container-title":"Antimicrobial Agents and Chemotherapy","DOI":"10.1128/aac.30.2.206","issue":"2","page":"206-210","publisher":"American Society for Microbiology","source":"journals.asm.org (Atypon)","title":"Pharmacokinetics and dose proportionality of ketoconazole in normal volunteers","volume":"30","author":[{"family":"Huang","given":"Y C"},{"family":"Colaizzi","given":"J L"},{"family":"Bierman","given":"R H"},{"family":"Woestenborghs","given":"R"},{"family":"Heykants","given":"J"}],"issued":{"date-parts":[["1986",8]]}}}],"schema":"https://github.com/citation-style-language/schema/raw/master/csl-citation.json"}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38</w:t>
            </w:r>
            <w:r>
              <w:rPr>
                <w:rFonts w:ascii="Aptos Narrow" w:eastAsia="Times New Roman" w:hAnsi="Aptos Narrow" w:cs="Times New Roman"/>
                <w:color w:val="000000"/>
                <w:kern w:val="0"/>
                <w:sz w:val="22"/>
                <w:szCs w:val="22"/>
                <w14:ligatures w14:val="none"/>
              </w:rPr>
              <w:fldChar w:fldCharType="end"/>
            </w:r>
          </w:p>
        </w:tc>
      </w:tr>
      <w:tr w:rsidR="00CA3A28" w:rsidRPr="00367563" w14:paraId="1FA31AC0" w14:textId="77777777" w:rsidTr="00CA3A28">
        <w:trPr>
          <w:trHeight w:val="288"/>
        </w:trPr>
        <w:tc>
          <w:tcPr>
            <w:tcW w:w="2695" w:type="dxa"/>
            <w:noWrap/>
            <w:vAlign w:val="bottom"/>
            <w:hideMark/>
          </w:tcPr>
          <w:p w14:paraId="34EEFB51" w14:textId="1EAB18E2"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Ketoconazole</w:t>
            </w:r>
          </w:p>
        </w:tc>
        <w:tc>
          <w:tcPr>
            <w:tcW w:w="1330" w:type="dxa"/>
            <w:noWrap/>
            <w:vAlign w:val="bottom"/>
            <w:hideMark/>
          </w:tcPr>
          <w:p w14:paraId="4F2C1F6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200</w:t>
            </w:r>
          </w:p>
        </w:tc>
        <w:tc>
          <w:tcPr>
            <w:tcW w:w="960" w:type="dxa"/>
            <w:noWrap/>
            <w:vAlign w:val="bottom"/>
            <w:hideMark/>
          </w:tcPr>
          <w:p w14:paraId="6ABC949E"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5F9E5D1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5965560D" w14:textId="369063C3" w:rsidR="00CA3A28" w:rsidRPr="00367563" w:rsidRDefault="00F55142"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{"citationID":"9kXS2Irn","properties":{"unsorted":false,"formattedCitation":"\\super 38\\uc0\\u8211{}41\\nosupersub{}","plainCitation":"38–41","noteIndex":0},"citationItems":[{"id":1291,"uris":["http://zotero.org/users/7234110/items/3WUPHAAM"],"itemData":{"id":1291,"type":"article-journal","abstract":"Absorption of ketoconazole is impaired in patients with achlorhydria. The purpose of this study was to determine the effectiveness of a palatable acidic beverage (Coca-Cola Classic, pH 2.5) in improving the absorption of ketoconazole in the presence of drug-induced achlorhydria. A prospective, randomized, three-way crossover design with a 1-week wash-out period between each treatment was employed. Nine healthy nonsmoking, nonobese volunteers between 22 and 41 years old were studied. Each subject was randomized to receive three treatments: (A) ketoconazole 200-mg tablet with water (control), (B) omeprazole (60 mg) followed by ketoconazole (200 mg) taken with water, and (C) omeprazole (60 mg) followed by ketoconazole (200 mg) taken with 240 ml of Coca-Cola Classic. The pH values of gastric aspirates were checked after omeprazole was administered to confirm attainment of a pH of &gt; 6. Multiple serum samples were obtained for measurements of ketoconazole concentrations by high-pressure liquid chromatography. The mean area under the ketoconazole concentration-time curve from zero to infinity for the control treatment (17.9 +/- 13.1 mg.h/liter) was significantly greater than that for treatment B (3.5 +/- 5.1 mg.h/liter; 16.6% +/- 15.0% of control). The mean peak concentration was highest for the control treatment (4.1 +/- 1.9 micrograms/ml), for which the mean peak concentration showed a significant increase over that for treatment B. The absorption of ketoconazole was reduced in the presence of omeprazole-induced achlorhydria. However, drug absorption was significantly increased, to approximately 65% of the mean for the control treatment, when the drug was taken with an acidic beverage, such as Coca-Cola.","container-title":"Antimicrobial Agents and Chemotherapy","DOI":"10.1128/aac.39.8.1671","issue":"8","page":"1671-1675","publisher":"American Society for Microbiology","source":"journals.asm.org (Atypon)","title":"Effects of an acidic beverage (Coca-Cola) on absorption of ketoconazole","volume":"39","author":[{"family":"Chin","given":"T W"},{"family":"Loeb","given":"M"},{"family":"Fong","given":"I W"}],"issued":{"date-parts":[["1995",8]]}}},{"id":1287,"uris":["http://zotero.org/users/7234110/items/P88SXY7P"],"itemData":{"id":1287,"type":"article-journal","abstract":"Ketoconazole is an orally effective, broad-spectrum, systemic antifungal agent. The pharmacokinetics and bioavailability of ketoconazole given as a 200-mg single dose in a tablet, suspension, or solution were studied in 24 fasting healthy males by using a crossover design. Levels of ketoconazole in plasma were determined for up to 48 h by a sensitive reverse-phase high-performance liquid chromatography method. The absorption of ketoconazole was rapid, with mean maximum concentrations of the drug in plasma of 4.2, 5.0, and 6.2 micrograms/ml attained at 1.7, 1.2, and 1.0 h, respectively, after administration of the tablet, suspension, and solution, respectively. The mean distribution and elimination half-life values were 1.5 to 1.7 and 7.5 to 7.9 h, respectively. The mean oral clearance of the solution dose was 209 (+/- 82.9 [standard deviation]) ml/min, and the mean apparent volume of distribution was 88.31 (+/- 68.72) liters. The relative bioavailabilities for the tablet and suspension were 81.2 (+/- 33.5) and 89.0 (+/- 23.1)%, respectively, of that of the solution. The data indicated the bioequivalence of the tablet to the suspension and of the suspension of the solution. Dose proportionality of ketoconazole was also studied in 12 volunteers after they received solution doses of 200, 400, and 800 mg. Linear correlations between the dose and the maximum concentration of the drug in plasma, the time to the maximum concentration, and the area under the concentration-time curve were observed. However, the increase in the area under the curve was more than proportional to the dose given. The levels in plasma seemed to decay at a lower rate after 400- and 800-mg doses. The mean oral clearance decreased from 244.9 to 123.6 and 80.0 ml/min, respectively, as the dose increased from 200 to 400 and 800 mg. The apparent dose-dependent kinetics may have been due to the presystemic elimination and capacity-limited hepatic metabolism which become saturated at higher doses.","container-title":"Antimicrobial Agents and Chemotherapy","DOI":"10.1128/aac.30.2.206","issue":"2","page":"206-210","publisher":"American Society for Microbiology","source":"journals.asm.org (Atypon)","title":"Pharmacokinetics and dose proportionality of ketoconazole in normal volunteers","volume":"30","author":[{"family":"Huang","given":"Y C"},{"family":"Colaizzi","given":"J L"},{"family":"Bierman","given":"R H"},{"family":"Woestenborghs","given":"R"},{"family":"Heykants","given":"J"}],"issued":{"date-parts":[["1986",8]]}}},{"id":1288,"uris":["http://zotero.org/users/7234110/items/ZE5XW2K2"],"itemData":{"id":1288,"type":"article-journal","abstract":"Eight healthy adults were given single oral doses of ketoconazole (200, 400, 600, and 800 mg) in the fasting state and with a standard breakfast at weekly intervals according to a balanced block design. Concentrations in serum were measured up to 32 h after the dose. Food did not reduce ketoconazole absorption or significantly alter peak ketoconazole concentrations in serum, though there was a food-related delay in achieving peak concentrations. At the 400- and 600-mg doses, food appeared to enhance absorption, but this effect was not seen at the 800-mg dose. With an increase in dose, the half-life and area under the serum concentration-time curve increased disproportionately, suggesting that the pharmacokinetics of ketoconazole may be dose dependent. Up to the 800-mg dose, the elimination of ketoconazole did not appear to be saturable. Administration of the drug with food is unlikely to be a cause of therapeutic failure.","container-title":"Antimicrobial Agents and Chemotherapy","DOI":"10.1128/aac.25.1.1","issue":"1","page":"1-3","publisher":"American Society for Microbiology","source":"journals.asm.org (Atypon)","title":"Influence of food on the pharmacokinetics of ketoconazole","volume":"25","author":[{"family":"Daneshmend","given":"T K"},{"family":"Warnock","given":"D W"},{"family":"Ene","given":"M D"},{"family":"Johnson","given":"E M"},{"family":"Potten","given":"M R"},{"family":"Richardson","given":"M D"},{"family":"Williamson","given":"P J"}],"issued":{"date-parts":[["1984",1]]}}},{"id":1289,"uris":["http://zotero.org/users/7234110/items/IEG34X4S"],"itemData":{"id":1289,"type":"article-journal","abstract":"Single oral doses of ketoconazole (200 mg) or miconazole (250 mg) were given in a randomized cross-over study to 10 healthy volunteers. Ketoconazole with administered (i) after fasting (both brand 1 [Orion Pharmaceutical Co.] and brand 2 [Janssen Pharmaceutica] were tested), (ii) after a standardized meal (660 kilocalories; 2,772 kJ) (brand 1), and (iii) with 300 ml of orange juice (pH 3.8) (brand 1). Miconazole was administered after fasting. Venous blood samples for high-performance liquid chromatography determinations of ketoconazole and gas chromatographic analyses of miconazole were drawn periodically up to 24 h. The concentrations of ketoconazole in sera attained with the two brands were not statistically different. The peak concentrations of ketoconazole attained with brand 1 were 4.1 +/- 0.3 micrograms/ml (mean +/- standard error of the mean) after fasting, 2.3 +/- 0.3 micrograms/ml after the standardized meal (P less than 0.01), and 3.6 +/- 0.2 micrograms/ml with orange juice. The peak concentrations were reached in 1.4, 2.3 (P less than 0.05), and 1.8 h, respectively, whereas the areas under the serum concentration-time curves were 14.4 +/- 2.21, 8.6 +/- 1.33 (P less than 0.05), and 13.4 +/- 1.30 micrograms.h/ml, respectively. The half-lives (1.7 to 2 h) did not vary significantly among the different regimens. Compared with ketoconazole, oral absorption of miconazole was poor (peak concentration, 0.47 +/- 0.7 micrograms/ml; time to reach the peak concentration, 2.6 h; area under the serum concentration-time curve, 1.10 +/- 0.20 micrograms.h/ml).","container-title":"Antimicrobial Agents and Chemotherapy","DOI":"10.1128/aac.21.5.730","ISSN":"0066-4804","issue":"5","journalAbbreviation":"Antimicrob Agents Chemother","page":"730-733","PMID":"6285814","PMCID":"PMC182002","source":"PubMed Central","title":"Impairing effect of food on ketoconazole absorption.","volume":"21","author":[{"family":"Männistö","given":"P T"},{"family":"Mäntylä","given":"R"},{"family":"Nykänen","given":"S"},{"family":"Lamminsivu","given":"U"},{"family":"Ottoila","given":"P"}],"issued":{"date-parts":[["1982",5]]}}}],"schema":"https://github.com/citation-style-language/schema/raw/master/csl-citation.json"}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38–41</w:t>
            </w:r>
            <w:r>
              <w:rPr>
                <w:rFonts w:ascii="Aptos Narrow" w:eastAsia="Times New Roman" w:hAnsi="Aptos Narrow" w:cs="Times New Roman"/>
                <w:color w:val="000000"/>
                <w:kern w:val="0"/>
                <w:sz w:val="22"/>
                <w:szCs w:val="22"/>
                <w14:ligatures w14:val="none"/>
              </w:rPr>
              <w:fldChar w:fldCharType="end"/>
            </w:r>
          </w:p>
        </w:tc>
      </w:tr>
      <w:tr w:rsidR="00CA3A28" w:rsidRPr="00367563" w14:paraId="51A631AC" w14:textId="77777777" w:rsidTr="00CA3A28">
        <w:trPr>
          <w:trHeight w:val="288"/>
        </w:trPr>
        <w:tc>
          <w:tcPr>
            <w:tcW w:w="2695" w:type="dxa"/>
            <w:noWrap/>
            <w:vAlign w:val="bottom"/>
            <w:hideMark/>
          </w:tcPr>
          <w:p w14:paraId="4F45EC0D" w14:textId="202E6B98"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Ledipasvir</w:t>
            </w:r>
          </w:p>
        </w:tc>
        <w:tc>
          <w:tcPr>
            <w:tcW w:w="1330" w:type="dxa"/>
            <w:noWrap/>
            <w:vAlign w:val="bottom"/>
            <w:hideMark/>
          </w:tcPr>
          <w:p w14:paraId="487D805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w:t>
            </w:r>
          </w:p>
        </w:tc>
        <w:tc>
          <w:tcPr>
            <w:tcW w:w="960" w:type="dxa"/>
            <w:noWrap/>
            <w:vAlign w:val="bottom"/>
            <w:hideMark/>
          </w:tcPr>
          <w:p w14:paraId="11B09C3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3F6595F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3736F01C" w14:textId="5A2A2475"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52F87">
              <w:rPr>
                <w:rFonts w:ascii="Aptos Narrow" w:eastAsia="Times New Roman" w:hAnsi="Aptos Narrow" w:cs="Times New Roman"/>
                <w:color w:val="000000"/>
                <w:kern w:val="0"/>
                <w:sz w:val="22"/>
                <w:szCs w:val="22"/>
                <w14:ligatures w14:val="none"/>
              </w:rPr>
              <w:instrText xml:space="preserve"> ADDIN ZOTERO_ITEM CSL_CITATION {"citationID":"gW2SAVH2","properties":{"unsorted":false,"formattedCitation":"\\super 10\\nosupersub{}","plainCitation":"10","noteIndex":0},"citationItems":[{"id":1248,"uris":["http://zotero.org/users/7234110/items/LQV7HY4X"],"itemData":{"id":1248,"type":"article-journal","abstract":"A new class of highly potent NS5A inhibitors with an unsymmetric benzimidazole-difluorofluorene-imidazole core and distal [2.2.1]azabicyclic ring system was discovered. Optimization of antiviral potency and pharmacokinetics led to the identification of 39 (ledipasvir, GS-5885). Compound 39 (GT1a replicon EC50 = 31 pM) has an extended plasma half-life of 37–45 h in healthy volunteers and produces a rapid &gt;3 log viral load reduction in monotherapy at oral doses of 3 mg or greater with once-daily dosing in genotype 1a HCV-infected patients. 39 has been shown to be safe and efficacious, with SVR12 rates up to 100% when used in combination with direct-acting antivirals having complementary mechanisms.","container-title":"Journal of Medicinal Chemistry","DOI":"10.1021/jm401499g","ISSN":"0022-2623","issue":"5","journalAbbreviation":"J. Med. Chem.","page":"2033-2046","publisher":"American Chemical Society","source":"ACS Publications","title":"Discovery of Ledipasvir (GS-5885): A Potent, Once-Daily Oral NS5A Inhibitor for the Treatment of Hepatitis C Virus Infection","title-short":"Discovery of Ledipasvir (GS-5885)","volume":"57","author":[{"family":"Link","given":"John O."},{"family":"Taylor","given":"James G."},{"family":"Xu","given":"Lianhong"},{"family":"Mitchell","given":"Michael"},{"family":"Guo","given":"Hongyan"},{"family":"Liu","given":"Hongtao"},{"family":"Kato","given":"Darryl"},{"family":"Kirschberg","given":"Thorsten"},{"family":"Sun","given":"Jianyu"},{"family":"Squires","given":"Neil"},{"family":"Parrish","given":"Jay"},{"family":"Keller","given":"Terry"},{"family":"Yang","given":"Zheng-Yu"},{"family":"Yang","given":"Chris"},{"family":"Matles","given":"Mike"},{"family":"Wang","given":"Yujin"},{"family":"Wang","given":"Kelly"},{"family":"Cheng","given":"Guofeng"},{"family":"Tian","given":"Yang"},{"family":"Mogalian","given":"Erik"},{"family":"Mondou","given":"Elsa"},{"family":"Cornpropst","given":"Melanie"},{"family":"Perry","given":"Jason"},{"family":"Desai","given":"Manoj C."}],"issued":{"date-parts":[["2014",3,13]]}}}],"schema":"https://github.com/citation-style-language/schema/raw/master/csl-citation.json"}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52F87" w:rsidRPr="00C52F87">
              <w:rPr>
                <w:rFonts w:ascii="Aptos Narrow" w:hAnsi="Aptos Narrow" w:cs="Times New Roman"/>
                <w:kern w:val="0"/>
                <w:sz w:val="22"/>
                <w:vertAlign w:val="superscript"/>
              </w:rPr>
              <w:t>10</w:t>
            </w:r>
            <w:r>
              <w:rPr>
                <w:rFonts w:ascii="Aptos Narrow" w:eastAsia="Times New Roman" w:hAnsi="Aptos Narrow" w:cs="Times New Roman"/>
                <w:color w:val="000000"/>
                <w:kern w:val="0"/>
                <w:sz w:val="22"/>
                <w:szCs w:val="22"/>
                <w14:ligatures w14:val="none"/>
              </w:rPr>
              <w:fldChar w:fldCharType="end"/>
            </w:r>
          </w:p>
        </w:tc>
      </w:tr>
      <w:tr w:rsidR="00CA3A28" w:rsidRPr="00367563" w14:paraId="717D0F6C" w14:textId="77777777" w:rsidTr="00CA3A28">
        <w:trPr>
          <w:trHeight w:val="288"/>
        </w:trPr>
        <w:tc>
          <w:tcPr>
            <w:tcW w:w="2695" w:type="dxa"/>
            <w:noWrap/>
            <w:vAlign w:val="bottom"/>
            <w:hideMark/>
          </w:tcPr>
          <w:p w14:paraId="6FCC629B" w14:textId="316D63D9"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Ledipasvir</w:t>
            </w:r>
          </w:p>
        </w:tc>
        <w:tc>
          <w:tcPr>
            <w:tcW w:w="1330" w:type="dxa"/>
            <w:noWrap/>
            <w:vAlign w:val="bottom"/>
            <w:hideMark/>
          </w:tcPr>
          <w:p w14:paraId="0EEFCD5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w:t>
            </w:r>
          </w:p>
        </w:tc>
        <w:tc>
          <w:tcPr>
            <w:tcW w:w="960" w:type="dxa"/>
            <w:noWrap/>
            <w:vAlign w:val="bottom"/>
            <w:hideMark/>
          </w:tcPr>
          <w:p w14:paraId="20A483C1"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625F4918"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7C841095" w14:textId="441CCF3F" w:rsidR="00CA3A28" w:rsidRPr="00367563" w:rsidRDefault="00C52F87"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{"citationID":"Iriv0F82","properties":{"unsorted":false,"formattedCitation":"\\super 10\\nosupersub{}","plainCitation":"10","noteIndex":0},"citationItems":[{"id":1248,"uris":["http://zotero.org/users/7234110/items/LQV7HY4X"],"itemData":{"id":1248,"type":"article-journal","abstract":"A new class of highly potent NS5A inhibitors with an unsymmetric benzimidazole-difluorofluorene-imidazole core and distal [2.2.1]azabicyclic ring system was discovered. Optimization of antiviral potency and pharmacokinetics led to the identification of 39 (ledipasvir, GS-5885). Compound 39 (GT1a replicon EC50 = 31 pM) has an extended plasma half-life of 37–45 h in healthy volunteers and produces a rapid &gt;3 log viral load reduction in monotherapy at oral doses of 3 mg or greater with once-daily dosing in genotype 1a HCV-infected patients. 39 has been shown to be safe and efficacious, with SVR12 rates up to 100% when used in combination with direct-acting antivirals having complementary mechanisms.","container-title":"Journal of Medicinal Chemistry","DOI":"10.1021/jm401499g","ISSN":"0022-2623","issue":"5","journalAbbreviation":"J. Med. Chem.","page":"2033-2046","publisher":"American Chemical Society","source":"ACS Publications","title":"Discovery of Ledipasvir (GS-5885): A Potent, Once-Daily Oral NS5A Inhibitor for the Treatment of Hepatitis C Virus Infection","title-short":"Discovery of Ledipasvir (GS-5885)","volume":"57","author":[{"family":"Link","given":"John O."},{"family":"Taylor","given":"James G."},{"family":"Xu","given":"Lianhong"},{"family":"Mitchell","given":"Michael"},{"family":"Guo","given":"Hongyan"},{"family":"Liu","given":"Hongtao"},{"family":"Kato","given":"Darryl"},{"family":"Kirschberg","given":"Thorsten"},{"family":"Sun","given":"Jianyu"},{"family":"Squires","given":"Neil"},{"family":"Parrish","given":"Jay"},{"family":"Keller","given":"Terry"},{"family":"Yang","given":"Zheng-Yu"},{"family":"Yang","given":"Chris"},{"family":"Matles","given":"Mike"},{"family":"Wang","given":"Yujin"},{"family":"Wang","given":"Kelly"},{"family":"Cheng","given":"Guofeng"},{"family":"Tian","given":"Yang"},{"family":"Mogalian","given":"Erik"},{"family":"Mondou","given":"Elsa"},{"family":"Cornpropst","given":"Melanie"},{"family":"Perry","given":"Jason"},{"family":"Desai","given":"Manoj C."}],"issued":{"date-parts":[["2014",3,13]]}}}],"schema":"https://github.com/citation-style-language/schema/raw/master/csl-citation.json"}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C52F87">
              <w:rPr>
                <w:rFonts w:ascii="Aptos Narrow" w:hAnsi="Aptos Narrow" w:cs="Times New Roman"/>
                <w:kern w:val="0"/>
                <w:sz w:val="22"/>
                <w:vertAlign w:val="superscript"/>
              </w:rPr>
              <w:t>10</w:t>
            </w:r>
            <w:r>
              <w:rPr>
                <w:rFonts w:ascii="Aptos Narrow" w:eastAsia="Times New Roman" w:hAnsi="Aptos Narrow" w:cs="Times New Roman"/>
                <w:color w:val="000000"/>
                <w:kern w:val="0"/>
                <w:sz w:val="22"/>
                <w:szCs w:val="22"/>
                <w14:ligatures w14:val="none"/>
              </w:rPr>
              <w:fldChar w:fldCharType="end"/>
            </w:r>
          </w:p>
        </w:tc>
      </w:tr>
      <w:tr w:rsidR="00CA3A28" w:rsidRPr="00367563" w14:paraId="6DBD10D2" w14:textId="77777777" w:rsidTr="00CA3A28">
        <w:trPr>
          <w:trHeight w:val="288"/>
        </w:trPr>
        <w:tc>
          <w:tcPr>
            <w:tcW w:w="2695" w:type="dxa"/>
            <w:noWrap/>
            <w:vAlign w:val="bottom"/>
            <w:hideMark/>
          </w:tcPr>
          <w:p w14:paraId="65C5A6A1" w14:textId="19EEBEB2"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Ledipasvir</w:t>
            </w:r>
          </w:p>
        </w:tc>
        <w:tc>
          <w:tcPr>
            <w:tcW w:w="1330" w:type="dxa"/>
            <w:noWrap/>
            <w:vAlign w:val="bottom"/>
            <w:hideMark/>
          </w:tcPr>
          <w:p w14:paraId="6A966D31"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30</w:t>
            </w:r>
          </w:p>
        </w:tc>
        <w:tc>
          <w:tcPr>
            <w:tcW w:w="960" w:type="dxa"/>
            <w:noWrap/>
            <w:vAlign w:val="bottom"/>
            <w:hideMark/>
          </w:tcPr>
          <w:p w14:paraId="27E7D09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0338DD0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37846901" w14:textId="26EC417D" w:rsidR="00CA3A28" w:rsidRPr="00367563" w:rsidRDefault="00C52F87"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{"citationID":"P1qPeTKs","properties":{"unsorted":false,"formattedCitation":"\\super 10\\nosupersub{}","plainCitation":"10","noteIndex":0},"citationItems":[{"id":1248,"uris":["http://zotero.org/users/7234110/items/LQV7HY4X"],"itemData":{"id":1248,"type":"article-journal","abstract":"A new class of highly potent NS5A inhibitors with an unsymmetric benzimidazole-difluorofluorene-imidazole core and distal [2.2.1]azabicyclic ring system was discovered. Optimization of antiviral potency and pharmacokinetics led to the identification of 39 (ledipasvir, GS-5885). Compound 39 (GT1a replicon EC50 = 31 pM) has an extended plasma half-life of 37–45 h in healthy volunteers and produces a rapid &gt;3 log viral load reduction in monotherapy at oral doses of 3 mg or greater with once-daily dosing in genotype 1a HCV-infected patients. 39 has been shown to be safe and efficacious, with SVR12 rates up to 100% when used in combination with direct-acting antivirals having complementary mechanisms.","container-title":"Journal of Medicinal Chemistry","DOI":"10.1021/jm401499g","ISSN":"0022-2623","issue":"5","journalAbbreviation":"J. Med. Chem.","page":"2033-2046","publisher":"American Chemical Society","source":"ACS Publications","title":"Discovery of Ledipasvir (GS-5885): A Potent, Once-Daily Oral NS5A Inhibitor for the Treatment of Hepatitis C Virus Infection","title-short":"Discovery of Ledipasvir (GS-5885)","volume":"57","author":[{"family":"Link","given":"John O."},{"family":"Taylor","given":"James G."},{"family":"Xu","given":"Lianhong"},{"family":"Mitchell","given":"Michael"},{"family":"Guo","given":"Hongyan"},{"family":"Liu","given":"Hongtao"},{"family":"Kato","given":"Darryl"},{"family":"Kirschberg","given":"Thorsten"},{"family":"Sun","given":"Jianyu"},{"family":"Squires","given":"Neil"},{"family":"Parrish","given":"Jay"},{"family":"Keller","given":"Terry"},{"family":"Yang","given":"Zheng-Yu"},{"family":"Yang","given":"Chris"},{"family":"Matles","given":"Mike"},{"family":"Wang","given":"Yujin"},{"family":"Wang","given":"Kelly"},{"family":"Cheng","given":"Guofeng"},{"family":"Tian","given":"Yang"},{"family":"Mogalian","given":"Erik"},{"family":"Mondou","given":"Elsa"},{"family":"Cornpropst","given":"Melanie"},{"family":"Perry","given":"Jason"},{"family":"Desai","given":"Manoj C."}],"issued":{"date-parts":[["2014",3,13]]}}}],"schema":"https://github.com/citation-style-language/schema/raw/master/csl-citation.json"}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C52F87">
              <w:rPr>
                <w:rFonts w:ascii="Aptos Narrow" w:hAnsi="Aptos Narrow" w:cs="Times New Roman"/>
                <w:kern w:val="0"/>
                <w:sz w:val="22"/>
                <w:vertAlign w:val="superscript"/>
              </w:rPr>
              <w:t>10</w:t>
            </w:r>
            <w:r>
              <w:rPr>
                <w:rFonts w:ascii="Aptos Narrow" w:eastAsia="Times New Roman" w:hAnsi="Aptos Narrow" w:cs="Times New Roman"/>
                <w:color w:val="000000"/>
                <w:kern w:val="0"/>
                <w:sz w:val="22"/>
                <w:szCs w:val="22"/>
                <w14:ligatures w14:val="none"/>
              </w:rPr>
              <w:fldChar w:fldCharType="end"/>
            </w:r>
          </w:p>
        </w:tc>
      </w:tr>
      <w:tr w:rsidR="00CA3A28" w:rsidRPr="00367563" w14:paraId="68C0D3F5" w14:textId="77777777" w:rsidTr="00CA3A28">
        <w:trPr>
          <w:trHeight w:val="288"/>
        </w:trPr>
        <w:tc>
          <w:tcPr>
            <w:tcW w:w="2695" w:type="dxa"/>
            <w:noWrap/>
            <w:vAlign w:val="bottom"/>
            <w:hideMark/>
          </w:tcPr>
          <w:p w14:paraId="093B47BF" w14:textId="4B87BC9B"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Ledipasvir</w:t>
            </w:r>
          </w:p>
        </w:tc>
        <w:tc>
          <w:tcPr>
            <w:tcW w:w="1330" w:type="dxa"/>
            <w:noWrap/>
            <w:vAlign w:val="bottom"/>
            <w:hideMark/>
          </w:tcPr>
          <w:p w14:paraId="423C1CD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60</w:t>
            </w:r>
          </w:p>
        </w:tc>
        <w:tc>
          <w:tcPr>
            <w:tcW w:w="960" w:type="dxa"/>
            <w:noWrap/>
            <w:vAlign w:val="bottom"/>
            <w:hideMark/>
          </w:tcPr>
          <w:p w14:paraId="172A3AC5"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4A1D5DE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63A91613" w14:textId="4443C60D" w:rsidR="00CA3A28" w:rsidRPr="00367563" w:rsidRDefault="00C52F87"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{"citationID":"zJRuDWpE","properties":{"unsorted":false,"formattedCitation":"\\super 10\\nosupersub{}","plainCitation":"10","noteIndex":0},"citationItems":[{"id":1248,"uris":["http://zotero.org/users/7234110/items/LQV7HY4X"],"itemData":{"id":1248,"type":"article-journal","abstract":"A new class of highly potent NS5A inhibitors with an unsymmetric benzimidazole-difluorofluorene-imidazole core and distal [2.2.1]azabicyclic ring system was discovered. Optimization of antiviral potency and pharmacokinetics led to the identification of 39 (ledipasvir, GS-5885). Compound 39 (GT1a replicon EC50 = 31 pM) has an extended plasma half-life of 37–45 h in healthy volunteers and produces a rapid &gt;3 log viral load reduction in monotherapy at oral doses of 3 mg or greater with once-daily dosing in genotype 1a HCV-infected patients. 39 has been shown to be safe and efficacious, with SVR12 rates up to 100% when used in combination with direct-acting antivirals having complementary mechanisms.","container-title":"Journal of Medicinal Chemistry","DOI":"10.1021/jm401499g","ISSN":"0022-2623","issue":"5","journalAbbreviation":"J. Med. Chem.","page":"2033-2046","publisher":"American Chemical Society","source":"ACS Publications","title":"Discovery of Ledipasvir (GS-5885): A Potent, Once-Daily Oral NS5A Inhibitor for the Treatment of Hepatitis C Virus Infection","title-short":"Discovery of Ledipasvir (GS-5885)","volume":"57","author":[{"family":"Link","given":"John O."},{"family":"Taylor","given":"James G."},{"family":"Xu","given":"Lianhong"},{"family":"Mitchell","given":"Michael"},{"family":"Guo","given":"Hongyan"},{"family":"Liu","given":"Hongtao"},{"family":"Kato","given":"Darryl"},{"family":"Kirschberg","given":"Thorsten"},{"family":"Sun","given":"Jianyu"},{"family":"Squires","given":"Neil"},{"family":"Parrish","given":"Jay"},{"family":"Keller","given":"Terry"},{"family":"Yang","given":"Zheng-Yu"},{"family":"Yang","given":"Chris"},{"family":"Matles","given":"Mike"},{"family":"Wang","given":"Yujin"},{"family":"Wang","given":"Kelly"},{"family":"Cheng","given":"Guofeng"},{"family":"Tian","given":"Yang"},{"family":"Mogalian","given":"Erik"},{"family":"Mondou","given":"Elsa"},{"family":"Cornpropst","given":"Melanie"},{"family":"Perry","given":"Jason"},{"family":"Desai","given":"Manoj C."}],"issued":{"date-parts":[["2014",3,13]]}}}],"schema":"https://github.com/citation-style-language/schema/raw/master/csl-citation.json"}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C52F87">
              <w:rPr>
                <w:rFonts w:ascii="Aptos Narrow" w:hAnsi="Aptos Narrow" w:cs="Times New Roman"/>
                <w:kern w:val="0"/>
                <w:sz w:val="22"/>
                <w:vertAlign w:val="superscript"/>
              </w:rPr>
              <w:t>10</w:t>
            </w:r>
            <w:r>
              <w:rPr>
                <w:rFonts w:ascii="Aptos Narrow" w:eastAsia="Times New Roman" w:hAnsi="Aptos Narrow" w:cs="Times New Roman"/>
                <w:color w:val="000000"/>
                <w:kern w:val="0"/>
                <w:sz w:val="22"/>
                <w:szCs w:val="22"/>
                <w14:ligatures w14:val="none"/>
              </w:rPr>
              <w:fldChar w:fldCharType="end"/>
            </w:r>
          </w:p>
        </w:tc>
      </w:tr>
      <w:tr w:rsidR="00CA3A28" w:rsidRPr="00367563" w14:paraId="290D7366" w14:textId="77777777" w:rsidTr="00CA3A28">
        <w:trPr>
          <w:trHeight w:val="288"/>
        </w:trPr>
        <w:tc>
          <w:tcPr>
            <w:tcW w:w="2695" w:type="dxa"/>
            <w:noWrap/>
            <w:vAlign w:val="bottom"/>
            <w:hideMark/>
          </w:tcPr>
          <w:p w14:paraId="48903DE9" w14:textId="525A0C10"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Ledipasvir</w:t>
            </w:r>
          </w:p>
        </w:tc>
        <w:tc>
          <w:tcPr>
            <w:tcW w:w="1330" w:type="dxa"/>
            <w:noWrap/>
            <w:vAlign w:val="bottom"/>
            <w:hideMark/>
          </w:tcPr>
          <w:p w14:paraId="60A400A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100</w:t>
            </w:r>
          </w:p>
        </w:tc>
        <w:tc>
          <w:tcPr>
            <w:tcW w:w="960" w:type="dxa"/>
            <w:noWrap/>
            <w:vAlign w:val="bottom"/>
            <w:hideMark/>
          </w:tcPr>
          <w:p w14:paraId="0EBA5E9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1ECC733F"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246DF2EF" w14:textId="5CD97D0F" w:rsidR="00CA3A28" w:rsidRPr="00367563" w:rsidRDefault="00C52F87"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{"citationID":"yT0gp31l","properties":{"unsorted":false,"formattedCitation":"\\super 10\\nosupersub{}","plainCitation":"10","noteIndex":0},"citationItems":[{"id":1248,"uris":["http://zotero.org/users/7234110/items/LQV7HY4X"],"itemData":{"id":1248,"type":"article-journal","abstract":"A new class of highly potent NS5A inhibitors with an unsymmetric benzimidazole-difluorofluorene-imidazole core and distal [2.2.1]azabicyclic ring system was discovered. Optimization of antiviral potency and pharmacokinetics led to the identification of 39 (ledipasvir, GS-5885). Compound 39 (GT1a replicon EC50 = 31 pM) has an extended plasma half-life of 37–45 h in healthy volunteers and produces a rapid &gt;3 log viral load reduction in monotherapy at oral doses of 3 mg or greater with once-daily dosing in genotype 1a HCV-infected patients. 39 has been shown to be safe and efficacious, with SVR12 rates up to 100% when used in combination with direct-acting antivirals having complementary mechanisms.","container-title":"Journal of Medicinal Chemistry","DOI":"10.1021/jm401499g","ISSN":"0022-2623","issue":"5","journalAbbreviation":"J. Med. Chem.","page":"2033-2046","publisher":"American Chemical Society","source":"ACS Publications","title":"Discovery of Ledipasvir (GS-5885): A Potent, Once-Daily Oral NS5A Inhibitor for the Treatment of Hepatitis C Virus Infection","title-short":"Discovery of Ledipasvir (GS-5885)","volume":"57","author":[{"family":"Link","given":"John O."},{"family":"Taylor","given":"James G."},{"family":"Xu","given":"Lianhong"},{"family":"Mitchell","given":"Michael"},{"family":"Guo","given":"Hongyan"},{"family":"Liu","given":"Hongtao"},{"family":"Kato","given":"Darryl"},{"family":"Kirschberg","given":"Thorsten"},{"family":"Sun","given":"Jianyu"},{"family":"Squires","given":"Neil"},{"family":"Parrish","given":"Jay"},{"family":"Keller","given":"Terry"},{"family":"Yang","given":"Zheng-Yu"},{"family":"Yang","given":"Chris"},{"family":"Matles","given":"Mike"},{"family":"Wang","given":"Yujin"},{"family":"Wang","given":"Kelly"},{"family":"Cheng","given":"Guofeng"},{"family":"Tian","given":"Yang"},{"family":"Mogalian","given":"Erik"},{"family":"Mondou","given":"Elsa"},{"family":"Cornpropst","given":"Melanie"},{"family":"Perry","given":"Jason"},{"family":"Desai","given":"Manoj C."}],"issued":{"date-parts":[["2014",3,13]]}}}],"schema":"https://github.com/citation-style-language/schema/raw/master/csl-citation.json"}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C52F87">
              <w:rPr>
                <w:rFonts w:ascii="Aptos Narrow" w:hAnsi="Aptos Narrow" w:cs="Times New Roman"/>
                <w:kern w:val="0"/>
                <w:sz w:val="22"/>
                <w:vertAlign w:val="superscript"/>
              </w:rPr>
              <w:t>10</w:t>
            </w:r>
            <w:r>
              <w:rPr>
                <w:rFonts w:ascii="Aptos Narrow" w:eastAsia="Times New Roman" w:hAnsi="Aptos Narrow" w:cs="Times New Roman"/>
                <w:color w:val="000000"/>
                <w:kern w:val="0"/>
                <w:sz w:val="22"/>
                <w:szCs w:val="22"/>
                <w14:ligatures w14:val="none"/>
              </w:rPr>
              <w:fldChar w:fldCharType="end"/>
            </w:r>
          </w:p>
        </w:tc>
      </w:tr>
      <w:tr w:rsidR="00CA3A28" w:rsidRPr="00367563" w14:paraId="7345686A" w14:textId="77777777" w:rsidTr="00CA3A28">
        <w:trPr>
          <w:trHeight w:val="288"/>
        </w:trPr>
        <w:tc>
          <w:tcPr>
            <w:tcW w:w="2695" w:type="dxa"/>
            <w:noWrap/>
            <w:vAlign w:val="bottom"/>
            <w:hideMark/>
          </w:tcPr>
          <w:p w14:paraId="0410C8DB"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MK-0616</w:t>
            </w:r>
          </w:p>
        </w:tc>
        <w:tc>
          <w:tcPr>
            <w:tcW w:w="1330" w:type="dxa"/>
            <w:noWrap/>
            <w:vAlign w:val="bottom"/>
            <w:hideMark/>
          </w:tcPr>
          <w:p w14:paraId="12F620E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w:t>
            </w:r>
          </w:p>
        </w:tc>
        <w:tc>
          <w:tcPr>
            <w:tcW w:w="960" w:type="dxa"/>
            <w:noWrap/>
            <w:vAlign w:val="bottom"/>
            <w:hideMark/>
          </w:tcPr>
          <w:p w14:paraId="0758D8E5"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76858BA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7C4B63ED" w14:textId="435E5C59" w:rsidR="00CA3A28" w:rsidRPr="00367563" w:rsidRDefault="00B9660C"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{"citationID":"nXxZu8u0","properties":{"unsorted":false,"formattedCitation":"\\super 42\\nosupersub{}","plainCitation":"42","noteIndex":0},"citationItems":[{"id":1322,"uris":["http://zotero.org/users/7234110/items/SF2UWFZ6"],"itemData":{"id":1322,"type":"webpage","title":"Orally Bioavailable Macrocyclic Peptide That Inhibits Binding of PCSK9 to the Low Density Lipoprotein Receptor | Circulation","URL":"https://www.ahajournals.org/doi/10.1161/CIRCULATIONAHA.122.063372?__cf_chl_f_tk=TqKzCgE9u3UZ3xRnfYZpewvCCBhyS_mSgrMIa6UTJBw-1782803387-1.0.1.1-4D7AKci2KsgtpTOQU11RAl7DZ9ZU9KYpQ7TyK0NP0jk","accessed":{"date-parts":[["2026",6,30]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42</w:t>
            </w:r>
            <w:r>
              <w:rPr>
                <w:rFonts w:ascii="Aptos Narrow" w:eastAsia="Times New Roman" w:hAnsi="Aptos Narrow" w:cs="Times New Roman"/>
                <w:color w:val="000000"/>
                <w:kern w:val="0"/>
                <w:sz w:val="22"/>
                <w:szCs w:val="22"/>
                <w14:ligatures w14:val="none"/>
              </w:rPr>
              <w:fldChar w:fldCharType="end"/>
            </w:r>
          </w:p>
        </w:tc>
      </w:tr>
      <w:tr w:rsidR="00CA3A28" w:rsidRPr="00367563" w14:paraId="7365961D" w14:textId="77777777" w:rsidTr="00CA3A28">
        <w:trPr>
          <w:trHeight w:val="288"/>
        </w:trPr>
        <w:tc>
          <w:tcPr>
            <w:tcW w:w="2695" w:type="dxa"/>
            <w:noWrap/>
            <w:vAlign w:val="bottom"/>
            <w:hideMark/>
          </w:tcPr>
          <w:p w14:paraId="48C3AB4F"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MK-0616</w:t>
            </w:r>
          </w:p>
        </w:tc>
        <w:tc>
          <w:tcPr>
            <w:tcW w:w="1330" w:type="dxa"/>
            <w:noWrap/>
            <w:vAlign w:val="bottom"/>
            <w:hideMark/>
          </w:tcPr>
          <w:p w14:paraId="158FD8D5"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35</w:t>
            </w:r>
          </w:p>
        </w:tc>
        <w:tc>
          <w:tcPr>
            <w:tcW w:w="960" w:type="dxa"/>
            <w:noWrap/>
            <w:vAlign w:val="bottom"/>
            <w:hideMark/>
          </w:tcPr>
          <w:p w14:paraId="4A7E22C5"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6408ACA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3BD4F270" w14:textId="315EF162" w:rsidR="00CA3A28" w:rsidRPr="00367563" w:rsidRDefault="00B9660C"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{"citationID":"TMANgaRy","properties":{"unsorted":false,"formattedCitation":"\\super 42\\nosupersub{}","plainCitation":"42","noteIndex":0},"citationItems":[{"id":1322,"uris":["http://zotero.org/users/7234110/items/SF2UWFZ6"],"itemData":{"id":1322,"type":"webpage","title":"Orally Bioavailable Macrocyclic Peptide That Inhibits Binding of PCSK9 to the Low Density Lipoprotein Receptor | Circulation","URL":"https://www.ahajournals.org/doi/10.1161/CIRCULATIONAHA.122.063372?__cf_chl_f_tk=TqKzCgE9u3UZ3xRnfYZpewvCCBhyS_mSgrMIa6UTJBw-1782803387-1.0.1.1-4D7AKci2KsgtpTOQU11RAl7DZ9ZU9KYpQ7TyK0NP0jk","accessed":{"date-parts":[["2026",6,30]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42</w:t>
            </w:r>
            <w:r>
              <w:rPr>
                <w:rFonts w:ascii="Aptos Narrow" w:eastAsia="Times New Roman" w:hAnsi="Aptos Narrow" w:cs="Times New Roman"/>
                <w:color w:val="000000"/>
                <w:kern w:val="0"/>
                <w:sz w:val="22"/>
                <w:szCs w:val="22"/>
                <w14:ligatures w14:val="none"/>
              </w:rPr>
              <w:fldChar w:fldCharType="end"/>
            </w:r>
          </w:p>
        </w:tc>
      </w:tr>
      <w:tr w:rsidR="00CA3A28" w:rsidRPr="00367563" w14:paraId="20B033F1" w14:textId="77777777" w:rsidTr="00CA3A28">
        <w:trPr>
          <w:trHeight w:val="288"/>
        </w:trPr>
        <w:tc>
          <w:tcPr>
            <w:tcW w:w="2695" w:type="dxa"/>
            <w:noWrap/>
            <w:vAlign w:val="bottom"/>
            <w:hideMark/>
          </w:tcPr>
          <w:p w14:paraId="1B3CD82A"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MK-0616</w:t>
            </w:r>
          </w:p>
        </w:tc>
        <w:tc>
          <w:tcPr>
            <w:tcW w:w="1330" w:type="dxa"/>
            <w:noWrap/>
            <w:vAlign w:val="bottom"/>
            <w:hideMark/>
          </w:tcPr>
          <w:p w14:paraId="083D800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300</w:t>
            </w:r>
          </w:p>
        </w:tc>
        <w:tc>
          <w:tcPr>
            <w:tcW w:w="960" w:type="dxa"/>
            <w:noWrap/>
            <w:vAlign w:val="bottom"/>
            <w:hideMark/>
          </w:tcPr>
          <w:p w14:paraId="3A654BEF"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5B1EDCE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4A0E466A" w14:textId="1E84D263" w:rsidR="00CA3A28" w:rsidRPr="00367563" w:rsidRDefault="00B9660C"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{"citationID":"rZQq2C3x","properties":{"unsorted":false,"formattedCitation":"\\super 42\\nosupersub{}","plainCitation":"42","noteIndex":0},"citationItems":[{"id":1322,"uris":["http://zotero.org/users/7234110/items/SF2UWFZ6"],"itemData":{"id":1322,"type":"webpage","title":"Orally Bioavailable Macrocyclic Peptide That Inhibits Binding of PCSK9 to the Low Density Lipoprotein Receptor | Circulation","URL":"https://www.ahajournals.org/doi/10.1161/CIRCULATIONAHA.122.063372?__cf_chl_f_tk=TqKzCgE9u3UZ3xRnfYZpewvCCBhyS_mSgrMIa6UTJBw-1782803387-1.0.1.1-4D7AKci2KsgtpTOQU11RAl7DZ9ZU9KYpQ7TyK0NP0jk","accessed":{"date-parts":[["2026",6,30]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42</w:t>
            </w:r>
            <w:r>
              <w:rPr>
                <w:rFonts w:ascii="Aptos Narrow" w:eastAsia="Times New Roman" w:hAnsi="Aptos Narrow" w:cs="Times New Roman"/>
                <w:color w:val="000000"/>
                <w:kern w:val="0"/>
                <w:sz w:val="22"/>
                <w:szCs w:val="22"/>
                <w14:ligatures w14:val="none"/>
              </w:rPr>
              <w:fldChar w:fldCharType="end"/>
            </w:r>
          </w:p>
        </w:tc>
      </w:tr>
      <w:tr w:rsidR="00CA3A28" w:rsidRPr="00367563" w14:paraId="760C8EB4" w14:textId="77777777" w:rsidTr="00CA3A28">
        <w:trPr>
          <w:trHeight w:val="288"/>
        </w:trPr>
        <w:tc>
          <w:tcPr>
            <w:tcW w:w="2695" w:type="dxa"/>
            <w:noWrap/>
            <w:vAlign w:val="bottom"/>
            <w:hideMark/>
          </w:tcPr>
          <w:p w14:paraId="22C55974" w14:textId="53C6E19C"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Muraglitazar</w:t>
            </w:r>
          </w:p>
        </w:tc>
        <w:tc>
          <w:tcPr>
            <w:tcW w:w="1330" w:type="dxa"/>
            <w:noWrap/>
            <w:vAlign w:val="bottom"/>
            <w:hideMark/>
          </w:tcPr>
          <w:p w14:paraId="080573C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w:t>
            </w:r>
          </w:p>
        </w:tc>
        <w:tc>
          <w:tcPr>
            <w:tcW w:w="960" w:type="dxa"/>
            <w:noWrap/>
            <w:vAlign w:val="bottom"/>
            <w:hideMark/>
          </w:tcPr>
          <w:p w14:paraId="5436B14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513C5F9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142BF96D" w14:textId="4440250D" w:rsidR="00CA3A28" w:rsidRPr="00367563" w:rsidRDefault="00B9660C"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876D34">
              <w:rPr>
                <w:rFonts w:ascii="Aptos Narrow" w:eastAsia="Times New Roman" w:hAnsi="Aptos Narrow" w:cs="Times New Roman"/>
                <w:color w:val="000000"/>
                <w:kern w:val="0"/>
                <w:sz w:val="22"/>
                <w:szCs w:val="22"/>
                <w14:ligatures w14:val="none"/>
              </w:rPr>
              <w:instrText xml:space="preserve"> ADDIN ZOTERO_ITEM CSL_CITATION {"citationID":"LOKQR2ro","properties":{"unsorted":false,"formattedCitation":"\\super 11\\nosupersub{}","plainCitation":"11","noteIndex":0},"citationItems":[{"id":1324,"uris":["http://zotero.org/users/7234110/items/YUR8JUE9"],"itemData":{"id":1324,"type":"article-journal","container-title":"Drug Metabolism and Disposition","DOI":"10.1124/dmd.106.012450","ISSN":"0090-9556, 1521-009X","issue":"1","journalAbbreviation":"Drug Metabolism and Disposition","language":"English","page":"150-167","PMID":"17062777","publisher":"Elsevier","source":"dmd.aspetjournals.org","title":"Comparative Metabolism of Radiolabeled Muraglitazar in Animals and Humans by Quantitative and Qualitative Metabolite Profiling","volume":"35","author":[{"family":"Zhang","given":"Donglu"},{"family":"Wang","given":"Lifei"},{"family":"Raghavan","given":"Nirmala"},{"family":"Zhang","given":"Haiying"},{"family":"Li","given":"Wenying"},{"family":"Cheng","given":"Peter T."},{"family":"Yao","given":"Ming"},{"family":"Zhang","given":"Litao"},{"family":"Zhu","given":"Mingshe"},{"family":"Bonacorsi","given":"Samuel"},{"family":"Yeola","given":"Suresh"},{"family":"Mitroka","given":"James"},{"family":"Hariharan","given":"Narayanan"},{"family":"Hosagrahara","given":"Vinayak"},{"family":"Chandrasena","given":"Gamini"},{"family":"Shyu","given":"Wen Chyi"},{"family":"Humphreys","given":"W. Griffith"}],"issued":{"date-parts":[["2007",1,1]]}}}],"schema":"https://github.com/citation-style-language/schema/raw/master/csl-citation.json"}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876D34" w:rsidRPr="00876D34">
              <w:rPr>
                <w:rFonts w:ascii="Aptos Narrow" w:hAnsi="Aptos Narrow" w:cs="Times New Roman"/>
                <w:kern w:val="0"/>
                <w:sz w:val="22"/>
                <w:vertAlign w:val="superscript"/>
              </w:rPr>
              <w:t>11</w:t>
            </w:r>
            <w:r>
              <w:rPr>
                <w:rFonts w:ascii="Aptos Narrow" w:eastAsia="Times New Roman" w:hAnsi="Aptos Narrow" w:cs="Times New Roman"/>
                <w:color w:val="000000"/>
                <w:kern w:val="0"/>
                <w:sz w:val="22"/>
                <w:szCs w:val="22"/>
                <w14:ligatures w14:val="none"/>
              </w:rPr>
              <w:fldChar w:fldCharType="end"/>
            </w:r>
          </w:p>
        </w:tc>
      </w:tr>
      <w:tr w:rsidR="00CA3A28" w:rsidRPr="00367563" w14:paraId="39586A64" w14:textId="77777777" w:rsidTr="00CA3A28">
        <w:trPr>
          <w:trHeight w:val="288"/>
        </w:trPr>
        <w:tc>
          <w:tcPr>
            <w:tcW w:w="2695" w:type="dxa"/>
            <w:noWrap/>
            <w:vAlign w:val="bottom"/>
            <w:hideMark/>
          </w:tcPr>
          <w:p w14:paraId="5ACB93DD"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NX-5948</w:t>
            </w:r>
          </w:p>
        </w:tc>
        <w:tc>
          <w:tcPr>
            <w:tcW w:w="1330" w:type="dxa"/>
            <w:noWrap/>
            <w:vAlign w:val="bottom"/>
            <w:hideMark/>
          </w:tcPr>
          <w:p w14:paraId="4EF46485"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50</w:t>
            </w:r>
          </w:p>
        </w:tc>
        <w:tc>
          <w:tcPr>
            <w:tcW w:w="960" w:type="dxa"/>
            <w:noWrap/>
            <w:vAlign w:val="bottom"/>
            <w:hideMark/>
          </w:tcPr>
          <w:p w14:paraId="10C116F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5A9BA52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201AA5D4" w14:textId="20E3F5EB" w:rsidR="00CA3A28" w:rsidRPr="00367563" w:rsidRDefault="00B9660C"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{"citationID":"aSzdVE52","properties":{"unsorted":false,"formattedCitation":"\\super 43\\nosupersub{}","plainCitation":"43","noteIndex":0},"citationItems":[{"id":1212,"uris":["http://zotero.org/users/7234110/items/L38J4NTF"],"itemData":{"id":1212,"type":"article-journal","abstract":"Introduction: Although BTK inhibition has proven to be a successful treatment modality in CLL, the emergence of BTK inhibitor (BTKi) resistance mutations and identification of kinase-independent signaling via the scaffolding function of BTK underscore the need for alternative approaches to target the totality of BTK protein functions. Bexobrutideg is a novel, highly selective, orally administered small molecule degrader that induces removal of wild-type and mutant forms of BTK through ubiquitination by the cereblon E3 ligase complex and subsequent proteasomal degradation. We report new and updated findings from patients (pts) with relapsed/refractory CLL in a Phase 1 (Ph1) trial of bexobrutideg, including longer-term follow-up from the Ph1a cohort combined with first disclosure from the randomized Ph1b cohort.Methods: NX-5948-301 is a Ph1, first-in-human trial of bexobrutideg in relapsed/refractory B-cell malignancies, including CLL, consisting of 3+3 dose-escalation (Ph1a) followed by dose-expansion (Ph1b) cohorts. In Ph1b Cohort 1, pts were randomized between the 200 mg and 600 mg dose levels. Key eligibility criteria include ≥2 prior therapy lines (Ph1a) or prior exposure to both a BTKi and BCL2i (or deemed ineligible for BCL2i) (Ph1b). Primary objectives are evaluation of safety/tolerability and identification of a recommended Ph2 dose. Key secondary objectives include characterization of the PK/PD profile and assessment of preliminary efficacy.Results: As of 27 May 2025, 230 pts have been enrolled across all indications, including 97 pts with CLL/SLL enrolled in the Ph1a and Ph1b cohorts. Pts were enrolled at 6 daily oral dose levels: 50 mg (n=3), 100 mg (n=5), 200 mg (n=33), 300 mg (n=8), 450 mg (n=7), 600 mg (n=41), including 42 pts in the Ph1b cohort randomized into 200 mg and 600 mg. Median age was 68 (range 35–88) years; pts had received a median of 4 (range 1–12) prior lines of therapy, including: covalent BTKi (cBTKi, 97.9%), non-covalent BTKi (ncBTKi, 32.0%), BCL2i (74.2%), BTKi+BCL2i (73.2%), chemo/chemoimmunotherapy (77.3%), PI3Ki (24.7%), and CAR-T (6.2%). In 85 pts with genetic testing available, baseline mutations included BTK (42.4%), PLCG2 (10.6%), and TP53 (42.4%). BTK mutations with VAF &amp;gt;5% spanned C481S (n=19), C481R (n=3), T474 (n=12), L528 (n=8), and V416 (n=1).Bexobrutideg was well tolerated across all doses in pts from the Ph1a/b CLL cohorts, consistent with previous reports. Median follow-up was 8.7 (0.3–28.6) months (mo). The most common treatment-emergent adverse events (TEAEs) were: purpura/contusion (38.1%; Grade (Gr) ≥3, 0%); neutropenia (29.9%; Gr ≥3, 23.7%); fatigue (25.8%; Gr ≥3, 1.0%); diarrhea (23.7%; Gr ≥3, 2.1%), headache (23.7%; Gr ≥3, 0%); petechiae (23.7%, Gr ≥3, 0%), and thrombocytopenia (21.6%, Gr ≥3, 3.1%). There were no dose-limiting toxicities, and 5 pts (5.2%) discontinued treatment due to a TEAE (Gr 2 pre-syncope, Gr 2 dysphagia, Gr 2 hot flush, Gr 3 pneumonia and sepsis and Gr 4 neutrophil count decreased, Gr 5 pneumonia on cycle 1, deemed not related to treatment). No systemic fungal infections or new onset atrial fibrillation or ventricular arrhythmias were observed.In the 84 response-evaluable Ph1a/b pts with CLL/SLL the ORR was 78.6% (1 CR, 60 PR and 5 PR-L). Median time to first response was 1.9 (range 1.6–11.1) mo; median duration of response was not reached (95% CI 12.2 mo–not reached). Responses deepened over time, with 15 pts converting from SD to PR and 1 pt from PR to CR. Twenty pts reached &amp;gt;12 mo on study (19/20 still on treatment, 1 bridged to allo transplant), and 6 pts &amp;gt;18 mo (all still on treatment); 69/97 pts remained on study including 4/5 pts with CNS involvement. Results from next-generation sequencing for BTK mutations including kinase dead mutations (L528W, V416L and A428D) and kinase proficient T474 will be presented as well as efficacy in clinically meaningful subgroups.Conclusions:In the largest Ph1a/b cohort of pts with relapsed/refractory CLL treated with bexobrutideg reported to date, bexobrutideg was well tolerated across dose levels and treatment durations. Bexobrutideg showed rapid and durable responses in a heavily pre-treated population of pts with CLL, including those with baseline BTK mutations and high-risk molecular features. Additional follow-up and preliminary results from the 200 mg vs 600 mg randomized dose-expansion cohorts will be presented.","container-title":"Blood","DOI":"10.1182/blood-2025-86","ISSN":"0006-4971","issue":"Supplement 1","journalAbbreviation":"Blood","page":"86","source":"Silverchair","title":"Bexobrutideg (NX-5948), a novel Bruton's tyrosine kinase (BTK) degrader, demonstrates rapid and durable clinical responses in Relapsed/Refractory chronic lymphocytic leukemia (CLL): New and updated findings from an ongoing Phase 1a/b trial","title-short":"Bexobrutideg (NX-5948), a novel Bruton's tyrosine kinase (BTK) degrader, demonstrates rapid and durable clinical responses in Relapsed/Refractory chronic lymphocytic leukemia (CLL)","volume":"146","author":[{"family":"Omer","given":"Zulfa"},{"family":"Danilov","given":"Alexey"},{"family":"Forconi","given":"Francesco"},{"family":"Munir","given":"Talha"},{"family":"Gleeson","given":"Mary"},{"family":"Shah","given":"Nirav"},{"family":"Collins","given":"Graham"},{"family":"Alencar","given":"Alvaro"},{"family":"Robertson","given":"Jane"},{"family":"Cohen","given":"Jonathon"},{"family":"Dixit","given":"Karan"},{"family":"Brander","given":"Danielle"},{"family":"Byrd","given":"John"},{"family":"Winter","given":"Allison"},{"family":"Smith","given":"Jeffery"},{"family":"El-Sharkawi","given":"Dima"},{"family":"Kwiatek","given":"Michal"},{"family":"Hus","given":"Iwona"},{"family":"Islam","given":"Prioty"},{"family":"Grosicki","given":"Sebastian"},{"family":"Tees","given":"Michael"},{"family":"Zenz","given":"Thorsten"},{"family":"Romejko-Jarosinska","given":"Joanna"},{"family":"Injac","given":"Sarah"},{"family":"Jurczak","given":"Wojciech"}],"issued":{"date-parts":[["2025",11,3]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43</w:t>
            </w:r>
            <w:r>
              <w:rPr>
                <w:rFonts w:ascii="Aptos Narrow" w:eastAsia="Times New Roman" w:hAnsi="Aptos Narrow" w:cs="Times New Roman"/>
                <w:color w:val="000000"/>
                <w:kern w:val="0"/>
                <w:sz w:val="22"/>
                <w:szCs w:val="22"/>
                <w14:ligatures w14:val="none"/>
              </w:rPr>
              <w:fldChar w:fldCharType="end"/>
            </w:r>
          </w:p>
        </w:tc>
      </w:tr>
      <w:tr w:rsidR="00CA3A28" w:rsidRPr="00367563" w14:paraId="169AB768" w14:textId="77777777" w:rsidTr="00CA3A28">
        <w:trPr>
          <w:trHeight w:val="288"/>
        </w:trPr>
        <w:tc>
          <w:tcPr>
            <w:tcW w:w="2695" w:type="dxa"/>
            <w:noWrap/>
            <w:vAlign w:val="bottom"/>
            <w:hideMark/>
          </w:tcPr>
          <w:p w14:paraId="0FF656E6"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NX-5948</w:t>
            </w:r>
          </w:p>
        </w:tc>
        <w:tc>
          <w:tcPr>
            <w:tcW w:w="1330" w:type="dxa"/>
            <w:noWrap/>
            <w:vAlign w:val="bottom"/>
            <w:hideMark/>
          </w:tcPr>
          <w:p w14:paraId="78705D7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100</w:t>
            </w:r>
          </w:p>
        </w:tc>
        <w:tc>
          <w:tcPr>
            <w:tcW w:w="960" w:type="dxa"/>
            <w:noWrap/>
            <w:vAlign w:val="bottom"/>
            <w:hideMark/>
          </w:tcPr>
          <w:p w14:paraId="09BF7D7F"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123E38FF"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781D4987" w14:textId="06D610E4" w:rsidR="00CA3A28" w:rsidRPr="00367563" w:rsidRDefault="00B9660C"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{"citationID":"X1WH3SM4","properties":{"unsorted":false,"formattedCitation":"\\super 43\\nosupersub{}","plainCitation":"43","noteIndex":0},"citationItems":[{"id":1212,"uris":["http://zotero.org/users/7234110/items/L38J4NTF"],"itemData":{"id":1212,"type":"article-journal","abstract":"Introduction: Although BTK inhibition has proven to be a successful treatment modality in CLL, the emergence of BTK inhibitor (BTKi) resistance mutations and identification of kinase-independent signaling via the scaffolding function of BTK underscore the need for alternative approaches to target the totality of BTK protein functions. Bexobrutideg is a novel, highly selective, orally administered small molecule degrader that induces removal of wild-type and mutant forms of BTK through ubiquitination by the cereblon E3 ligase complex and subsequent proteasomal degradation. We report new and updated findings from patients (pts) with relapsed/refractory CLL in a Phase 1 (Ph1) trial of bexobrutideg, including longer-term follow-up from the Ph1a cohort combined with first disclosure from the randomized Ph1b cohort.Methods: NX-5948-301 is a Ph1, first-in-human trial of bexobrutideg in relapsed/refractory B-cell malignancies, including CLL, consisting of 3+3 dose-escalation (Ph1a) followed by dose-expansion (Ph1b) cohorts. In Ph1b Cohort 1, pts were randomized between the 200 mg and 600 mg dose levels. Key eligibility criteria include ≥2 prior therapy lines (Ph1a) or prior exposure to both a BTKi and BCL2i (or deemed ineligible for BCL2i) (Ph1b). Primary objectives are evaluation of safety/tolerability and identification of a recommended Ph2 dose. Key secondary objectives include characterization of the PK/PD profile and assessment of preliminary efficacy.Results: As of 27 May 2025, 230 pts have been enrolled across all indications, including 97 pts with CLL/SLL enrolled in the Ph1a and Ph1b cohorts. Pts were enrolled at 6 daily oral dose levels: 50 mg (n=3), 100 mg (n=5), 200 mg (n=33), 300 mg (n=8), 450 mg (n=7), 600 mg (n=41), including 42 pts in the Ph1b cohort randomized into 200 mg and 600 mg. Median age was 68 (range 35–88) years; pts had received a median of 4 (range 1–12) prior lines of therapy, including: covalent BTKi (cBTKi, 97.9%), non-covalent BTKi (ncBTKi, 32.0%), BCL2i (74.2%), BTKi+BCL2i (73.2%), chemo/chemoimmunotherapy (77.3%), PI3Ki (24.7%), and CAR-T (6.2%). In 85 pts with genetic testing available, baseline mutations included BTK (42.4%), PLCG2 (10.6%), and TP53 (42.4%). BTK mutations with VAF &amp;gt;5% spanned C481S (n=19), C481R (n=3), T474 (n=12), L528 (n=8), and V416 (n=1).Bexobrutideg was well tolerated across all doses in pts from the Ph1a/b CLL cohorts, consistent with previous reports. Median follow-up was 8.7 (0.3–28.6) months (mo). The most common treatment-emergent adverse events (TEAEs) were: purpura/contusion (38.1%; Grade (Gr) ≥3, 0%); neutropenia (29.9%; Gr ≥3, 23.7%); fatigue (25.8%; Gr ≥3, 1.0%); diarrhea (23.7%; Gr ≥3, 2.1%), headache (23.7%; Gr ≥3, 0%); petechiae (23.7%, Gr ≥3, 0%), and thrombocytopenia (21.6%, Gr ≥3, 3.1%). There were no dose-limiting toxicities, and 5 pts (5.2%) discontinued treatment due to a TEAE (Gr 2 pre-syncope, Gr 2 dysphagia, Gr 2 hot flush, Gr 3 pneumonia and sepsis and Gr 4 neutrophil count decreased, Gr 5 pneumonia on cycle 1, deemed not related to treatment). No systemic fungal infections or new onset atrial fibrillation or ventricular arrhythmias were observed.In the 84 response-evaluable Ph1a/b pts with CLL/SLL the ORR was 78.6% (1 CR, 60 PR and 5 PR-L). Median time to first response was 1.9 (range 1.6–11.1) mo; median duration of response was not reached (95% CI 12.2 mo–not reached). Responses deepened over time, with 15 pts converting from SD to PR and 1 pt from PR to CR. Twenty pts reached &amp;gt;12 mo on study (19/20 still on treatment, 1 bridged to allo transplant), and 6 pts &amp;gt;18 mo (all still on treatment); 69/97 pts remained on study including 4/5 pts with CNS involvement. Results from next-generation sequencing for BTK mutations including kinase dead mutations (L528W, V416L and A428D) and kinase proficient T474 will be presented as well as efficacy in clinically meaningful subgroups.Conclusions:In the largest Ph1a/b cohort of pts with relapsed/refractory CLL treated with bexobrutideg reported to date, bexobrutideg was well tolerated across dose levels and treatment durations. Bexobrutideg showed rapid and durable responses in a heavily pre-treated population of pts with CLL, including those with baseline BTK mutations and high-risk molecular features. Additional follow-up and preliminary results from the 200 mg vs 600 mg randomized dose-expansion cohorts will be presented.","container-title":"Blood","DOI":"10.1182/blood-2025-86","ISSN":"0006-4971","issue":"Supplement 1","journalAbbreviation":"Blood","page":"86","source":"Silverchair","title":"Bexobrutideg (NX-5948), a novel Bruton's tyrosine kinase (BTK) degrader, demonstrates rapid and durable clinical responses in Relapsed/Refractory chronic lymphocytic leukemia (CLL): New and updated findings from an ongoing Phase 1a/b trial","title-short":"Bexobrutideg (NX-5948), a novel Bruton's tyrosine kinase (BTK) degrader, demonstrates rapid and durable clinical responses in Relapsed/Refractory chronic lymphocytic leukemia (CLL)","volume":"146","author":[{"family":"Omer","given":"Zulfa"},{"family":"Danilov","given":"Alexey"},{"family":"Forconi","given":"Francesco"},{"family":"Munir","given":"Talha"},{"family":"Gleeson","given":"Mary"},{"family":"Shah","given":"Nirav"},{"family":"Collins","given":"Graham"},{"family":"Alencar","given":"Alvaro"},{"family":"Robertson","given":"Jane"},{"family":"Cohen","given":"Jonathon"},{"family":"Dixit","given":"Karan"},{"family":"Brander","given":"Danielle"},{"family":"Byrd","given":"John"},{"family":"Winter","given":"Allison"},{"family":"Smith","given":"Jeffery"},{"family":"El-Sharkawi","given":"Dima"},{"family":"Kwiatek","given":"Michal"},{"family":"Hus","given":"Iwona"},{"family":"Islam","given":"Prioty"},{"family":"Grosicki","given":"Sebastian"},{"family":"Tees","given":"Michael"},{"family":"Zenz","given":"Thorsten"},{"family":"Romejko-Jarosinska","given":"Joanna"},{"family":"Injac","given":"Sarah"},{"family":"Jurczak","given":"Wojciech"}],"issued":{"date-parts":[["2025",11,3]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43</w:t>
            </w:r>
            <w:r>
              <w:rPr>
                <w:rFonts w:ascii="Aptos Narrow" w:eastAsia="Times New Roman" w:hAnsi="Aptos Narrow" w:cs="Times New Roman"/>
                <w:color w:val="000000"/>
                <w:kern w:val="0"/>
                <w:sz w:val="22"/>
                <w:szCs w:val="22"/>
                <w14:ligatures w14:val="none"/>
              </w:rPr>
              <w:fldChar w:fldCharType="end"/>
            </w:r>
          </w:p>
        </w:tc>
      </w:tr>
      <w:tr w:rsidR="00CA3A28" w:rsidRPr="00367563" w14:paraId="3EB96ED2" w14:textId="77777777" w:rsidTr="00CA3A28">
        <w:trPr>
          <w:trHeight w:val="288"/>
        </w:trPr>
        <w:tc>
          <w:tcPr>
            <w:tcW w:w="2695" w:type="dxa"/>
            <w:noWrap/>
            <w:vAlign w:val="bottom"/>
            <w:hideMark/>
          </w:tcPr>
          <w:p w14:paraId="487AD1E5"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NX-5948</w:t>
            </w:r>
          </w:p>
        </w:tc>
        <w:tc>
          <w:tcPr>
            <w:tcW w:w="1330" w:type="dxa"/>
            <w:noWrap/>
            <w:vAlign w:val="bottom"/>
            <w:hideMark/>
          </w:tcPr>
          <w:p w14:paraId="2AD3121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200</w:t>
            </w:r>
          </w:p>
        </w:tc>
        <w:tc>
          <w:tcPr>
            <w:tcW w:w="960" w:type="dxa"/>
            <w:noWrap/>
            <w:vAlign w:val="bottom"/>
            <w:hideMark/>
          </w:tcPr>
          <w:p w14:paraId="7E6AA6C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5C8DA5C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411E33E3" w14:textId="3394D914" w:rsidR="00CA3A28" w:rsidRPr="00367563" w:rsidRDefault="00B9660C"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{"citationID":"8Ky2tu2x","properties":{"unsorted":false,"formattedCitation":"\\super 43\\nosupersub{}","plainCitation":"43","noteIndex":0},"citationItems":[{"id":1212,"uris":["http://zotero.org/users/7234110/items/L38J4NTF"],"itemData":{"id":1212,"type":"article-journal","abstract":"Introduction: Although BTK inhibition has proven to be a successful treatment modality in CLL, the emergence of BTK inhibitor (BTKi) resistance mutations and identification of kinase-independent signaling via the scaffolding function of BTK underscore the need for alternative approaches to target the totality of BTK protein functions. Bexobrutideg is a novel, highly selective, orally administered small molecule degrader that induces removal of wild-type and mutant forms of BTK through ubiquitination by the cereblon E3 ligase complex and subsequent proteasomal degradation. We report new and updated findings from patients (pts) with relapsed/refractory CLL in a Phase 1 (Ph1) trial of bexobrutideg, including longer-term follow-up from the Ph1a cohort combined with first disclosure from the randomized Ph1b cohort.Methods: NX-5948-301 is a Ph1, first-in-human trial of bexobrutideg in relapsed/refractory B-cell malignancies, including CLL, consisting of 3+3 dose-escalation (Ph1a) followed by dose-expansion (Ph1b) cohorts. In Ph1b Cohort 1, pts were randomized between the 200 mg and 600 mg dose levels. Key eligibility criteria include ≥2 prior therapy lines (Ph1a) or prior exposure to both a BTKi and BCL2i (or deemed ineligible for BCL2i) (Ph1b). Primary objectives are evaluation of safety/tolerability and identification of a recommended Ph2 dose. Key secondary objectives include characterization of the PK/PD profile and assessment of preliminary efficacy.Results: As of 27 May 2025, 230 pts have been enrolled across all indications, including 97 pts with CLL/SLL enrolled in the Ph1a and Ph1b cohorts. Pts were enrolled at 6 daily oral dose levels: 50 mg (n=3), 100 mg (n=5), 200 mg (n=33), 300 mg (n=8), 450 mg (n=7), 600 mg (n=41), including 42 pts in the Ph1b cohort randomized into 200 mg and 600 mg. Median age was 68 (range 35–88) years; pts had received a median of 4 (range 1–12) prior lines of therapy, including: covalent BTKi (cBTKi, 97.9%), non-covalent BTKi (ncBTKi, 32.0%), BCL2i (74.2%), BTKi+BCL2i (73.2%), chemo/chemoimmunotherapy (77.3%), PI3Ki (24.7%), and CAR-T (6.2%). In 85 pts with genetic testing available, baseline mutations included BTK (42.4%), PLCG2 (10.6%), and TP53 (42.4%). BTK mutations with VAF &amp;gt;5% spanned C481S (n=19), C481R (n=3), T474 (n=12), L528 (n=8), and V416 (n=1).Bexobrutideg was well tolerated across all doses in pts from the Ph1a/b CLL cohorts, consistent with previous reports. Median follow-up was 8.7 (0.3–28.6) months (mo). The most common treatment-emergent adverse events (TEAEs) were: purpura/contusion (38.1%; Grade (Gr) ≥3, 0%); neutropenia (29.9%; Gr ≥3, 23.7%); fatigue (25.8%; Gr ≥3, 1.0%); diarrhea (23.7%; Gr ≥3, 2.1%), headache (23.7%; Gr ≥3, 0%); petechiae (23.7%, Gr ≥3, 0%), and thrombocytopenia (21.6%, Gr ≥3, 3.1%). There were no dose-limiting toxicities, and 5 pts (5.2%) discontinued treatment due to a TEAE (Gr 2 pre-syncope, Gr 2 dysphagia, Gr 2 hot flush, Gr 3 pneumonia and sepsis and Gr 4 neutrophil count decreased, Gr 5 pneumonia on cycle 1, deemed not related to treatment). No systemic fungal infections or new onset atrial fibrillation or ventricular arrhythmias were observed.In the 84 response-evaluable Ph1a/b pts with CLL/SLL the ORR was 78.6% (1 CR, 60 PR and 5 PR-L). Median time to first response was 1.9 (range 1.6–11.1) mo; median duration of response was not reached (95% CI 12.2 mo–not reached). Responses deepened over time, with 15 pts converting from SD to PR and 1 pt from PR to CR. Twenty pts reached &amp;gt;12 mo on study (19/20 still on treatment, 1 bridged to allo transplant), and 6 pts &amp;gt;18 mo (all still on treatment); 69/97 pts remained on study including 4/5 pts with CNS involvement. Results from next-generation sequencing for BTK mutations including kinase dead mutations (L528W, V416L and A428D) and kinase proficient T474 will be presented as well as efficacy in clinically meaningful subgroups.Conclusions:In the largest Ph1a/b cohort of pts with relapsed/refractory CLL treated with bexobrutideg reported to date, bexobrutideg was well tolerated across dose levels and treatment durations. Bexobrutideg showed rapid and durable responses in a heavily pre-treated population of pts with CLL, including those with baseline BTK mutations and high-risk molecular features. Additional follow-up and preliminary results from the 200 mg vs 600 mg randomized dose-expansion cohorts will be presented.","container-title":"Blood","DOI":"10.1182/blood-2025-86","ISSN":"0006-4971","issue":"Supplement 1","journalAbbreviation":"Blood","page":"86","source":"Silverchair","title":"Bexobrutideg (NX-5948), a novel Bruton's tyrosine kinase (BTK) degrader, demonstrates rapid and durable clinical responses in Relapsed/Refractory chronic lymphocytic leukemia (CLL): New and updated findings from an ongoing Phase 1a/b trial","title-short":"Bexobrutideg (NX-5948), a novel Bruton's tyrosine kinase (BTK) degrader, demonstrates rapid and durable clinical responses in Relapsed/Refractory chronic lymphocytic leukemia (CLL)","volume":"146","author":[{"family":"Omer","given":"Zulfa"},{"family":"Danilov","given":"Alexey"},{"family":"Forconi","given":"Francesco"},{"family":"Munir","given":"Talha"},{"family":"Gleeson","given":"Mary"},{"family":"Shah","given":"Nirav"},{"family":"Collins","given":"Graham"},{"family":"Alencar","given":"Alvaro"},{"family":"Robertson","given":"Jane"},{"family":"Cohen","given":"Jonathon"},{"family":"Dixit","given":"Karan"},{"family":"Brander","given":"Danielle"},{"family":"Byrd","given":"John"},{"family":"Winter","given":"Allison"},{"family":"Smith","given":"Jeffery"},{"family":"El-Sharkawi","given":"Dima"},{"family":"Kwiatek","given":"Michal"},{"family":"Hus","given":"Iwona"},{"family":"Islam","given":"Prioty"},{"family":"Grosicki","given":"Sebastian"},{"family":"Tees","given":"Michael"},{"family":"Zenz","given":"Thorsten"},{"family":"Romejko-Jarosinska","given":"Joanna"},{"family":"Injac","given":"Sarah"},{"family":"Jurczak","given":"Wojciech"}],"issued":{"date-parts":[["2025",11,3]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43</w:t>
            </w:r>
            <w:r>
              <w:rPr>
                <w:rFonts w:ascii="Aptos Narrow" w:eastAsia="Times New Roman" w:hAnsi="Aptos Narrow" w:cs="Times New Roman"/>
                <w:color w:val="000000"/>
                <w:kern w:val="0"/>
                <w:sz w:val="22"/>
                <w:szCs w:val="22"/>
                <w14:ligatures w14:val="none"/>
              </w:rPr>
              <w:fldChar w:fldCharType="end"/>
            </w:r>
          </w:p>
        </w:tc>
      </w:tr>
      <w:tr w:rsidR="00CA3A28" w:rsidRPr="00367563" w14:paraId="470EA07B" w14:textId="77777777" w:rsidTr="00CA3A28">
        <w:trPr>
          <w:trHeight w:val="288"/>
        </w:trPr>
        <w:tc>
          <w:tcPr>
            <w:tcW w:w="2695" w:type="dxa"/>
            <w:noWrap/>
            <w:vAlign w:val="bottom"/>
            <w:hideMark/>
          </w:tcPr>
          <w:p w14:paraId="6ADD4295"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Rifabutin</w:t>
            </w:r>
          </w:p>
        </w:tc>
        <w:tc>
          <w:tcPr>
            <w:tcW w:w="1330" w:type="dxa"/>
            <w:noWrap/>
            <w:vAlign w:val="bottom"/>
            <w:hideMark/>
          </w:tcPr>
          <w:p w14:paraId="4550353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150</w:t>
            </w:r>
          </w:p>
        </w:tc>
        <w:tc>
          <w:tcPr>
            <w:tcW w:w="960" w:type="dxa"/>
            <w:noWrap/>
            <w:vAlign w:val="bottom"/>
            <w:hideMark/>
          </w:tcPr>
          <w:p w14:paraId="3116EFE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57FD3D3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29233756" w14:textId="7B6C3DD0" w:rsidR="00CA3A28" w:rsidRPr="00367563" w:rsidRDefault="00690945"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{"citationID":"7NdOQKOD","properties":{"unsorted":false,"formattedCitation":"\\super 44\\nosupersub{}","plainCitation":"44","noteIndex":0},"citationItems":[{"id":1272,"uris":["http://zotero.org/users/7234110/items/4MSH3RRR"],"itemData":{"id":1272,"type":"article-journal","abstract":"The relative bioavailability of the capsule dose form (150 mg) and the effect of high-fat food were assessed in a randomized, three-way crossover trial of rifabutin in 12 healthy male volunteers. Each subject received a single 150 mg dose as a solution (treatment A, fasted) or a capsule with food (treatment B) and without food (treatment C), with a 2-week washout period. Serial plasma and urine samples were obtained for 168 and 48 hours, respectively, and rifabutin and its active metabolite, 25-O-deacetyl-rifabutin, quantitated by a validated HPLC procedure. The mean +/- SD maximum concentration for rifabutin in plasma was 238 +/- 65, 156 +/- 52, and 188 +/- 50 ng/ml, time to reach peak concentration was 2.5 +/- 0.4, 5.4 +/- 1.6, and 3.0 +/- 1.1 hours, and the area under the plasma concentration-time curve from zero to infinity [AUC(0-infinity)] was 2989 +/- 726, 2640 +/- 891, and 2516 +/- 601 ng.hr/ml for the solution and the capsule during the fed and fasted states, respectively. Percentage of dose excreted in the urine as unchanged rifabutin was 11.0% +/- 2.4%, 11.4% +/- 4.9%, and 9.1% +/- 2.1% for treatments A, B, and C, respectively. The corresponding AUC(0-infinity) values for the equiactive metabolite 25-O-deacetyl-rifabutin, were 400 +/- 184, 361 +/- 187, and 298 +/- 102 ng.hr/ml.(ABSTRACT TRUNCATED AT 250 WORDS)","container-title":"Clinical Pharmacology and Therapeutics","DOI":"10.1038/clpt.1992.152","ISSN":"0009-9236","issue":"4","journalAbbreviation":"Clin Pharmacol Ther","language":"eng","page":"335-341","PMID":"1330396","source":"PubMed","title":"Rifabutin absorption in humans: relative bioavailability and food effect","title-short":"Rifabutin absorption in humans","volume":"52","author":[{"family":"Narang","given":"P. K."},{"family":"Lewis","given":"R. C."},{"family":"Bianchine","given":"J. R."}],"issued":{"date-parts":[["1992",10]]}}}],"schema":"https://github.com/citation-style-language/schema/raw/master/csl-citation.json"}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44</w:t>
            </w:r>
            <w:r>
              <w:rPr>
                <w:rFonts w:ascii="Aptos Narrow" w:eastAsia="Times New Roman" w:hAnsi="Aptos Narrow" w:cs="Times New Roman"/>
                <w:color w:val="000000"/>
                <w:kern w:val="0"/>
                <w:sz w:val="22"/>
                <w:szCs w:val="22"/>
                <w14:ligatures w14:val="none"/>
              </w:rPr>
              <w:fldChar w:fldCharType="end"/>
            </w:r>
          </w:p>
        </w:tc>
      </w:tr>
      <w:tr w:rsidR="00CA3A28" w:rsidRPr="00367563" w14:paraId="7E34A1B7" w14:textId="77777777" w:rsidTr="00CA3A28">
        <w:trPr>
          <w:trHeight w:val="288"/>
        </w:trPr>
        <w:tc>
          <w:tcPr>
            <w:tcW w:w="2695" w:type="dxa"/>
            <w:noWrap/>
            <w:vAlign w:val="bottom"/>
            <w:hideMark/>
          </w:tcPr>
          <w:p w14:paraId="172F580B"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Rifabutin</w:t>
            </w:r>
          </w:p>
        </w:tc>
        <w:tc>
          <w:tcPr>
            <w:tcW w:w="1330" w:type="dxa"/>
            <w:noWrap/>
            <w:vAlign w:val="bottom"/>
            <w:hideMark/>
          </w:tcPr>
          <w:p w14:paraId="0E514ACE"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150</w:t>
            </w:r>
          </w:p>
        </w:tc>
        <w:tc>
          <w:tcPr>
            <w:tcW w:w="960" w:type="dxa"/>
            <w:noWrap/>
            <w:vAlign w:val="bottom"/>
            <w:hideMark/>
          </w:tcPr>
          <w:p w14:paraId="5FAF8C2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6CA0099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529D78EB" w14:textId="71313AC5" w:rsidR="00CA3A28" w:rsidRPr="00367563" w:rsidRDefault="00690945"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{"citationID":"cBDX4CBt","properties":{"unsorted":false,"formattedCitation":"\\super 44\\nosupersub{}","plainCitation":"44","noteIndex":0},"citationItems":[{"id":1272,"uris":["http://zotero.org/users/7234110/items/4MSH3RRR"],"itemData":{"id":1272,"type":"article-journal","abstract":"The relative bioavailability of the capsule dose form (150 mg) and the effect of high-fat food were assessed in a randomized, three-way crossover trial of rifabutin in 12 healthy male volunteers. Each subject received a single 150 mg dose as a solution (treatment A, fasted) or a capsule with food (treatment B) and without food (treatment C), with a 2-week washout period. Serial plasma and urine samples were obtained for 168 and 48 hours, respectively, and rifabutin and its active metabolite, 25-O-deacetyl-rifabutin, quantitated by a validated HPLC procedure. The mean +/- SD maximum concentration for rifabutin in plasma was 238 +/- 65, 156 +/- 52, and 188 +/- 50 ng/ml, time to reach peak concentration was 2.5 +/- 0.4, 5.4 +/- 1.6, and 3.0 +/- 1.1 hours, and the area under the plasma concentration-time curve from zero to infinity [AUC(0-infinity)] was 2989 +/- 726, 2640 +/- 891, and 2516 +/- 601 ng.hr/ml for the solution and the capsule during the fed and fasted states, respectively. Percentage of dose excreted in the urine as unchanged rifabutin was 11.0% +/- 2.4%, 11.4% +/- 4.9%, and 9.1% +/- 2.1% for treatments A, B, and C, respectively. The corresponding AUC(0-infinity) values for the equiactive metabolite 25-O-deacetyl-rifabutin, were 400 +/- 184, 361 +/- 187, and 298 +/- 102 ng.hr/ml.(ABSTRACT TRUNCATED AT 250 WORDS)","container-title":"Clinical Pharmacology and Therapeutics","DOI":"10.1038/clpt.1992.152","ISSN":"0009-9236","issue":"4","journalAbbreviation":"Clin Pharmacol Ther","language":"eng","page":"335-341","PMID":"1330396","source":"PubMed","title":"Rifabutin absorption in humans: relative bioavailability and food effect","title-short":"Rifabutin absorption in humans","volume":"52","author":[{"family":"Narang","given":"P. K."},{"family":"Lewis","given":"R. C."},{"family":"Bianchine","given":"J. R."}],"issued":{"date-parts":[["1992",10]]}}}],"schema":"https://github.com/citation-style-language/schema/raw/master/csl-citation.json"}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44</w:t>
            </w:r>
            <w:r>
              <w:rPr>
                <w:rFonts w:ascii="Aptos Narrow" w:eastAsia="Times New Roman" w:hAnsi="Aptos Narrow" w:cs="Times New Roman"/>
                <w:color w:val="000000"/>
                <w:kern w:val="0"/>
                <w:sz w:val="22"/>
                <w:szCs w:val="22"/>
                <w14:ligatures w14:val="none"/>
              </w:rPr>
              <w:fldChar w:fldCharType="end"/>
            </w:r>
          </w:p>
        </w:tc>
      </w:tr>
      <w:tr w:rsidR="00CA3A28" w:rsidRPr="00367563" w14:paraId="32A80DD0" w14:textId="77777777" w:rsidTr="00CA3A28">
        <w:trPr>
          <w:trHeight w:val="288"/>
        </w:trPr>
        <w:tc>
          <w:tcPr>
            <w:tcW w:w="2695" w:type="dxa"/>
            <w:noWrap/>
            <w:vAlign w:val="bottom"/>
            <w:hideMark/>
          </w:tcPr>
          <w:p w14:paraId="442CDB39" w14:textId="6C78775D"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Rifampicin</w:t>
            </w:r>
          </w:p>
        </w:tc>
        <w:tc>
          <w:tcPr>
            <w:tcW w:w="1330" w:type="dxa"/>
            <w:noWrap/>
            <w:vAlign w:val="bottom"/>
            <w:hideMark/>
          </w:tcPr>
          <w:p w14:paraId="07E2E95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600</w:t>
            </w:r>
          </w:p>
        </w:tc>
        <w:tc>
          <w:tcPr>
            <w:tcW w:w="960" w:type="dxa"/>
            <w:noWrap/>
            <w:vAlign w:val="bottom"/>
            <w:hideMark/>
          </w:tcPr>
          <w:p w14:paraId="271F251F"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70DFE0A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57BAC1C2" w14:textId="36163FFB" w:rsidR="00CA3A28" w:rsidRPr="00367563" w:rsidRDefault="000F782B"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{"citationID":"kzO17GVB","properties":{"unsorted":false,"formattedCitation":"\\super 45,46\\nosupersub{}","plainCitation":"45,46","noteIndex":0},"citationItems":[{"id":1276,"uris":["http://zotero.org/users/7234110/items/A8Z5QW4U"],"itemData":{"id":1276,"type":"article-journal","container-title":"Chemotherapy","DOI":"10.1159/000220750","ISSN":"0009-3157","issue":"6","journalAbbreviation":"Chemotherapy","language":"eng","page":"356-370","PMID":"5145008","source":"PubMed","title":"Kinetic studies on rifampicin. I. Serum concentration analysis in subjects treated with different oral doses over a period of two weeks","volume":"16","author":[{"family":"Acocella","given":"G."},{"family":"Pagani","given":"V."},{"family":"Marchetti","given":"M."},{"family":"Baroni","given":"G. C."},{"family":"Nicolis","given":"F. B."}],"issued":{"date-parts":[["1971"]]}}},{"id":1278,"uris":["http://zotero.org/users/7234110/items/SU6FFDT2"],"itemData":{"id":1278,"type":"article-journal","abstract":"Isoniazid (INH), rifampin (RIF), and pyrazinamide (PZA) are the most important drugs for the treatment of tuberculosis (TB). The pharmacokinetics of all three drugs in the plasma of 24 healthy males were studied as part of a randomized cross-over phase I study of two dosage forms. Subjects ingested single doses of INH at 250 mg, RIF at 600 mg, and PZA at 1,500 mg. Plasma was collected for 36 h and was assayed by high-performance liquid chromatography. The data were analyzed by noncompartmental, iterative two-stage maximum a posteriori probability Bayesian (IT2B) and nonparametric expectation maximization (NPEM) population modeling methods. Fast and slow acetylators of INH had median peak concentrations in plasma (C[max]) of 2.44 and 3.64 microg/ml, respectively, both of which occurred at 1.0 h postdose (time of maximum concentrations of drugs in plasma [T(max)]), with median elimination half-lives (t1/2) of 1.2 and 3.3 h, respectively (by the NPEM method). RIF produced a median C(max) of 11.80 microg/ml, a T(max) of 1.0 h, and a t1/2 of 3.4 h. PZA produced a median C(max) of 28.80 microg/ml, a T(max) of 1.0 h, and a t1/2 of 10.0 h. The pharmacokinetic behaviors of INH, RIF, and PZA were well described by the three methods used. These models can serve as benchmarks for comparison with models for other populations, such as patients with TB or TB with AIDS.","container-title":"Antimicrobial Agents and Chemotherapy","DOI":"10.1128/AAC.41.12.2670","ISSN":"0066-4804","issue":"12","journalAbbreviation":"Antimicrob Agents Chemother","language":"eng","page":"2670-2679","PMID":"9420037","PMCID":"PMC164187","source":"PubMed","title":"Population pharmacokinetic modeling of isoniazid, rifampin, and pyrazinamide","volume":"41","author":[{"family":"Peloquin","given":"C. A."},{"family":"Jaresko","given":"G. S."},{"family":"Yong","given":"C. L."},{"family":"Keung","given":"A. C."},{"family":"Bulpitt","given":"A. E."},{"family":"Jelliffe","given":"R. W."}],"issued":{"date-parts":[["1997",12]]}}}],"schema":"https://github.com/citation-style-language/schema/raw/master/csl-citation.json"}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45,46</w:t>
            </w:r>
            <w:r>
              <w:rPr>
                <w:rFonts w:ascii="Aptos Narrow" w:eastAsia="Times New Roman" w:hAnsi="Aptos Narrow" w:cs="Times New Roman"/>
                <w:color w:val="000000"/>
                <w:kern w:val="0"/>
                <w:sz w:val="22"/>
                <w:szCs w:val="22"/>
                <w14:ligatures w14:val="none"/>
              </w:rPr>
              <w:fldChar w:fldCharType="end"/>
            </w:r>
          </w:p>
        </w:tc>
      </w:tr>
      <w:tr w:rsidR="00CA3A28" w:rsidRPr="00367563" w14:paraId="650C1AA0" w14:textId="77777777" w:rsidTr="00CA3A28">
        <w:trPr>
          <w:trHeight w:val="288"/>
        </w:trPr>
        <w:tc>
          <w:tcPr>
            <w:tcW w:w="2695" w:type="dxa"/>
            <w:noWrap/>
            <w:vAlign w:val="bottom"/>
            <w:hideMark/>
          </w:tcPr>
          <w:p w14:paraId="7426B256"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Risperidone</w:t>
            </w:r>
          </w:p>
        </w:tc>
        <w:tc>
          <w:tcPr>
            <w:tcW w:w="1330" w:type="dxa"/>
            <w:noWrap/>
            <w:vAlign w:val="bottom"/>
            <w:hideMark/>
          </w:tcPr>
          <w:p w14:paraId="0B947BE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w:t>
            </w:r>
          </w:p>
        </w:tc>
        <w:tc>
          <w:tcPr>
            <w:tcW w:w="960" w:type="dxa"/>
            <w:noWrap/>
            <w:vAlign w:val="bottom"/>
            <w:hideMark/>
          </w:tcPr>
          <w:p w14:paraId="5A627E6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0F98DAD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76102944" w14:textId="090B0FB6" w:rsidR="00CA3A28" w:rsidRPr="00367563" w:rsidRDefault="00026A8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{"citationID":"ay1RXUmF","properties":{"unsorted":false,"formattedCitation":"\\super 47\\uc0\\u8211{}49\\nosupersub{}","plainCitation":"47–49","noteIndex":0},"citationItems":[{"id":1268,"uris":["http://zotero.org/users/7234110/items/MC7VH8I9"],"itemData":{"id":1268,"type":"article-journal","abstract":"OBJECTIVE: A recent in vitro study has shown that risperidone is a substrate of P-glycoprotein. The aim of this study was to confirm the effects of verapamil, a P-glycoprotein inhibitor, on the pharmacokinetics of risperidone.\nMETHODS: Two 6-day courses of either 240 mg verapamil daily, an inhibitor of P-glycoprotein, or placebo were administered in a randomized crossover fashion with at least a 4-week washout period. Twelve male volunteers took a single oral 1-mg dose of risperidone on day 6 of both courses. Plasma concentrations of risperidone, 9-hydroxyrisperidone, and prolactin were monitored up to 24 hours after dosing.\nRESULTS: Compared with placebo, verapamil treatment significantly increased the peak plasma concentration of risperidone by 1.8-fold and the area under the plasma concentration-time curve (AUC) from 0 to 24 hours of risperidone by 2.0-fold but did not alter the elimination half-life. The AUC from 0 to 24 hours of 9-hydroxyrisperidone, but not other pharmacokinetic parameters, was significantly increased during verapamil treatment. However, the AUC from 0 to 4 hours and the AUC from 0 to 8 hours of prolactin concentrations were not increased by verapamil treatment despite the pharmacokinetic alterations.\nCONCLUSION: This study demonstrated that the bioavailability of risperidone was increased by verapamil, suggesting in vivo involvement of P-glycoprotein in the pharmacokinetics of risperidone.","container-title":"Clinical Pharmacology and Therapeutics","DOI":"10.1016/j.clpt.2005.03.009","ISSN":"0009-9236","issue":"1","journalAbbreviation":"Clin Pharmacol Ther","language":"eng","page":"43-51","PMID":"16003291","source":"PubMed","title":"Effect of verapamil on pharmacokinetics and pharmacodynamics of risperidone: in vivo evidence of involvement of P-glycoprotein in risperidone disposition","title-short":"Effect of verapamil on pharmacokinetics and pharmacodynamics of risperidone","volume":"78","author":[{"family":"Nakagami","given":"Taku"},{"family":"Yasui-Furukori","given":"Norio"},{"family":"Saito","given":"Manabu"},{"family":"Tateishi","given":"Tomonori"},{"family":"Kaneo","given":"Sunao"}],"issued":{"date-parts":[["2005",7]]}}},{"id":1264,"uris":["http://zotero.org/users/7234110/items/X3PCIKBV"],"itemData":{"id":1264,"type":"article-journal","abstract":"The bioavailability of risperidone was evaluated in an open-label, randomized, two-way, crossover study comparing a 1-mg tablet with a 1-mg/ml oral solution. Both formulations were administered as a single 1-mg dose with a 10-day washout period between treatments. Of 26 healthy men who entered the study, 23 completed both treatment periods. Plasma concentrations of risperidone and the active moiety (risperidone plus its active metabolite, 9-hydroxyrisperidone) were determined by radioimmunoassays. For key pharmacokinetic values (Cmax, AUC), the 90% CIs on the relative bioequivalence of risperidone, 9-hydroxyrisperidone, and the active moiety were contained within the equivalence range of 80-120% (80-125% for log-transformed data). The results demonstrate that the 1-mg/ml oral solution and the 1-mg tablet are bioequivalent.","container-title":"Pharmacotherapy","ISSN":"0277-0008","issue":"3","journalAbbreviation":"Pharmacotherapy","language":"eng","page":"599-605","PMID":"9165565","source":"PubMed","title":"Risperidone: effects of formulations on oral bioavailability","title-short":"Risperidone","volume":"17","author":[{"family":"Gutierrez","given":"R."},{"family":"Lee","given":"P. I."},{"family":"Huang","given":"M. L."},{"family":"Woestenborghs","given":"R."}],"issued":{"date-parts":[["1997"]]}}},{"id":1266,"uris":["http://zotero.org/users/7234110/items/ART4WS3D"],"itemData":{"id":1266,"type":"article-journal","abstract":"The authors studied the effect of rifampin, a dual inducer of CYP3A and P-glycoprotein, on the pharmacokinetics and pharmacodynamics of risperidone in humans. Ten healthy male subjects were treated daily for 7 days with 600 mg rifampin or with placebo. On day 6, a single dose of 1 mg risperidone was administered. Plasma risperidone and 9-hydroxyrisperidone concentrations were measured. Rifampin significantly decreased the mean area under the plasma concentration-time curve by 51% for risperidone, by 43% for 9-hydroxyrisperidone, and by 45% for the active moieties (risperidone + 9-hydroxyrisperidone). Rifampin also decreased the peak plasma concentration of risperidone by 38%, 9-hydroxyrisperidone by 46%, and the active moieties by 41%. The apparent oral clearance of risperidone approximately doubled after rifampin treatment. Thus, rifampin reduced the exposure to risperidone, probably because of a decrease in its bioavailability through the induction of CYP3A and probably P-glycoprotein.","container-title":"Journal of Clinical Pharmacology","DOI":"10.1177/0091270007309888","ISSN":"0091-2700","issue":"1","journalAbbreviation":"J Clin Pharmacol","language":"eng","page":"66-72","PMID":"18094221","source":"PubMed","title":"Effect of rifampin, an inducer of CYP3A and P-glycoprotein, on the pharmacokinetics of risperidone","volume":"48","author":[{"family":"Kim","given":"Kyoung-Ah"},{"family":"Park","given":"Pil-Whan"},{"family":"Liu","given":"Kwang-Hyeon"},{"family":"Kim","given":"Kwon-Bok"},{"family":"Lee","given":"Heon-Jeong"},{"family":"Shin","given":"Jae-Gook"},{"family":"Park","given":"Ji-Young"}],"issued":{"date-parts":[["2008",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47–49</w:t>
            </w:r>
            <w:r>
              <w:rPr>
                <w:rFonts w:ascii="Aptos Narrow" w:eastAsia="Times New Roman" w:hAnsi="Aptos Narrow" w:cs="Times New Roman"/>
                <w:color w:val="000000"/>
                <w:kern w:val="0"/>
                <w:sz w:val="22"/>
                <w:szCs w:val="22"/>
                <w14:ligatures w14:val="none"/>
              </w:rPr>
              <w:fldChar w:fldCharType="end"/>
            </w:r>
          </w:p>
        </w:tc>
      </w:tr>
      <w:tr w:rsidR="00CA3A28" w:rsidRPr="00367563" w14:paraId="783D7B71" w14:textId="77777777" w:rsidTr="00CA3A28">
        <w:trPr>
          <w:trHeight w:val="288"/>
        </w:trPr>
        <w:tc>
          <w:tcPr>
            <w:tcW w:w="2695" w:type="dxa"/>
            <w:noWrap/>
            <w:vAlign w:val="bottom"/>
            <w:hideMark/>
          </w:tcPr>
          <w:p w14:paraId="1C664EF5"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Risperidone</w:t>
            </w:r>
          </w:p>
        </w:tc>
        <w:tc>
          <w:tcPr>
            <w:tcW w:w="1330" w:type="dxa"/>
            <w:noWrap/>
            <w:vAlign w:val="bottom"/>
            <w:hideMark/>
          </w:tcPr>
          <w:p w14:paraId="1BEFD6E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4</w:t>
            </w:r>
          </w:p>
        </w:tc>
        <w:tc>
          <w:tcPr>
            <w:tcW w:w="960" w:type="dxa"/>
            <w:noWrap/>
            <w:vAlign w:val="bottom"/>
            <w:hideMark/>
          </w:tcPr>
          <w:p w14:paraId="5B1379B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153029C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73BEC2A0" w14:textId="5FC5E1C1" w:rsidR="00CA3A28" w:rsidRPr="00367563" w:rsidRDefault="00026A8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{"citationID":"kvSJCB1V","properties":{"unsorted":false,"formattedCitation":"\\super 49\\nosupersub{}","plainCitation":"49","noteIndex":0},"citationItems":[{"id":1266,"uris":["http://zotero.org/users/7234110/items/ART4WS3D"],"itemData":{"id":1266,"type":"article-journal","abstract":"The authors studied the effect of rifampin, a dual inducer of CYP3A and P-glycoprotein, on the pharmacokinetics and pharmacodynamics of risperidone in humans. Ten healthy male subjects were treated daily for 7 days with 600 mg rifampin or with placebo. On day 6, a single dose of 1 mg risperidone was administered. Plasma risperidone and 9-hydroxyrisperidone concentrations were measured. Rifampin significantly decreased the mean area under the plasma concentration-time curve by 51% for risperidone, by 43% for 9-hydroxyrisperidone, and by 45% for the active moieties (risperidone + 9-hydroxyrisperidone). Rifampin also decreased the peak plasma concentration of risperidone by 38%, 9-hydroxyrisperidone by 46%, and the active moieties by 41%. The apparent oral clearance of risperidone approximately doubled after rifampin treatment. Thus, rifampin reduced the exposure to risperidone, probably because of a decrease in its bioavailability through the induction of CYP3A and probably P-glycoprotein.","container-title":"Journal of Clinical Pharmacology","DOI":"10.1177/0091270007309888","ISSN":"0091-2700","issue":"1","journalAbbreviation":"J Clin Pharmacol","language":"eng","page":"66-72","PMID":"18094221","source":"PubMed","title":"Effect of rifampin, an inducer of CYP3A and P-glycoprotein, on the pharmacokinetics of risperidone","volume":"48","author":[{"family":"Kim","given":"Kyoung-Ah"},{"family":"Park","given":"Pil-Whan"},{"family":"Liu","given":"Kwang-Hyeon"},{"family":"Kim","given":"Kwon-Bok"},{"family":"Lee","given":"Heon-Jeong"},{"family":"Shin","given":"Jae-Gook"},{"family":"Park","given":"Ji-Young"}],"issued":{"date-parts":[["2008",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49</w:t>
            </w:r>
            <w:r>
              <w:rPr>
                <w:rFonts w:ascii="Aptos Narrow" w:eastAsia="Times New Roman" w:hAnsi="Aptos Narrow" w:cs="Times New Roman"/>
                <w:color w:val="000000"/>
                <w:kern w:val="0"/>
                <w:sz w:val="22"/>
                <w:szCs w:val="22"/>
                <w14:ligatures w14:val="none"/>
              </w:rPr>
              <w:fldChar w:fldCharType="end"/>
            </w:r>
          </w:p>
        </w:tc>
      </w:tr>
      <w:tr w:rsidR="00CA3A28" w:rsidRPr="00367563" w14:paraId="58A92416" w14:textId="77777777" w:rsidTr="00CA3A28">
        <w:trPr>
          <w:trHeight w:val="288"/>
        </w:trPr>
        <w:tc>
          <w:tcPr>
            <w:tcW w:w="2695" w:type="dxa"/>
            <w:noWrap/>
            <w:vAlign w:val="bottom"/>
            <w:hideMark/>
          </w:tcPr>
          <w:p w14:paraId="69B5A00D" w14:textId="1A79F599"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R</w:t>
            </w:r>
            <w:r w:rsidR="00FC471F">
              <w:rPr>
                <w:rFonts w:ascii="Aptos Narrow" w:eastAsia="Times New Roman" w:hAnsi="Aptos Narrow" w:cs="Times New Roman"/>
                <w:color w:val="000000"/>
                <w:kern w:val="0"/>
                <w:sz w:val="22"/>
                <w:szCs w:val="22"/>
                <w14:ligatures w14:val="none"/>
              </w:rPr>
              <w:t>IV</w:t>
            </w:r>
            <w:r w:rsidRPr="00367563">
              <w:rPr>
                <w:rFonts w:ascii="Aptos Narrow" w:eastAsia="Times New Roman" w:hAnsi="Aptos Narrow" w:cs="Times New Roman"/>
                <w:color w:val="000000"/>
                <w:kern w:val="0"/>
                <w:sz w:val="22"/>
                <w:szCs w:val="22"/>
                <w14:ligatures w14:val="none"/>
              </w:rPr>
              <w:t>aroxaban</w:t>
            </w:r>
            <w:proofErr w:type="spellEnd"/>
          </w:p>
        </w:tc>
        <w:tc>
          <w:tcPr>
            <w:tcW w:w="1330" w:type="dxa"/>
            <w:noWrap/>
            <w:vAlign w:val="bottom"/>
            <w:hideMark/>
          </w:tcPr>
          <w:p w14:paraId="77C9F241"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1.25</w:t>
            </w:r>
          </w:p>
        </w:tc>
        <w:tc>
          <w:tcPr>
            <w:tcW w:w="960" w:type="dxa"/>
            <w:noWrap/>
            <w:vAlign w:val="bottom"/>
            <w:hideMark/>
          </w:tcPr>
          <w:p w14:paraId="195F9829"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035D09C8"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234CE991" w14:textId="5DD870E6" w:rsidR="00CA3A28" w:rsidRPr="00367563" w:rsidRDefault="00690945"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{"citationID":"k5wwo2Wa","properties":{"unsorted":false,"formattedCitation":"\\super 50\\nosupersub{}","plainCitation":"50","noteIndex":0},"citationItems":[{"id":1270,"uris":["http://zotero.org/users/7234110/items/X6NCT6NN"],"itemData":{"id":1270,"type":"article-journal","abstract":"BACKGROUND AND OBJECTIVE: There is a clinical need for new oral anticoagulants to prevent and treat thromboembolic diseases. Given its integral role in the coagulation cascade, factor Xa is a particularly promising target for new anticoagulation therapies. The aim of this study was to investigate the safety, pharmacodynamics, and pharmacokinetics of BAY 59--7939, an oral, direct factor Xa inhibitor.\nMETHODS: This single-center, randomized, single-blinded, placebo-controlled, dose-escalation study included 108 healthy white male subjects aged 19 to 45 years. Subjects received single oral doses of either BAY 59--7939 (1.25--80 mg) or placebo; in addition, 1 group received 2 doses of BAY 59--7939 (5--mg tablet and oral solution) or placebo in a crossover design.\nRESULTS: Oral BAY 59--7939 in single doses up to 80 mg was safe and well tolerated and was not associated with an increased risk of bleeding compared with placebo. Pharmacodynamic effects (inhibition of factor Xa activity, prothrombin time, activated partial thromboplastin time, and Hep Test) and plasma concentration profiles were dose-dependent. Maximum inhibition of factor Xa activity was achieved 1 to 4 hours after administration of BAY 59--7939 and ranged from 20% to 61% for the 5- to 80-mg doses. BAY 59--7939 selectively inhibited factor Xa activity; thrombin (factor IIa) and antithrombin were unaffected. Inhibition of factor Xa activity and prolongation of prothrombin time correlated well with BAY 59--7939 plasma concentrations (r=0.949 and 0.935, respectively).\nCONCLUSIONS: BAY 59--7939 was well tolerated with predictable pharmacodynamics and pharmacokinetics across a wide range of doses in healthy male subjects. BAY 59--7939 was shown to be an effective and specific factor Xa inhibitor.","container-title":"Clinical Pharmacology and Therapeutics","DOI":"10.1016/j.clpt.2005.06.011","ISSN":"0009-9236","issue":"4","journalAbbreviation":"Clin Pharmacol Ther","language":"eng","page":"412-421","PMID":"16198660","source":"PubMed","title":"Safety, pharmacodynamics, and pharmacokinetics of single doses of BAY 59-7939, an oral, direct factor Xa inhibitor","volume":"78","author":[{"family":"Kubitza","given":"Dagmar"},{"family":"Becka","given":"Michael"},{"family":"Voith","given":"Barbara"},{"family":"Zuehlsdorf","given":"Michael"},{"family":"Wensing","given":"Georg"}],"issued":{"date-parts":[["2005",10]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50</w:t>
            </w:r>
            <w:r>
              <w:rPr>
                <w:rFonts w:ascii="Aptos Narrow" w:eastAsia="Times New Roman" w:hAnsi="Aptos Narrow" w:cs="Times New Roman"/>
                <w:color w:val="000000"/>
                <w:kern w:val="0"/>
                <w:sz w:val="22"/>
                <w:szCs w:val="22"/>
                <w14:ligatures w14:val="none"/>
              </w:rPr>
              <w:fldChar w:fldCharType="end"/>
            </w:r>
          </w:p>
        </w:tc>
      </w:tr>
      <w:tr w:rsidR="00CA3A28" w:rsidRPr="00367563" w14:paraId="66C68A2A" w14:textId="77777777" w:rsidTr="00CA3A28">
        <w:trPr>
          <w:trHeight w:val="288"/>
        </w:trPr>
        <w:tc>
          <w:tcPr>
            <w:tcW w:w="2695" w:type="dxa"/>
            <w:noWrap/>
            <w:vAlign w:val="bottom"/>
            <w:hideMark/>
          </w:tcPr>
          <w:p w14:paraId="6BDA339C" w14:textId="621E0D60"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R</w:t>
            </w:r>
            <w:r w:rsidR="00FC471F">
              <w:rPr>
                <w:rFonts w:ascii="Aptos Narrow" w:eastAsia="Times New Roman" w:hAnsi="Aptos Narrow" w:cs="Times New Roman"/>
                <w:color w:val="000000"/>
                <w:kern w:val="0"/>
                <w:sz w:val="22"/>
                <w:szCs w:val="22"/>
                <w14:ligatures w14:val="none"/>
              </w:rPr>
              <w:t>IV</w:t>
            </w:r>
            <w:r w:rsidRPr="00367563">
              <w:rPr>
                <w:rFonts w:ascii="Aptos Narrow" w:eastAsia="Times New Roman" w:hAnsi="Aptos Narrow" w:cs="Times New Roman"/>
                <w:color w:val="000000"/>
                <w:kern w:val="0"/>
                <w:sz w:val="22"/>
                <w:szCs w:val="22"/>
                <w14:ligatures w14:val="none"/>
              </w:rPr>
              <w:t>aroxaban</w:t>
            </w:r>
            <w:proofErr w:type="spellEnd"/>
          </w:p>
        </w:tc>
        <w:tc>
          <w:tcPr>
            <w:tcW w:w="1330" w:type="dxa"/>
            <w:noWrap/>
            <w:vAlign w:val="bottom"/>
            <w:hideMark/>
          </w:tcPr>
          <w:p w14:paraId="2CFADCC9"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w:t>
            </w:r>
          </w:p>
        </w:tc>
        <w:tc>
          <w:tcPr>
            <w:tcW w:w="960" w:type="dxa"/>
            <w:noWrap/>
            <w:vAlign w:val="bottom"/>
            <w:hideMark/>
          </w:tcPr>
          <w:p w14:paraId="2EF4E14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0372A3CE"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human</w:t>
            </w:r>
          </w:p>
        </w:tc>
        <w:tc>
          <w:tcPr>
            <w:tcW w:w="1209" w:type="dxa"/>
            <w:noWrap/>
            <w:vAlign w:val="bottom"/>
            <w:hideMark/>
          </w:tcPr>
          <w:p w14:paraId="6002CEDB" w14:textId="11190832" w:rsidR="00CA3A28" w:rsidRPr="00367563" w:rsidRDefault="00690945"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{"citationID":"9aPe7M7G","properties":{"unsorted":false,"formattedCitation":"\\super 50\\nosupersub{}","plainCitation":"50","noteIndex":0},"citationItems":[{"id":1270,"uris":["http://zotero.org/users/7234110/items/X6NCT6NN"],"itemData":{"id":1270,"type":"article-journal","abstract":"BACKGROUND AND OBJECTIVE: There is a clinical need for new oral anticoagulants to prevent and treat thromboembolic diseases. Given its integral role in the coagulation cascade, factor Xa is a particularly promising target for new anticoagulation therapies. The aim of this study was to investigate the safety, pharmacodynamics, and pharmacokinetics of BAY 59--7939, an oral, direct factor Xa inhibitor.\nMETHODS: This single-center, randomized, single-blinded, placebo-controlled, dose-escalation study included 108 healthy white male subjects aged 19 to 45 years. Subjects received single oral doses of either BAY 59--7939 (1.25--80 mg) or placebo; in addition, 1 group received 2 doses of BAY 59--7939 (5--mg tablet and oral solution) or placebo in a crossover design.\nRESULTS: Oral BAY 59--7939 in single doses up to 80 mg was safe and well tolerated and was not associated with an increased risk of bleeding compared with placebo. Pharmacodynamic effects (inhibition of factor Xa activity, prothrombin time, activated partial thromboplastin time, and Hep Test) and plasma concentration profiles were dose-dependent. Maximum inhibition of factor Xa activity was achieved 1 to 4 hours after administration of BAY 59--7939 and ranged from 20% to 61% for the 5- to 80-mg doses. BAY 59--7939 selectively inhibited factor Xa activity; thrombin (factor IIa) and antithrombin were unaffected. Inhibition of factor Xa activity and prolongation of prothrombin time correlated well with BAY 59--7939 plasma concentrations (r=0.949 and 0.935, respectively).\nCONCLUSIONS: BAY 59--7939 was well tolerated with predictable pharmacodynamics and pharmacokinetics across a wide range of doses in healthy male subjects. BAY 59--7939 was shown to be an effective and specific factor Xa inhibitor.","container-title":"Clinical Pharmacology and Therapeutics","DOI":"10.1016/j.clpt.2005.06.011","ISSN":"0009-9236","issue":"4","journalAbbreviation":"Clin Pharmacol Ther","language":"eng","page":"412-421","PMID":"16198660","source":"PubMed","title":"Safety, pharmacodynamics, and pharmacokinetics of single doses of BAY 59-7939, an oral, direct factor Xa inhibitor","volume":"78","author":[{"family":"Kubitza","given":"Dagmar"},{"family":"Becka","given":"Michael"},{"family":"Voith","given":"Barbara"},{"family":"Zuehlsdorf","given":"Michael"},{"family":"Wensing","given":"Georg"}],"issued":{"date-parts":[["2005",10]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50</w:t>
            </w:r>
            <w:r>
              <w:rPr>
                <w:rFonts w:ascii="Aptos Narrow" w:eastAsia="Times New Roman" w:hAnsi="Aptos Narrow" w:cs="Times New Roman"/>
                <w:color w:val="000000"/>
                <w:kern w:val="0"/>
                <w:sz w:val="22"/>
                <w:szCs w:val="22"/>
                <w14:ligatures w14:val="none"/>
              </w:rPr>
              <w:fldChar w:fldCharType="end"/>
            </w:r>
          </w:p>
        </w:tc>
      </w:tr>
      <w:tr w:rsidR="00CA3A28" w:rsidRPr="00367563" w14:paraId="40D25D47" w14:textId="77777777" w:rsidTr="00CA3A28">
        <w:trPr>
          <w:trHeight w:val="288"/>
        </w:trPr>
        <w:tc>
          <w:tcPr>
            <w:tcW w:w="2695" w:type="dxa"/>
            <w:noWrap/>
            <w:vAlign w:val="bottom"/>
            <w:hideMark/>
          </w:tcPr>
          <w:p w14:paraId="69AF4898" w14:textId="6CC42C8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R</w:t>
            </w:r>
            <w:r w:rsidR="00FC471F">
              <w:rPr>
                <w:rFonts w:ascii="Aptos Narrow" w:eastAsia="Times New Roman" w:hAnsi="Aptos Narrow" w:cs="Times New Roman"/>
                <w:color w:val="000000"/>
                <w:kern w:val="0"/>
                <w:sz w:val="22"/>
                <w:szCs w:val="22"/>
                <w14:ligatures w14:val="none"/>
              </w:rPr>
              <w:t>IV</w:t>
            </w:r>
            <w:r w:rsidRPr="00367563">
              <w:rPr>
                <w:rFonts w:ascii="Aptos Narrow" w:eastAsia="Times New Roman" w:hAnsi="Aptos Narrow" w:cs="Times New Roman"/>
                <w:color w:val="000000"/>
                <w:kern w:val="0"/>
                <w:sz w:val="22"/>
                <w:szCs w:val="22"/>
                <w14:ligatures w14:val="none"/>
              </w:rPr>
              <w:t>aroxaban</w:t>
            </w:r>
            <w:proofErr w:type="spellEnd"/>
          </w:p>
        </w:tc>
        <w:tc>
          <w:tcPr>
            <w:tcW w:w="1330" w:type="dxa"/>
            <w:noWrap/>
            <w:vAlign w:val="bottom"/>
            <w:hideMark/>
          </w:tcPr>
          <w:p w14:paraId="0480D92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20</w:t>
            </w:r>
          </w:p>
        </w:tc>
        <w:tc>
          <w:tcPr>
            <w:tcW w:w="960" w:type="dxa"/>
            <w:noWrap/>
            <w:vAlign w:val="bottom"/>
            <w:hideMark/>
          </w:tcPr>
          <w:p w14:paraId="5E181A51"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5DB66B24" w14:textId="55D483C9"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h</w:t>
            </w:r>
            <w:r w:rsidR="00CA3A28" w:rsidRPr="00367563">
              <w:rPr>
                <w:rFonts w:ascii="Aptos Narrow" w:eastAsia="Times New Roman" w:hAnsi="Aptos Narrow" w:cs="Times New Roman"/>
                <w:color w:val="000000"/>
                <w:kern w:val="0"/>
                <w:sz w:val="22"/>
                <w:szCs w:val="22"/>
                <w14:ligatures w14:val="none"/>
              </w:rPr>
              <w:t>uman</w:t>
            </w:r>
          </w:p>
        </w:tc>
        <w:tc>
          <w:tcPr>
            <w:tcW w:w="1209" w:type="dxa"/>
            <w:noWrap/>
            <w:vAlign w:val="bottom"/>
            <w:hideMark/>
          </w:tcPr>
          <w:p w14:paraId="3A393C7D" w14:textId="09CED486" w:rsidR="00CA3A28" w:rsidRPr="00367563" w:rsidRDefault="00690945"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{"citationID":"bckn3nin","properties":{"unsorted":false,"formattedCitation":"\\super 50\\nosupersub{}","plainCitation":"50","noteIndex":0},"citationItems":[{"id":1270,"uris":["http://zotero.org/users/7234110/items/X6NCT6NN"],"itemData":{"id":1270,"type":"article-journal","abstract":"BACKGROUND AND OBJECTIVE: There is a clinical need for new oral anticoagulants to prevent and treat thromboembolic diseases. Given its integral role in the coagulation cascade, factor Xa is a particularly promising target for new anticoagulation therapies. The aim of this study was to investigate the safety, pharmacodynamics, and pharmacokinetics of BAY 59--7939, an oral, direct factor Xa inhibitor.\nMETHODS: This single-center, randomized, single-blinded, placebo-controlled, dose-escalation study included 108 healthy white male subjects aged 19 to 45 years. Subjects received single oral doses of either BAY 59--7939 (1.25--80 mg) or placebo; in addition, 1 group received 2 doses of BAY 59--7939 (5--mg tablet and oral solution) or placebo in a crossover design.\nRESULTS: Oral BAY 59--7939 in single doses up to 80 mg was safe and well tolerated and was not associated with an increased risk of bleeding compared with placebo. Pharmacodynamic effects (inhibition of factor Xa activity, prothrombin time, activated partial thromboplastin time, and Hep Test) and plasma concentration profiles were dose-dependent. Maximum inhibition of factor Xa activity was achieved 1 to 4 hours after administration of BAY 59--7939 and ranged from 20% to 61% for the 5- to 80-mg doses. BAY 59--7939 selectively inhibited factor Xa activity; thrombin (factor IIa) and antithrombin were unaffected. Inhibition of factor Xa activity and prolongation of prothrombin time correlated well with BAY 59--7939 plasma concentrations (r=0.949 and 0.935, respectively).\nCONCLUSIONS: BAY 59--7939 was well tolerated with predictable pharmacodynamics and pharmacokinetics across a wide range of doses in healthy male subjects. BAY 59--7939 was shown to be an effective and specific factor Xa inhibitor.","container-title":"Clinical Pharmacology and Therapeutics","DOI":"10.1016/j.clpt.2005.06.011","ISSN":"0009-9236","issue":"4","journalAbbreviation":"Clin Pharmacol Ther","language":"eng","page":"412-421","PMID":"16198660","source":"PubMed","title":"Safety, pharmacodynamics, and pharmacokinetics of single doses of BAY 59-7939, an oral, direct factor Xa inhibitor","volume":"78","author":[{"family":"Kubitza","given":"Dagmar"},{"family":"Becka","given":"Michael"},{"family":"Voith","given":"Barbara"},{"family":"Zuehlsdorf","given":"Michael"},{"family":"Wensing","given":"Georg"}],"issued":{"date-parts":[["2005",10]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50</w:t>
            </w:r>
            <w:r>
              <w:rPr>
                <w:rFonts w:ascii="Aptos Narrow" w:eastAsia="Times New Roman" w:hAnsi="Aptos Narrow" w:cs="Times New Roman"/>
                <w:color w:val="000000"/>
                <w:kern w:val="0"/>
                <w:sz w:val="22"/>
                <w:szCs w:val="22"/>
                <w14:ligatures w14:val="none"/>
              </w:rPr>
              <w:fldChar w:fldCharType="end"/>
            </w:r>
          </w:p>
        </w:tc>
      </w:tr>
      <w:tr w:rsidR="00CA3A28" w:rsidRPr="00367563" w14:paraId="7A5C7F0C" w14:textId="77777777" w:rsidTr="00CA3A28">
        <w:trPr>
          <w:trHeight w:val="288"/>
        </w:trPr>
        <w:tc>
          <w:tcPr>
            <w:tcW w:w="2695" w:type="dxa"/>
            <w:noWrap/>
            <w:vAlign w:val="bottom"/>
            <w:hideMark/>
          </w:tcPr>
          <w:p w14:paraId="61514CC6" w14:textId="70AA1D72"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R</w:t>
            </w:r>
            <w:r w:rsidR="00FC471F">
              <w:rPr>
                <w:rFonts w:ascii="Aptos Narrow" w:eastAsia="Times New Roman" w:hAnsi="Aptos Narrow" w:cs="Times New Roman"/>
                <w:color w:val="000000"/>
                <w:kern w:val="0"/>
                <w:sz w:val="22"/>
                <w:szCs w:val="22"/>
                <w14:ligatures w14:val="none"/>
              </w:rPr>
              <w:t>IV</w:t>
            </w:r>
            <w:r w:rsidRPr="00367563">
              <w:rPr>
                <w:rFonts w:ascii="Aptos Narrow" w:eastAsia="Times New Roman" w:hAnsi="Aptos Narrow" w:cs="Times New Roman"/>
                <w:color w:val="000000"/>
                <w:kern w:val="0"/>
                <w:sz w:val="22"/>
                <w:szCs w:val="22"/>
                <w14:ligatures w14:val="none"/>
              </w:rPr>
              <w:t>aroxaban</w:t>
            </w:r>
            <w:proofErr w:type="spellEnd"/>
          </w:p>
        </w:tc>
        <w:tc>
          <w:tcPr>
            <w:tcW w:w="1330" w:type="dxa"/>
            <w:noWrap/>
            <w:vAlign w:val="bottom"/>
            <w:hideMark/>
          </w:tcPr>
          <w:p w14:paraId="06FB3BE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80</w:t>
            </w:r>
          </w:p>
        </w:tc>
        <w:tc>
          <w:tcPr>
            <w:tcW w:w="960" w:type="dxa"/>
            <w:noWrap/>
            <w:vAlign w:val="bottom"/>
            <w:hideMark/>
          </w:tcPr>
          <w:p w14:paraId="6F36871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19E9DD65" w14:textId="601A7D5E"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h</w:t>
            </w:r>
            <w:r w:rsidR="00CA3A28" w:rsidRPr="00367563">
              <w:rPr>
                <w:rFonts w:ascii="Aptos Narrow" w:eastAsia="Times New Roman" w:hAnsi="Aptos Narrow" w:cs="Times New Roman"/>
                <w:color w:val="000000"/>
                <w:kern w:val="0"/>
                <w:sz w:val="22"/>
                <w:szCs w:val="22"/>
                <w14:ligatures w14:val="none"/>
              </w:rPr>
              <w:t>uman</w:t>
            </w:r>
          </w:p>
        </w:tc>
        <w:tc>
          <w:tcPr>
            <w:tcW w:w="1209" w:type="dxa"/>
            <w:noWrap/>
            <w:vAlign w:val="bottom"/>
            <w:hideMark/>
          </w:tcPr>
          <w:p w14:paraId="3BDF235D" w14:textId="63404157" w:rsidR="00CA3A28" w:rsidRPr="00367563" w:rsidRDefault="00690945"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{"citationID":"J89PuBfk","properties":{"unsorted":false,"formattedCitation":"\\super 50\\nosupersub{}","plainCitation":"50","noteIndex":0},"citationItems":[{"id":1270,"uris":["http://zotero.org/users/7234110/items/X6NCT6NN"],"itemData":{"id":1270,"type":"article-journal","abstract":"BACKGROUND AND OBJECTIVE: There is a clinical need for new oral anticoagulants to prevent and treat thromboembolic diseases. Given its integral role in the coagulation cascade, factor Xa is a particularly promising target for new anticoagulation therapies. The aim of this study was to investigate the safety, pharmacodynamics, and pharmacokinetics of BAY 59--7939, an oral, direct factor Xa inhibitor.\nMETHODS: This single-center, randomized, single-blinded, placebo-controlled, dose-escalation study included 108 healthy white male subjects aged 19 to 45 years. Subjects received single oral doses of either BAY 59--7939 (1.25--80 mg) or placebo; in addition, 1 group received 2 doses of BAY 59--7939 (5--mg tablet and oral solution) or placebo in a crossover design.\nRESULTS: Oral BAY 59--7939 in single doses up to 80 mg was safe and well tolerated and was not associated with an increased risk of bleeding compared with placebo. Pharmacodynamic effects (inhibition of factor Xa activity, prothrombin time, activated partial thromboplastin time, and Hep Test) and plasma concentration profiles were dose-dependent. Maximum inhibition of factor Xa activity was achieved 1 to 4 hours after administration of BAY 59--7939 and ranged from 20% to 61% for the 5- to 80-mg doses. BAY 59--7939 selectively inhibited factor Xa activity; thrombin (factor IIa) and antithrombin were unaffected. Inhibition of factor Xa activity and prolongation of prothrombin time correlated well with BAY 59--7939 plasma concentrations (r=0.949 and 0.935, respectively).\nCONCLUSIONS: BAY 59--7939 was well tolerated with predictable pharmacodynamics and pharmacokinetics across a wide range of doses in healthy male subjects. BAY 59--7939 was shown to be an effective and specific factor Xa inhibitor.","container-title":"Clinical Pharmacology and Therapeutics","DOI":"10.1016/j.clpt.2005.06.011","ISSN":"0009-9236","issue":"4","journalAbbreviation":"Clin Pharmacol Ther","language":"eng","page":"412-421","PMID":"16198660","source":"PubMed","title":"Safety, pharmacodynamics, and pharmacokinetics of single doses of BAY 59-7939, an oral, direct factor Xa inhibitor","volume":"78","author":[{"family":"Kubitza","given":"Dagmar"},{"family":"Becka","given":"Michael"},{"family":"Voith","given":"Barbara"},{"family":"Zuehlsdorf","given":"Michael"},{"family":"Wensing","given":"Georg"}],"issued":{"date-parts":[["2005",10]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50</w:t>
            </w:r>
            <w:r>
              <w:rPr>
                <w:rFonts w:ascii="Aptos Narrow" w:eastAsia="Times New Roman" w:hAnsi="Aptos Narrow" w:cs="Times New Roman"/>
                <w:color w:val="000000"/>
                <w:kern w:val="0"/>
                <w:sz w:val="22"/>
                <w:szCs w:val="22"/>
                <w14:ligatures w14:val="none"/>
              </w:rPr>
              <w:fldChar w:fldCharType="end"/>
            </w:r>
          </w:p>
        </w:tc>
      </w:tr>
      <w:tr w:rsidR="00CA3A28" w:rsidRPr="00367563" w14:paraId="086AAC00" w14:textId="77777777" w:rsidTr="00CA3A28">
        <w:trPr>
          <w:trHeight w:val="288"/>
        </w:trPr>
        <w:tc>
          <w:tcPr>
            <w:tcW w:w="2695" w:type="dxa"/>
            <w:noWrap/>
            <w:vAlign w:val="bottom"/>
            <w:hideMark/>
          </w:tcPr>
          <w:p w14:paraId="4982EE83"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Rosiglitazone</w:t>
            </w:r>
          </w:p>
        </w:tc>
        <w:tc>
          <w:tcPr>
            <w:tcW w:w="1330" w:type="dxa"/>
            <w:noWrap/>
            <w:vAlign w:val="bottom"/>
            <w:hideMark/>
          </w:tcPr>
          <w:p w14:paraId="3F04FADF"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w:t>
            </w:r>
          </w:p>
        </w:tc>
        <w:tc>
          <w:tcPr>
            <w:tcW w:w="960" w:type="dxa"/>
            <w:noWrap/>
            <w:vAlign w:val="bottom"/>
            <w:hideMark/>
          </w:tcPr>
          <w:p w14:paraId="3D190A5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04AE7078" w14:textId="3D2E09AE"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h</w:t>
            </w:r>
            <w:r w:rsidR="00CA3A28" w:rsidRPr="00367563">
              <w:rPr>
                <w:rFonts w:ascii="Aptos Narrow" w:eastAsia="Times New Roman" w:hAnsi="Aptos Narrow" w:cs="Times New Roman"/>
                <w:color w:val="000000"/>
                <w:kern w:val="0"/>
                <w:sz w:val="22"/>
                <w:szCs w:val="22"/>
                <w14:ligatures w14:val="none"/>
              </w:rPr>
              <w:t>uman</w:t>
            </w:r>
          </w:p>
        </w:tc>
        <w:tc>
          <w:tcPr>
            <w:tcW w:w="1209" w:type="dxa"/>
            <w:noWrap/>
            <w:vAlign w:val="bottom"/>
            <w:hideMark/>
          </w:tcPr>
          <w:p w14:paraId="331D5C4C" w14:textId="7446CD89" w:rsidR="00CA3A28" w:rsidRPr="00367563" w:rsidRDefault="00387F8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{"citationID":"rz6U7jJW","properties":{"unsorted":false,"formattedCitation":"\\super 51\\nosupersub{}","plainCitation":"51","noteIndex":0},"citationItems":[{"id":1261,"uris":["http://zotero.org/users/7234110/items/STBUMR6N"],"itemData":{"id":1261,"type":"document","publisher":"Food and Drug Administration","title":"Clinical pharmacology and biopharmaceutics review: Avandia (rosiglitazone maleate) (NDA 021071)","URL":"https://www.accessdata.fda.gov/drugsatfda_docs/nda/99/21071_Avandia_biopharmr_P1.pdf","issued":{"date-parts":[["1999"]]}}}],"schema":"https://github.com/citation-style-language/schema/raw/master/csl-citation.json"}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51</w:t>
            </w:r>
            <w:r>
              <w:rPr>
                <w:rFonts w:ascii="Aptos Narrow" w:eastAsia="Times New Roman" w:hAnsi="Aptos Narrow" w:cs="Times New Roman"/>
                <w:color w:val="000000"/>
                <w:kern w:val="0"/>
                <w:sz w:val="22"/>
                <w:szCs w:val="22"/>
                <w14:ligatures w14:val="none"/>
              </w:rPr>
              <w:fldChar w:fldCharType="end"/>
            </w:r>
          </w:p>
        </w:tc>
      </w:tr>
      <w:tr w:rsidR="00CA3A28" w:rsidRPr="00367563" w14:paraId="342A523A" w14:textId="77777777" w:rsidTr="00CA3A28">
        <w:trPr>
          <w:trHeight w:val="288"/>
        </w:trPr>
        <w:tc>
          <w:tcPr>
            <w:tcW w:w="2695" w:type="dxa"/>
            <w:noWrap/>
            <w:vAlign w:val="bottom"/>
            <w:hideMark/>
          </w:tcPr>
          <w:p w14:paraId="7F552E0C"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Rosiglitazone</w:t>
            </w:r>
          </w:p>
        </w:tc>
        <w:tc>
          <w:tcPr>
            <w:tcW w:w="1330" w:type="dxa"/>
            <w:noWrap/>
            <w:vAlign w:val="bottom"/>
            <w:hideMark/>
          </w:tcPr>
          <w:p w14:paraId="01D48F74"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8</w:t>
            </w:r>
          </w:p>
        </w:tc>
        <w:tc>
          <w:tcPr>
            <w:tcW w:w="960" w:type="dxa"/>
            <w:noWrap/>
            <w:vAlign w:val="bottom"/>
            <w:hideMark/>
          </w:tcPr>
          <w:p w14:paraId="529009D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7AD56500" w14:textId="7D3EE1FA"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h</w:t>
            </w:r>
            <w:r w:rsidR="00CA3A28" w:rsidRPr="00367563">
              <w:rPr>
                <w:rFonts w:ascii="Aptos Narrow" w:eastAsia="Times New Roman" w:hAnsi="Aptos Narrow" w:cs="Times New Roman"/>
                <w:color w:val="000000"/>
                <w:kern w:val="0"/>
                <w:sz w:val="22"/>
                <w:szCs w:val="22"/>
                <w14:ligatures w14:val="none"/>
              </w:rPr>
              <w:t>uman</w:t>
            </w:r>
          </w:p>
        </w:tc>
        <w:tc>
          <w:tcPr>
            <w:tcW w:w="1209" w:type="dxa"/>
            <w:noWrap/>
            <w:vAlign w:val="bottom"/>
            <w:hideMark/>
          </w:tcPr>
          <w:p w14:paraId="6790AC2E" w14:textId="751B91BF" w:rsidR="00CA3A28" w:rsidRPr="00367563" w:rsidRDefault="00387F8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{"citationID":"wL0EoPRg","properties":{"unsorted":false,"formattedCitation":"\\super 51\\nosupersub{}","plainCitation":"51","noteIndex":0},"citationItems":[{"id":1261,"uris":["http://zotero.org/users/7234110/items/STBUMR6N"],"itemData":{"id":1261,"type":"document","publisher":"Food and Drug Administration","title":"Clinical pharmacology and biopharmaceutics review: Avandia (rosiglitazone maleate) (NDA 021071)","URL":"https://www.accessdata.fda.gov/drugsatfda_docs/nda/99/21071_Avandia_biopharmr_P1.pdf","issued":{"date-parts":[["1999"]]}}}],"schema":"https://github.com/citation-style-language/schema/raw/master/csl-citation.json"}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51</w:t>
            </w:r>
            <w:r>
              <w:rPr>
                <w:rFonts w:ascii="Aptos Narrow" w:eastAsia="Times New Roman" w:hAnsi="Aptos Narrow" w:cs="Times New Roman"/>
                <w:color w:val="000000"/>
                <w:kern w:val="0"/>
                <w:sz w:val="22"/>
                <w:szCs w:val="22"/>
                <w14:ligatures w14:val="none"/>
              </w:rPr>
              <w:fldChar w:fldCharType="end"/>
            </w:r>
          </w:p>
        </w:tc>
      </w:tr>
      <w:tr w:rsidR="00CA3A28" w:rsidRPr="00367563" w14:paraId="486380D3" w14:textId="77777777" w:rsidTr="00CA3A28">
        <w:trPr>
          <w:trHeight w:val="288"/>
        </w:trPr>
        <w:tc>
          <w:tcPr>
            <w:tcW w:w="2695" w:type="dxa"/>
            <w:noWrap/>
            <w:vAlign w:val="bottom"/>
            <w:hideMark/>
          </w:tcPr>
          <w:p w14:paraId="56A15C07"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Sildenafil</w:t>
            </w:r>
          </w:p>
        </w:tc>
        <w:tc>
          <w:tcPr>
            <w:tcW w:w="1330" w:type="dxa"/>
            <w:noWrap/>
            <w:vAlign w:val="bottom"/>
            <w:hideMark/>
          </w:tcPr>
          <w:p w14:paraId="07545409"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50</w:t>
            </w:r>
          </w:p>
        </w:tc>
        <w:tc>
          <w:tcPr>
            <w:tcW w:w="960" w:type="dxa"/>
            <w:noWrap/>
            <w:vAlign w:val="bottom"/>
            <w:hideMark/>
          </w:tcPr>
          <w:p w14:paraId="4928886E"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3306AF6A" w14:textId="19AB7166"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h</w:t>
            </w:r>
            <w:r w:rsidR="00CA3A28" w:rsidRPr="00367563">
              <w:rPr>
                <w:rFonts w:ascii="Aptos Narrow" w:eastAsia="Times New Roman" w:hAnsi="Aptos Narrow" w:cs="Times New Roman"/>
                <w:color w:val="000000"/>
                <w:kern w:val="0"/>
                <w:sz w:val="22"/>
                <w:szCs w:val="22"/>
                <w14:ligatures w14:val="none"/>
              </w:rPr>
              <w:t>uman</w:t>
            </w:r>
          </w:p>
        </w:tc>
        <w:tc>
          <w:tcPr>
            <w:tcW w:w="1209" w:type="dxa"/>
            <w:noWrap/>
            <w:vAlign w:val="bottom"/>
            <w:hideMark/>
          </w:tcPr>
          <w:p w14:paraId="22844BFA" w14:textId="60E37CDF" w:rsidR="00CA3A28" w:rsidRPr="00367563" w:rsidRDefault="0018044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{"citationID":"62tmehgT","properties":{"unsorted":false,"formattedCitation":"\\super 52\\nosupersub{}","plainCitation":"52","noteIndex":0},"citationItems":[{"id":1262,"uris":["http://zotero.org/users/7234110/items/X62Z8Q5S"],"itemData":{"id":1262,"type":"article-journal","abstract":"AIMS: To determine the absolute bioavailability, dose proportionality and the effects of food on the pharmacokinetics of single oral doses of sildenafil citrate.\nMETHODS: Three open-label, randomized crossover studies were conducted in healthy male subjects. Absolute bioavailability was determined by comparing pharmacokinetic data after administration of single oral and intravenous 50-mg doses of sildenafil (n=12 subjects). Food effects were examined by comparing pharmacokinetic data for sildenafil and its primary circulating metabolite, UK-103,320, after administration of a single oral 100-mg dose in the fasted and fed states (n=34 subjects). Dose proportionality was assessed from pharmacokinetic data obtained after administration of four single oral doses of sildenafil (25, 50, 100 and 200 mg) to 32 subjects. The safety and tolerability of sildenafil were also assessed in all of these studies.\nRESULTS: The calculated absolute oral bioavailability of sildenafil was 41% (90% CI: 36--47). Food slowed the rate of absorption, delaying mean tmax by approximately 1 h and reducing Cmax by 29% (90% CI: 19--38). Systemic exposure, as assessed by the mean area under the plasma concentration--time curve (AUC), was reduced by 11% (90% CI: 6--16). These food effects were not considered to be of clinical significance. There was statistical evidence of nonproportionality in Cmax and AUC over the dose range 25--200 mg. However the degree of nonproportionality was small, with predicted increases in Cmax and AUC of 2.2- and 2.1-fold, respectively, for a doubling in dose, and was thought to be clinically nonsignificant. Sildenafil was well tolerated in the three studies; the majority of adverse events were mild and transient.\nCONCLUSIONS: Sildenafil had a mean absolute bioavailability of 41%. Food caused small reductions in the rate and extent of systemic exposure; these reductions are unlikely to be of clinical significance. Across the dose range of 25--200 mg, systemic exposure increased in a slightly greater than dose-proportional manner.","container-title":"British Journal of Clinical Pharmacology","DOI":"10.1046/j.0306-5251.2001.00027.x","ISSN":"0306-5251","issue":"Suppl 1","journalAbbreviation":"Br J Clin Pharmacol","language":"eng","page":"5S-12S","PMID":"11879254","PMCID":"PMC1874258","source":"PubMed","title":"Pharmacokinetics of sildenafil after single oral doses in healthy male subjects: absolute bioavailability, food effects and dose proportionality","title-short":"Pharmacokinetics of sildenafil after single oral doses in healthy male subjects","volume":"53 Suppl 1","author":[{"family":"Nichols","given":"Donald J."},{"family":"Muirhead","given":"Gary J."},{"family":"Harness","given":"Jane A."}],"issued":{"date-parts":[["2002"]]}}}],"schema":"https://github.com/citation-style-language/schema/raw/master/csl-citation.json"}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52</w:t>
            </w:r>
            <w:r>
              <w:rPr>
                <w:rFonts w:ascii="Aptos Narrow" w:eastAsia="Times New Roman" w:hAnsi="Aptos Narrow" w:cs="Times New Roman"/>
                <w:color w:val="000000"/>
                <w:kern w:val="0"/>
                <w:sz w:val="22"/>
                <w:szCs w:val="22"/>
                <w14:ligatures w14:val="none"/>
              </w:rPr>
              <w:fldChar w:fldCharType="end"/>
            </w:r>
          </w:p>
        </w:tc>
      </w:tr>
      <w:tr w:rsidR="00CA3A28" w:rsidRPr="00367563" w14:paraId="3F05C12B" w14:textId="77777777" w:rsidTr="00CA3A28">
        <w:trPr>
          <w:trHeight w:val="288"/>
        </w:trPr>
        <w:tc>
          <w:tcPr>
            <w:tcW w:w="2695" w:type="dxa"/>
            <w:noWrap/>
            <w:vAlign w:val="bottom"/>
            <w:hideMark/>
          </w:tcPr>
          <w:p w14:paraId="2C51F1AD"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Verapamil</w:t>
            </w:r>
          </w:p>
        </w:tc>
        <w:tc>
          <w:tcPr>
            <w:tcW w:w="1330" w:type="dxa"/>
            <w:noWrap/>
            <w:vAlign w:val="bottom"/>
            <w:hideMark/>
          </w:tcPr>
          <w:p w14:paraId="5EB1373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120</w:t>
            </w:r>
          </w:p>
        </w:tc>
        <w:tc>
          <w:tcPr>
            <w:tcW w:w="960" w:type="dxa"/>
            <w:noWrap/>
            <w:vAlign w:val="bottom"/>
            <w:hideMark/>
          </w:tcPr>
          <w:p w14:paraId="4FA009C1"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IRT</w:t>
            </w:r>
          </w:p>
        </w:tc>
        <w:tc>
          <w:tcPr>
            <w:tcW w:w="1147" w:type="dxa"/>
            <w:noWrap/>
            <w:vAlign w:val="bottom"/>
            <w:hideMark/>
          </w:tcPr>
          <w:p w14:paraId="49A3039C" w14:textId="24C237D2"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h</w:t>
            </w:r>
            <w:r w:rsidR="00CA3A28" w:rsidRPr="00367563">
              <w:rPr>
                <w:rFonts w:ascii="Aptos Narrow" w:eastAsia="Times New Roman" w:hAnsi="Aptos Narrow" w:cs="Times New Roman"/>
                <w:color w:val="000000"/>
                <w:kern w:val="0"/>
                <w:sz w:val="22"/>
                <w:szCs w:val="22"/>
                <w14:ligatures w14:val="none"/>
              </w:rPr>
              <w:t>uman</w:t>
            </w:r>
          </w:p>
        </w:tc>
        <w:tc>
          <w:tcPr>
            <w:tcW w:w="1209" w:type="dxa"/>
            <w:noWrap/>
            <w:vAlign w:val="bottom"/>
            <w:hideMark/>
          </w:tcPr>
          <w:p w14:paraId="0DCE50FD" w14:textId="4F3E28BB" w:rsidR="00CA3A28" w:rsidRPr="00367563" w:rsidRDefault="0027356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{"citationID":"8If1dnce","properties":{"unsorted":false,"formattedCitation":"\\super 53\\nosupersub{}","plainCitation":"53","noteIndex":0},"citationItems":[{"id":1259,"uris":["http://zotero.org/users/7234110/items/Z3X8T7PH"],"itemData":{"id":1259,"type":"article-journal","abstract":"Pharmacokinetic studies of i.v. and oral racemic verapamil and 14C-erythromycin breath tests (ERBT) were performed in 84 healthy men (n = 42) and women (n = 42). Verapamil was measured by HPLC, concentration versus time data were analyzed by noncompartmental models, protein binding was measured by equilibrium dialysis, and statistical analyses were performed by ANOVA. Clearance of i.v. and p.o. verapamil was 13.7 +/- 4.3 and 58.4 +/- 35 ml/min/kg (mean +/- SD) in women compared to 12.6 +/- 3.4 and 82.6 +/- 70 ml/min/kg in men (p = 0.076). Bioavailability was higher in women (0.25 +/- 0.09) compared to men (0.20 +/- 0.09, p = 0.019) with a significant Gender x Formulation interaction (p = 0.04). ERBT were higher in women (p &lt; 0.0001). Verapamil (i.v. and p.o.) decreased blood pressure in all subjects with greater heart rate increases after p.o. verapamil in women compared to men (p = 0.041). The findings suggest that sex-specific differences in drug metabolism may occur in both the gut and the liver and involve multiple metabolic pathways and that pharmacokinetic differences will alter pharmacodynamic responses.","container-title":"Journal of Clinical Pharmacology","DOI":"10.1177/00912700022008883","ISSN":"0091-2700","issue":"3","journalAbbreviation":"J Clin Pharmacol","language":"eng","page":"219-230","PMID":"10709150","source":"PubMed","title":"Gender-specific effects on verapamil pharmacokinetics and pharmacodynamics in humans","volume":"40","author":[{"family":"Krecic-Shepard","given":"M. E."},{"family":"Barnas","given":"C. R."},{"family":"Slimko","given":"J."},{"family":"Jones","given":"M. P."},{"family":"Schwartz","given":"J. B."}],"issued":{"date-parts":[["2000",3]]}}}],"schema":"https://github.com/citation-style-language/schema/raw/master/csl-citation.json"}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53</w:t>
            </w:r>
            <w:r>
              <w:rPr>
                <w:rFonts w:ascii="Aptos Narrow" w:eastAsia="Times New Roman" w:hAnsi="Aptos Narrow" w:cs="Times New Roman"/>
                <w:color w:val="000000"/>
                <w:kern w:val="0"/>
                <w:sz w:val="22"/>
                <w:szCs w:val="22"/>
                <w14:ligatures w14:val="none"/>
              </w:rPr>
              <w:fldChar w:fldCharType="end"/>
            </w:r>
          </w:p>
        </w:tc>
      </w:tr>
      <w:tr w:rsidR="00CA3A28" w:rsidRPr="00367563" w14:paraId="56196F8F" w14:textId="77777777" w:rsidTr="00CA3A28">
        <w:trPr>
          <w:trHeight w:val="288"/>
        </w:trPr>
        <w:tc>
          <w:tcPr>
            <w:tcW w:w="2695" w:type="dxa"/>
            <w:noWrap/>
            <w:vAlign w:val="bottom"/>
            <w:hideMark/>
          </w:tcPr>
          <w:p w14:paraId="5AD05E7E"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32</w:t>
            </w:r>
          </w:p>
        </w:tc>
        <w:tc>
          <w:tcPr>
            <w:tcW w:w="1330" w:type="dxa"/>
            <w:noWrap/>
            <w:vAlign w:val="bottom"/>
            <w:hideMark/>
          </w:tcPr>
          <w:p w14:paraId="06C5F9BE"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4</w:t>
            </w:r>
          </w:p>
        </w:tc>
        <w:tc>
          <w:tcPr>
            <w:tcW w:w="960" w:type="dxa"/>
            <w:noWrap/>
            <w:vAlign w:val="bottom"/>
            <w:hideMark/>
          </w:tcPr>
          <w:p w14:paraId="740AAC1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5877CAF0" w14:textId="74268F8C" w:rsidR="00CA3A28" w:rsidRPr="00367563" w:rsidRDefault="00DC0559" w:rsidP="00CA3A28">
            <w:pPr>
              <w:spacing w:after="0" w:line="240" w:lineRule="auto"/>
              <w:jc w:val="center"/>
              <w:rPr>
                <w:rFonts w:ascii="Aptos Narrow" w:eastAsia="Times New Roman" w:hAnsi="Aptos Narrow" w:cs="Times New Roman"/>
                <w:color w:val="000000"/>
                <w:kern w:val="0"/>
                <w:sz w:val="22"/>
                <w:szCs w:val="22"/>
                <w14:ligatures w14:val="none"/>
              </w:rPr>
            </w:pPr>
            <w:r w:rsidRPr="00DC0559">
              <w:rPr>
                <w:rFonts w:ascii="Aptos Narrow" w:eastAsia="Times New Roman" w:hAnsi="Aptos Narrow" w:cs="Times New Roman"/>
                <w:color w:val="000000"/>
                <w:kern w:val="0"/>
                <w:sz w:val="22"/>
                <w:szCs w:val="22"/>
                <w14:ligatures w14:val="none"/>
              </w:rPr>
              <w:t>monkey(c)</w:t>
            </w:r>
          </w:p>
        </w:tc>
        <w:tc>
          <w:tcPr>
            <w:tcW w:w="1209" w:type="dxa"/>
            <w:noWrap/>
            <w:vAlign w:val="bottom"/>
            <w:hideMark/>
          </w:tcPr>
          <w:p w14:paraId="06B12D09" w14:textId="26B5AEAF"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{"citationID":"2fyZkN5a","properties":{"unsorted":false,"formattedCitation":"\\super 1\\nosupersub{}","plainCitation":"1","noteIndex":0},"citationItems":[{"id":1236,"uris":["http://zotero.org/users/7234110/items/4GGEP4P7"],"itemData":{"id":1236,"type":"article-journal","abstract":"New therapies are needed for the treatment of toxoplasmosis, which is a disease caused by the protozoan parasite Toxoplasma gondii. To this end, we previously developed a potent and selective inhibitor (compound 1) of Toxoplasma gondii calcium-dependent protein kinase 1 (TgCDPK1) that possesses antitoxoplasmosis activity in vitro and in vivo. Unfortunately, 1 has potent human ether-a-go-go-related gene (hERG) inhibitory activity, associated with long Q–T syndrome, and consequently presents a cardiotoxicity risk. Here, we describe the identification of an optimized TgCDPK1 inhibitor 32, which does not have a hERG liability and possesses a favorable pharmacokinetic profile in small and large animals. 32 is CNS-penetrant and highly effective in acute and latent mouse models of T. gondii infection, significantly reducing the amount of parasite in the brain, spleen, and peritoneal fluid and reducing brain cysts by &gt;85%. These properties make 32 a promising lead for the development of a new antitoxoplasmosis therapy.","container-title":"Journal of Medicinal Chemistry","DOI":"10.1021/acs.jmedchem.6b00760","ISSN":"0022-2623","issue":"13","journalAbbreviation":"J. Med. Chem.","page":"6531-6546","publisher":"American Chemical Society","source":"ACS Publications","title":"Development of an Orally Available and Central Nervous System (CNS) Penetrant Toxoplasma gondii Calcium-Dependent Protein Kinase 1 (TgCDPK1) Inhibitor with Minimal Human Ether-a-go-go-Related Gene (hERG) Activity for the Treatment of Toxoplasmosis","volume":"59","author":[{"family":"Vidadala","given":"Rama Subba Rao"},{"family":"Rivas","given":"Kasey L."},{"family":"Ojo","given":"Kayode K."},{"family":"Hulverson","given":"Matthew A."},{"family":"Zambriski","given":"Jennifer A."},{"family":"Bruzual","given":"Igor"},{"family":"Schultz","given":"Tracey L."},{"family":"Huang","given":"Wenlin"},{"family":"Zhang","given":"Zhongsheng"},{"family":"Scheele","given":"Suzanne"},{"family":"DeRocher","given":"Amy E."},{"family":"Choi","given":"Ryan"},{"family":"Barrett","given":"Lynn K."},{"family":"Siddaramaiah","given":"Latha Kallur"},{"family":"Hol","given":"Wim G. J."},{"family":"Fan","given":"Erkang"},{"family":"Merritt","given":"Ethan A."},{"family":"Parsons","given":"Marilyn"},{"family":"Freiberg","given":"Gail"},{"family":"Marsh","given":"Kennan"},{"family":"Kempf","given":"Dale J."},{"family":"Carruthers","given":"Vern B."},{"family":"Isoherranen","given":"Nina"},{"family":"Doggett","given":"J. Stone"},{"family":"Van Voorhis","given":"Wesley C."},{"family":"Maly","given":"Dustin J."}],"issued":{"date-parts":[["2016",7,14]]}}}],"schema":"https://github.com/citation-style-language/schema/raw/master/csl-citation.json"}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D20272">
              <w:rPr>
                <w:rFonts w:ascii="Aptos Narrow" w:hAnsi="Aptos Narrow" w:cs="Times New Roman"/>
                <w:kern w:val="0"/>
                <w:sz w:val="22"/>
                <w:vertAlign w:val="superscript"/>
              </w:rPr>
              <w:t>1</w:t>
            </w:r>
            <w:r>
              <w:rPr>
                <w:rFonts w:ascii="Aptos Narrow" w:eastAsia="Times New Roman" w:hAnsi="Aptos Narrow" w:cs="Times New Roman"/>
                <w:color w:val="000000"/>
                <w:kern w:val="0"/>
                <w:sz w:val="22"/>
                <w:szCs w:val="22"/>
                <w14:ligatures w14:val="none"/>
              </w:rPr>
              <w:fldChar w:fldCharType="end"/>
            </w:r>
          </w:p>
        </w:tc>
      </w:tr>
      <w:tr w:rsidR="00CA3A28" w:rsidRPr="00367563" w14:paraId="42D27C22" w14:textId="77777777" w:rsidTr="00CA3A28">
        <w:trPr>
          <w:trHeight w:val="288"/>
        </w:trPr>
        <w:tc>
          <w:tcPr>
            <w:tcW w:w="2695" w:type="dxa"/>
            <w:noWrap/>
            <w:vAlign w:val="bottom"/>
            <w:hideMark/>
          </w:tcPr>
          <w:p w14:paraId="28D9B11E"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32</w:t>
            </w:r>
          </w:p>
        </w:tc>
        <w:tc>
          <w:tcPr>
            <w:tcW w:w="1330" w:type="dxa"/>
            <w:noWrap/>
            <w:vAlign w:val="bottom"/>
            <w:hideMark/>
          </w:tcPr>
          <w:p w14:paraId="426CA284"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4</w:t>
            </w:r>
          </w:p>
        </w:tc>
        <w:tc>
          <w:tcPr>
            <w:tcW w:w="960" w:type="dxa"/>
            <w:noWrap/>
            <w:vAlign w:val="bottom"/>
            <w:hideMark/>
          </w:tcPr>
          <w:p w14:paraId="5CA37AE4" w14:textId="19D6DFD8"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06AE6DF9" w14:textId="2453ACBE" w:rsidR="00CA3A28" w:rsidRPr="00367563" w:rsidRDefault="00DC0559" w:rsidP="00CA3A28">
            <w:pPr>
              <w:spacing w:after="0" w:line="240" w:lineRule="auto"/>
              <w:jc w:val="center"/>
              <w:rPr>
                <w:rFonts w:ascii="Aptos Narrow" w:eastAsia="Times New Roman" w:hAnsi="Aptos Narrow" w:cs="Times New Roman"/>
                <w:color w:val="000000"/>
                <w:kern w:val="0"/>
                <w:sz w:val="22"/>
                <w:szCs w:val="22"/>
                <w14:ligatures w14:val="none"/>
              </w:rPr>
            </w:pPr>
            <w:r w:rsidRPr="00DC0559">
              <w:rPr>
                <w:rFonts w:ascii="Aptos Narrow" w:eastAsia="Times New Roman" w:hAnsi="Aptos Narrow" w:cs="Times New Roman"/>
                <w:color w:val="000000"/>
                <w:kern w:val="0"/>
                <w:sz w:val="22"/>
                <w:szCs w:val="22"/>
                <w14:ligatures w14:val="none"/>
              </w:rPr>
              <w:t>monkey(c)</w:t>
            </w:r>
          </w:p>
        </w:tc>
        <w:tc>
          <w:tcPr>
            <w:tcW w:w="1209" w:type="dxa"/>
            <w:noWrap/>
            <w:vAlign w:val="bottom"/>
            <w:hideMark/>
          </w:tcPr>
          <w:p w14:paraId="6CBDA792" w14:textId="7D37CAAB"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{"citationID":"BrxVsACY","properties":{"unsorted":false,"formattedCitation":"\\super 1\\nosupersub{}","plainCitation":"1","noteIndex":0},"citationItems":[{"id":1236,"uris":["http://zotero.org/users/7234110/items/4GGEP4P7"],"itemData":{"id":1236,"type":"article-journal","abstract":"New therapies are needed for the treatment of toxoplasmosis, which is a disease caused by the protozoan parasite Toxoplasma gondii. To this end, we previously developed a potent and selective inhibitor (compound 1) of Toxoplasma gondii calcium-dependent protein kinase 1 (TgCDPK1) that possesses antitoxoplasmosis activity in vitro and in vivo. Unfortunately, 1 has potent human ether-a-go-go-related gene (hERG) inhibitory activity, associated with long Q–T syndrome, and consequently presents a cardiotoxicity risk. Here, we describe the identification of an optimized TgCDPK1 inhibitor 32, which does not have a hERG liability and possesses a favorable pharmacokinetic profile in small and large animals. 32 is CNS-penetrant and highly effective in acute and latent mouse models of T. gondii infection, significantly reducing the amount of parasite in the brain, spleen, and peritoneal fluid and reducing brain cysts by &gt;85%. These properties make 32 a promising lead for the development of a new antitoxoplasmosis therapy.","container-title":"Journal of Medicinal Chemistry","DOI":"10.1021/acs.jmedchem.6b00760","ISSN":"0022-2623","issue":"13","journalAbbreviation":"J. Med. Chem.","page":"6531-6546","publisher":"American Chemical Society","source":"ACS Publications","title":"Development of an Orally Available and Central Nervous System (CNS) Penetrant Toxoplasma gondii Calcium-Dependent Protein Kinase 1 (TgCDPK1) Inhibitor with Minimal Human Ether-a-go-go-Related Gene (hERG) Activity for the Treatment of Toxoplasmosis","volume":"59","author":[{"family":"Vidadala","given":"Rama Subba Rao"},{"family":"Rivas","given":"Kasey L."},{"family":"Ojo","given":"Kayode K."},{"family":"Hulverson","given":"Matthew A."},{"family":"Zambriski","given":"Jennifer A."},{"family":"Bruzual","given":"Igor"},{"family":"Schultz","given":"Tracey L."},{"family":"Huang","given":"Wenlin"},{"family":"Zhang","given":"Zhongsheng"},{"family":"Scheele","given":"Suzanne"},{"family":"DeRocher","given":"Amy E."},{"family":"Choi","given":"Ryan"},{"family":"Barrett","given":"Lynn K."},{"family":"Siddaramaiah","given":"Latha Kallur"},{"family":"Hol","given":"Wim G. J."},{"family":"Fan","given":"Erkang"},{"family":"Merritt","given":"Ethan A."},{"family":"Parsons","given":"Marilyn"},{"family":"Freiberg","given":"Gail"},{"family":"Marsh","given":"Kennan"},{"family":"Kempf","given":"Dale J."},{"family":"Carruthers","given":"Vern B."},{"family":"Isoherranen","given":"Nina"},{"family":"Doggett","given":"J. Stone"},{"family":"Van Voorhis","given":"Wesley C."},{"family":"Maly","given":"Dustin J."}],"issued":{"date-parts":[["2016",7,14]]}}}],"schema":"https://github.com/citation-style-language/schema/raw/master/csl-citation.json"}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D20272">
              <w:rPr>
                <w:rFonts w:ascii="Aptos Narrow" w:hAnsi="Aptos Narrow" w:cs="Times New Roman"/>
                <w:kern w:val="0"/>
                <w:sz w:val="22"/>
                <w:vertAlign w:val="superscript"/>
              </w:rPr>
              <w:t>1</w:t>
            </w:r>
            <w:r>
              <w:rPr>
                <w:rFonts w:ascii="Aptos Narrow" w:eastAsia="Times New Roman" w:hAnsi="Aptos Narrow" w:cs="Times New Roman"/>
                <w:color w:val="000000"/>
                <w:kern w:val="0"/>
                <w:sz w:val="22"/>
                <w:szCs w:val="22"/>
                <w14:ligatures w14:val="none"/>
              </w:rPr>
              <w:fldChar w:fldCharType="end"/>
            </w:r>
          </w:p>
        </w:tc>
      </w:tr>
      <w:tr w:rsidR="00CA3A28" w:rsidRPr="00367563" w14:paraId="186422FC" w14:textId="77777777" w:rsidTr="00CA3A28">
        <w:trPr>
          <w:trHeight w:val="288"/>
        </w:trPr>
        <w:tc>
          <w:tcPr>
            <w:tcW w:w="2695" w:type="dxa"/>
            <w:noWrap/>
            <w:vAlign w:val="bottom"/>
            <w:hideMark/>
          </w:tcPr>
          <w:p w14:paraId="1FF0F401"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230</w:t>
            </w:r>
          </w:p>
        </w:tc>
        <w:tc>
          <w:tcPr>
            <w:tcW w:w="1330" w:type="dxa"/>
            <w:noWrap/>
            <w:vAlign w:val="bottom"/>
            <w:hideMark/>
          </w:tcPr>
          <w:p w14:paraId="79CD810F"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90</w:t>
            </w:r>
          </w:p>
        </w:tc>
        <w:tc>
          <w:tcPr>
            <w:tcW w:w="960" w:type="dxa"/>
            <w:noWrap/>
            <w:vAlign w:val="bottom"/>
            <w:hideMark/>
          </w:tcPr>
          <w:p w14:paraId="5BDD0D3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4A50DF0E" w14:textId="7CC27CD9"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F46050">
              <w:rPr>
                <w:rFonts w:ascii="Aptos Narrow" w:eastAsia="Times New Roman" w:hAnsi="Aptos Narrow" w:cs="Times New Roman"/>
                <w:color w:val="000000"/>
                <w:kern w:val="0"/>
                <w:sz w:val="22"/>
                <w:szCs w:val="22"/>
                <w14:ligatures w14:val="none"/>
              </w:rPr>
              <w:t>monkey(c)</w:t>
            </w:r>
          </w:p>
        </w:tc>
        <w:tc>
          <w:tcPr>
            <w:tcW w:w="1209" w:type="dxa"/>
            <w:noWrap/>
            <w:vAlign w:val="bottom"/>
            <w:hideMark/>
          </w:tcPr>
          <w:p w14:paraId="1B8A0164" w14:textId="7BE99E50" w:rsidR="00CA3A28" w:rsidRPr="00367563" w:rsidRDefault="00876D34"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{"citationID":"UFX1OzEu","properties":{"unsorted":false,"formattedCitation":"\\super 54\\nosupersub{}","plainCitation":"54","noteIndex":0},"citationItems":[{"id":1327,"uris":["http://zotero.org/users/7234110/items/ZCEPDGXY"],"itemData":{"id":1327,"type":"article-journal","abstract":"5-Oxo-6,8,11,14-eicosatetraenoic acid (5-oxo-ETE) is a potent lipid mediator that induces tissue eosinophilia via the selective OXE receptor (OXE-R), which is an attractive therapeutic target in eosinophilic diseases. We previously identified indole OXE-R antagonists that block 5-oxo-ETE-induced primate eosinophil activation. Although these compounds possess good oral absorption, their plasma levels decline rapidly due to extensive oxidation of their hexyl side chain. We have now succeeded in dramatically increasing antagonist potency and resistance to metabolism by replacing the hexyl group with phenylpentyl or phenylhexyl side chains. Compared with our previous lead compound S-230, our most potent antagonist, S-C025, has an IC50 (120 pM) over 80 times lower and a substantially longer plasma half-life. A single major metabolite, which retains antagonist activity (IC50, 690 pM) and has a prolonged lifetime in plasma was observed. These new highly potent OXE-R antagonists may provide a novel strategy for the treatment of eosinophilic disorders like asthma.","container-title":"Journal of Medicinal Chemistry","DOI":"10.1021/acs.jmedchem.8b00154","ISSN":"0022-2623","issue":"14","journalAbbreviation":"J. Med. Chem.","page":"5934-5948","publisher":"American Chemical Society","source":"ACS Publications","title":"Novel Highly Potent and Metabolically Resistant Oxoeicosanoid (OXE) Receptor Antagonists That Block the Actions of the Granulocyte Chemoattractant 5-Oxo-6,8,11,14-Eicosatetraenoic Acid (5-oxo-ETE)","volume":"61","author":[{"family":"Chourey","given":"Shishir"},{"family":"Ye","given":"Qiuji"},{"family":"Reddy","given":"Chintam Nagendra"},{"family":"Wang","given":"Rui"},{"family":"Cossette","given":"Chantal"},{"family":"Gravel","given":"Sylvie"},{"family":"Slobodchikova","given":"Irina"},{"family":"Vuckovic","given":"Dajana"},{"family":"Rokach","given":"Joshua"},{"family":"Powell","given":"William S."}],"issued":{"date-parts":[["2018",7,26]]}}}],"schema":"https://github.com/citation-style-language/schema/raw/master/csl-citation.json"}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54</w:t>
            </w:r>
            <w:r>
              <w:rPr>
                <w:rFonts w:ascii="Aptos Narrow" w:eastAsia="Times New Roman" w:hAnsi="Aptos Narrow" w:cs="Times New Roman"/>
                <w:color w:val="000000"/>
                <w:kern w:val="0"/>
                <w:sz w:val="22"/>
                <w:szCs w:val="22"/>
                <w14:ligatures w14:val="none"/>
              </w:rPr>
              <w:fldChar w:fldCharType="end"/>
            </w:r>
          </w:p>
        </w:tc>
      </w:tr>
      <w:tr w:rsidR="00CA3A28" w:rsidRPr="00367563" w14:paraId="7703E477" w14:textId="77777777" w:rsidTr="00CA3A28">
        <w:trPr>
          <w:trHeight w:val="288"/>
        </w:trPr>
        <w:tc>
          <w:tcPr>
            <w:tcW w:w="2695" w:type="dxa"/>
            <w:noWrap/>
            <w:vAlign w:val="bottom"/>
            <w:hideMark/>
          </w:tcPr>
          <w:p w14:paraId="549EE63A"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264</w:t>
            </w:r>
          </w:p>
        </w:tc>
        <w:tc>
          <w:tcPr>
            <w:tcW w:w="1330" w:type="dxa"/>
            <w:noWrap/>
            <w:vAlign w:val="bottom"/>
            <w:hideMark/>
          </w:tcPr>
          <w:p w14:paraId="6EF3204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90</w:t>
            </w:r>
          </w:p>
        </w:tc>
        <w:tc>
          <w:tcPr>
            <w:tcW w:w="960" w:type="dxa"/>
            <w:noWrap/>
            <w:vAlign w:val="bottom"/>
            <w:hideMark/>
          </w:tcPr>
          <w:p w14:paraId="002927A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45E2AA1A" w14:textId="2111063B"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F46050">
              <w:rPr>
                <w:rFonts w:ascii="Aptos Narrow" w:eastAsia="Times New Roman" w:hAnsi="Aptos Narrow" w:cs="Times New Roman"/>
                <w:color w:val="000000"/>
                <w:kern w:val="0"/>
                <w:sz w:val="22"/>
                <w:szCs w:val="22"/>
                <w14:ligatures w14:val="none"/>
              </w:rPr>
              <w:t>monkey(c)</w:t>
            </w:r>
          </w:p>
        </w:tc>
        <w:tc>
          <w:tcPr>
            <w:tcW w:w="1209" w:type="dxa"/>
            <w:noWrap/>
            <w:vAlign w:val="bottom"/>
            <w:hideMark/>
          </w:tcPr>
          <w:p w14:paraId="23A47407" w14:textId="77C4F486" w:rsidR="00CA3A28" w:rsidRPr="00367563" w:rsidRDefault="00876D34"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{"citationID":"Etgn58Wq","properties":{"unsorted":false,"formattedCitation":"\\super 54\\nosupersub{}","plainCitation":"54","noteIndex":0},"citationItems":[{"id":1327,"uris":["http://zotero.org/users/7234110/items/ZCEPDGXY"],"itemData":{"id":1327,"type":"article-journal","abstract":"5-Oxo-6,8,11,14-eicosatetraenoic acid (5-oxo-ETE) is a potent lipid mediator that induces tissue eosinophilia via the selective OXE receptor (OXE-R), which is an attractive therapeutic target in eosinophilic diseases. We previously identified indole OXE-R antagonists that block 5-oxo-ETE-induced primate eosinophil activation. Although these compounds possess good oral absorption, their plasma levels decline rapidly due to extensive oxidation of their hexyl side chain. We have now succeeded in dramatically increasing antagonist potency and resistance to metabolism by replacing the hexyl group with phenylpentyl or phenylhexyl side chains. Compared with our previous lead compound S-230, our most potent antagonist, S-C025, has an IC50 (120 pM) over 80 times lower and a substantially longer plasma half-life. A single major metabolite, which retains antagonist activity (IC50, 690 pM) and has a prolonged lifetime in plasma was observed. These new highly potent OXE-R antagonists may provide a novel strategy for the treatment of eosinophilic disorders like asthma.","container-title":"Journal of Medicinal Chemistry","DOI":"10.1021/acs.jmedchem.8b00154","ISSN":"0022-2623","issue":"14","journalAbbreviation":"J. Med. Chem.","page":"5934-5948","publisher":"American Chemical Society","source":"ACS Publications","title":"Novel Highly Potent and Metabolically Resistant Oxoeicosanoid (OXE) Receptor Antagonists That Block the Actions of the Granulocyte Chemoattractant 5-Oxo-6,8,11,14-Eicosatetraenoic Acid (5-oxo-ETE)","volume":"61","author":[{"family":"Chourey","given":"Shishir"},{"family":"Ye","given":"Qiuji"},{"family":"Reddy","given":"Chintam Nagendra"},{"family":"Wang","given":"Rui"},{"family":"Cossette","given":"Chantal"},{"family":"Gravel","given":"Sylvie"},{"family":"Slobodchikova","given":"Irina"},{"family":"Vuckovic","given":"Dajana"},{"family":"Rokach","given":"Joshua"},{"family":"Powell","given":"William S."}],"issued":{"date-parts":[["2018",7,26]]}}}],"schema":"https://github.com/citation-style-language/schema/raw/master/csl-citation.json"}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54</w:t>
            </w:r>
            <w:r>
              <w:rPr>
                <w:rFonts w:ascii="Aptos Narrow" w:eastAsia="Times New Roman" w:hAnsi="Aptos Narrow" w:cs="Times New Roman"/>
                <w:color w:val="000000"/>
                <w:kern w:val="0"/>
                <w:sz w:val="22"/>
                <w:szCs w:val="22"/>
                <w14:ligatures w14:val="none"/>
              </w:rPr>
              <w:fldChar w:fldCharType="end"/>
            </w:r>
          </w:p>
        </w:tc>
      </w:tr>
      <w:tr w:rsidR="00CA3A28" w:rsidRPr="00367563" w14:paraId="3B2377B3" w14:textId="77777777" w:rsidTr="00CA3A28">
        <w:trPr>
          <w:trHeight w:val="288"/>
        </w:trPr>
        <w:tc>
          <w:tcPr>
            <w:tcW w:w="2695" w:type="dxa"/>
            <w:noWrap/>
            <w:vAlign w:val="bottom"/>
            <w:hideMark/>
          </w:tcPr>
          <w:p w14:paraId="6B60A4B6"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Benzatropine</w:t>
            </w:r>
            <w:proofErr w:type="spellEnd"/>
          </w:p>
        </w:tc>
        <w:tc>
          <w:tcPr>
            <w:tcW w:w="1330" w:type="dxa"/>
            <w:noWrap/>
            <w:vAlign w:val="bottom"/>
            <w:hideMark/>
          </w:tcPr>
          <w:p w14:paraId="759BC124"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77.025</w:t>
            </w:r>
          </w:p>
        </w:tc>
        <w:tc>
          <w:tcPr>
            <w:tcW w:w="960" w:type="dxa"/>
            <w:noWrap/>
            <w:vAlign w:val="bottom"/>
            <w:hideMark/>
          </w:tcPr>
          <w:p w14:paraId="734D78F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7E2765F0" w14:textId="0E8D888C"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F46050">
              <w:rPr>
                <w:rFonts w:ascii="Aptos Narrow" w:eastAsia="Times New Roman" w:hAnsi="Aptos Narrow" w:cs="Times New Roman"/>
                <w:color w:val="000000"/>
                <w:kern w:val="0"/>
                <w:sz w:val="22"/>
                <w:szCs w:val="22"/>
                <w14:ligatures w14:val="none"/>
              </w:rPr>
              <w:t>monkey(</w:t>
            </w:r>
            <w:r>
              <w:rPr>
                <w:rFonts w:ascii="Aptos Narrow" w:eastAsia="Times New Roman" w:hAnsi="Aptos Narrow" w:cs="Times New Roman"/>
                <w:color w:val="000000"/>
                <w:kern w:val="0"/>
                <w:sz w:val="22"/>
                <w:szCs w:val="22"/>
                <w14:ligatures w14:val="none"/>
              </w:rPr>
              <w:t>r</w:t>
            </w:r>
            <w:r w:rsidRPr="00F46050">
              <w:rPr>
                <w:rFonts w:ascii="Aptos Narrow" w:eastAsia="Times New Roman" w:hAnsi="Aptos Narrow" w:cs="Times New Roman"/>
                <w:color w:val="000000"/>
                <w:kern w:val="0"/>
                <w:sz w:val="22"/>
                <w:szCs w:val="22"/>
                <w14:ligatures w14:val="none"/>
              </w:rPr>
              <w:t>)</w:t>
            </w:r>
          </w:p>
        </w:tc>
        <w:tc>
          <w:tcPr>
            <w:tcW w:w="1209" w:type="dxa"/>
            <w:noWrap/>
            <w:vAlign w:val="bottom"/>
            <w:hideMark/>
          </w:tcPr>
          <w:p w14:paraId="487E94E9" w14:textId="3F38271F"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{"citationID":"L4pYNfPZ","properties":{"unsorted":false,"formattedCitation":"\\super 6\\nosupersub{}","plainCitation":"6","noteIndex":0},"citationItems":[{"id":1237,"uris":["http://zotero.org/users/7234110/items/2Z4NSLN9"],"itemData":{"id":1237,"type":"article-journal","abstract":"The objective of this study was to clarify the species differences of pharmacokinetics of Y101 (N-[N-benzoyl-O-(2-dimethylaminoethyl)-l-tyrosyl]-l-phenylalaninol hydrochloride), a derivative of herbal ingredient with anti-HBV hepatitis activity, in rats, dogs, monkeys and humans.The metabolic stability and metabolite identification studies using liver microsomes in vitro, plasma protein binding using a rapid equilibrium dialysis in vitro, pharmacokinetic studies in vivo were carried out to evaluate the interspecies differences. The toxicokinetic study in monkeys was also investigated.The metabolic profiles were similar in monkeys and humans, which were significant different from rats and dogs in vitro. In vitro plasma protein binding showed no major differences between species with medium to high protein binding rates. After single oral dose to rats, dogs, and monkeys, the absolute oral bioavailability of Y101 was 44.9%, 43.1%, and 19.2%, respectively. There was no accumulation for Y101 toxicokinetics in monkeys after oral administration for 90 d.The metabolic profiles indicated monkey was the very animal model for preclinical safety evaluation of Y101. Our results have demonstrated the favorable pharmacokinetics profile of Y101, which supports the clinical trials in humans. The objective of this study was to clarify the species differences of pharmacokinetics of Y101 (N-[N-benzoyl-O-(2-dimethylaminoethyl)-l-tyrosyl]-l-phenylalaninol hydrochloride), a derivative of herbal ingredient with anti-HBV hepatitis activity, in rats, dogs, monkeys and humans. The metabolic stability and metabolite identification studies using liver microsomes in vitro, plasma protein binding using a rapid equilibrium dialysis in vitro, pharmacokinetic studies in vivo were carried out to evaluate the interspecies differences. The toxicokinetic study in monkeys was also investigated. The metabolic profiles were similar in monkeys and humans, which were significant different from rats and dogs in vitro. In vitro plasma protein binding showed no major differences between species with medium to high protein binding rates. After single oral dose to rats, dogs, and monkeys, the absolute oral bioavailability of Y101 was 44.9%, 43.1%, and 19.2%, respectively. There was no accumulation for Y101 toxicokinetics in monkeys after oral administration for 90 d. The metabolic profiles indicated monkey was the very animal model for preclinical safety evaluation of Y101. Our results have demonstrated the favorable pharmacokinetics profile of Y101, which supports the clinical trials in humans.","container-title":"Xenobiotica","DOI":"10.1080/00498254.2019.1646946","ISSN":"0049-8254","issue":"4","note":"_eprint: https://doi.org/10.1080/00498254.2019.1646946","page":"468-478","PMID":"31329010","publisher":"Taylor &amp; Francis","source":"Taylor and Francis+NEJM","title":"In vitro metabolism and in vivo pharmacokinetics of bentysrepinine (Y101), an investigational new drug for anti-HBV-infected hepatitis: focus on interspecies comparison","title-short":"In vitro metabolism and in vivo pharmacokinetics of bentysrepinine (Y101), an investigational new drug for anti-HBV-infected hepatitis","volume":"50","author":[{"family":"Fan","given":"Huirong"},{"family":"Zhang","given":"Aijie"},{"family":"Liao","given":"Cuiping"},{"family":"Yang","given":"Yuanhui"},{"family":"Zhang","given":"Lihua"},{"family":"Liu","given":"Jianfeng"},{"family":"Xia","given":"Yuanyuan"},{"family":"Si","given":"Duanyun"},{"family":"Dong","given":"Shiqi"},{"family":"Liu","given":"Changxiao"}],"issued":{"date-parts":[["2020",4,2]]}}}],"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B41D8">
              <w:rPr>
                <w:rFonts w:ascii="Aptos Narrow" w:hAnsi="Aptos Narrow" w:cs="Times New Roman"/>
                <w:kern w:val="0"/>
                <w:sz w:val="22"/>
                <w:vertAlign w:val="superscript"/>
              </w:rPr>
              <w:t>6</w:t>
            </w:r>
            <w:r>
              <w:rPr>
                <w:rFonts w:ascii="Aptos Narrow" w:eastAsia="Times New Roman" w:hAnsi="Aptos Narrow" w:cs="Times New Roman"/>
                <w:color w:val="000000"/>
                <w:kern w:val="0"/>
                <w:sz w:val="22"/>
                <w:szCs w:val="22"/>
                <w14:ligatures w14:val="none"/>
              </w:rPr>
              <w:fldChar w:fldCharType="end"/>
            </w:r>
          </w:p>
        </w:tc>
      </w:tr>
      <w:tr w:rsidR="00CA3A28" w:rsidRPr="00367563" w14:paraId="5773F9C1" w14:textId="77777777" w:rsidTr="00CA3A28">
        <w:trPr>
          <w:trHeight w:val="288"/>
        </w:trPr>
        <w:tc>
          <w:tcPr>
            <w:tcW w:w="2695" w:type="dxa"/>
            <w:noWrap/>
            <w:vAlign w:val="bottom"/>
            <w:hideMark/>
          </w:tcPr>
          <w:p w14:paraId="5AB3EBB0"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Benzatropine</w:t>
            </w:r>
            <w:proofErr w:type="spellEnd"/>
          </w:p>
        </w:tc>
        <w:tc>
          <w:tcPr>
            <w:tcW w:w="1330" w:type="dxa"/>
            <w:noWrap/>
            <w:vAlign w:val="bottom"/>
            <w:hideMark/>
          </w:tcPr>
          <w:p w14:paraId="43659AB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77.025</w:t>
            </w:r>
          </w:p>
        </w:tc>
        <w:tc>
          <w:tcPr>
            <w:tcW w:w="960" w:type="dxa"/>
            <w:noWrap/>
            <w:vAlign w:val="bottom"/>
            <w:hideMark/>
          </w:tcPr>
          <w:p w14:paraId="2BED989B" w14:textId="79B8EAB6"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55042D47" w14:textId="105DF7EB"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F46050">
              <w:rPr>
                <w:rFonts w:ascii="Aptos Narrow" w:eastAsia="Times New Roman" w:hAnsi="Aptos Narrow" w:cs="Times New Roman"/>
                <w:color w:val="000000"/>
                <w:kern w:val="0"/>
                <w:sz w:val="22"/>
                <w:szCs w:val="22"/>
                <w14:ligatures w14:val="none"/>
              </w:rPr>
              <w:t>monkey(</w:t>
            </w:r>
            <w:r>
              <w:rPr>
                <w:rFonts w:ascii="Aptos Narrow" w:eastAsia="Times New Roman" w:hAnsi="Aptos Narrow" w:cs="Times New Roman"/>
                <w:color w:val="000000"/>
                <w:kern w:val="0"/>
                <w:sz w:val="22"/>
                <w:szCs w:val="22"/>
                <w14:ligatures w14:val="none"/>
              </w:rPr>
              <w:t>r</w:t>
            </w:r>
            <w:r w:rsidRPr="00F46050">
              <w:rPr>
                <w:rFonts w:ascii="Aptos Narrow" w:eastAsia="Times New Roman" w:hAnsi="Aptos Narrow" w:cs="Times New Roman"/>
                <w:color w:val="000000"/>
                <w:kern w:val="0"/>
                <w:sz w:val="22"/>
                <w:szCs w:val="22"/>
                <w14:ligatures w14:val="none"/>
              </w:rPr>
              <w:t>)</w:t>
            </w:r>
          </w:p>
        </w:tc>
        <w:tc>
          <w:tcPr>
            <w:tcW w:w="1209" w:type="dxa"/>
            <w:noWrap/>
            <w:vAlign w:val="bottom"/>
            <w:hideMark/>
          </w:tcPr>
          <w:p w14:paraId="1C49D4C3" w14:textId="764474BE"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{"citationID":"Aaa3Vams","properties":{"unsorted":false,"formattedCitation":"\\super 6\\nosupersub{}","plainCitation":"6","noteIndex":0},"citationItems":[{"id":1237,"uris":["http://zotero.org/users/7234110/items/2Z4NSLN9"],"itemData":{"id":1237,"type":"article-journal","abstract":"The objective of this study was to clarify the species differences of pharmacokinetics of Y101 (N-[N-benzoyl-O-(2-dimethylaminoethyl)-l-tyrosyl]-l-phenylalaninol hydrochloride), a derivative of herbal ingredient with anti-HBV hepatitis activity, in rats, dogs, monkeys and humans.The metabolic stability and metabolite identification studies using liver microsomes in vitro, plasma protein binding using a rapid equilibrium dialysis in vitro, pharmacokinetic studies in vivo were carried out to evaluate the interspecies differences. The toxicokinetic study in monkeys was also investigated.The metabolic profiles were similar in monkeys and humans, which were significant different from rats and dogs in vitro. In vitro plasma protein binding showed no major differences between species with medium to high protein binding rates. After single oral dose to rats, dogs, and monkeys, the absolute oral bioavailability of Y101 was 44.9%, 43.1%, and 19.2%, respectively. There was no accumulation for Y101 toxicokinetics in monkeys after oral administration for 90 d.The metabolic profiles indicated monkey was the very animal model for preclinical safety evaluation of Y101. Our results have demonstrated the favorable pharmacokinetics profile of Y101, which supports the clinical trials in humans. The objective of this study was to clarify the species differences of pharmacokinetics of Y101 (N-[N-benzoyl-O-(2-dimethylaminoethyl)-l-tyrosyl]-l-phenylalaninol hydrochloride), a derivative of herbal ingredient with anti-HBV hepatitis activity, in rats, dogs, monkeys and humans. The metabolic stability and metabolite identification studies using liver microsomes in vitro, plasma protein binding using a rapid equilibrium dialysis in vitro, pharmacokinetic studies in vivo were carried out to evaluate the interspecies differences. The toxicokinetic study in monkeys was also investigated. The metabolic profiles were similar in monkeys and humans, which were significant different from rats and dogs in vitro. In vitro plasma protein binding showed no major differences between species with medium to high protein binding rates. After single oral dose to rats, dogs, and monkeys, the absolute oral bioavailability of Y101 was 44.9%, 43.1%, and 19.2%, respectively. There was no accumulation for Y101 toxicokinetics in monkeys after oral administration for 90 d. The metabolic profiles indicated monkey was the very animal model for preclinical safety evaluation of Y101. Our results have demonstrated the favorable pharmacokinetics profile of Y101, which supports the clinical trials in humans.","container-title":"Xenobiotica","DOI":"10.1080/00498254.2019.1646946","ISSN":"0049-8254","issue":"4","note":"_eprint: https://doi.org/10.1080/00498254.2019.1646946","page":"468-478","PMID":"31329010","publisher":"Taylor &amp; Francis","source":"Taylor and Francis+NEJM","title":"In vitro metabolism and in vivo pharmacokinetics of bentysrepinine (Y101), an investigational new drug for anti-HBV-infected hepatitis: focus on interspecies comparison","title-short":"In vitro metabolism and in vivo pharmacokinetics of bentysrepinine (Y101), an investigational new drug for anti-HBV-infected hepatitis","volume":"50","author":[{"family":"Fan","given":"Huirong"},{"family":"Zhang","given":"Aijie"},{"family":"Liao","given":"Cuiping"},{"family":"Yang","given":"Yuanhui"},{"family":"Zhang","given":"Lihua"},{"family":"Liu","given":"Jianfeng"},{"family":"Xia","given":"Yuanyuan"},{"family":"Si","given":"Duanyun"},{"family":"Dong","given":"Shiqi"},{"family":"Liu","given":"Changxiao"}],"issued":{"date-parts":[["2020",4,2]]}}}],"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B41D8">
              <w:rPr>
                <w:rFonts w:ascii="Aptos Narrow" w:hAnsi="Aptos Narrow" w:cs="Times New Roman"/>
                <w:kern w:val="0"/>
                <w:sz w:val="22"/>
                <w:vertAlign w:val="superscript"/>
              </w:rPr>
              <w:t>6</w:t>
            </w:r>
            <w:r>
              <w:rPr>
                <w:rFonts w:ascii="Aptos Narrow" w:eastAsia="Times New Roman" w:hAnsi="Aptos Narrow" w:cs="Times New Roman"/>
                <w:color w:val="000000"/>
                <w:kern w:val="0"/>
                <w:sz w:val="22"/>
                <w:szCs w:val="22"/>
                <w14:ligatures w14:val="none"/>
              </w:rPr>
              <w:fldChar w:fldCharType="end"/>
            </w:r>
          </w:p>
        </w:tc>
      </w:tr>
      <w:tr w:rsidR="00CA3A28" w:rsidRPr="00367563" w14:paraId="63B2E39E" w14:textId="77777777" w:rsidTr="00CA3A28">
        <w:trPr>
          <w:trHeight w:val="288"/>
        </w:trPr>
        <w:tc>
          <w:tcPr>
            <w:tcW w:w="2695" w:type="dxa"/>
            <w:noWrap/>
            <w:vAlign w:val="bottom"/>
            <w:hideMark/>
          </w:tcPr>
          <w:p w14:paraId="174154CE"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C025</w:t>
            </w:r>
          </w:p>
        </w:tc>
        <w:tc>
          <w:tcPr>
            <w:tcW w:w="1330" w:type="dxa"/>
            <w:noWrap/>
            <w:vAlign w:val="bottom"/>
            <w:hideMark/>
          </w:tcPr>
          <w:p w14:paraId="405F27B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90</w:t>
            </w:r>
          </w:p>
        </w:tc>
        <w:tc>
          <w:tcPr>
            <w:tcW w:w="960" w:type="dxa"/>
            <w:noWrap/>
            <w:vAlign w:val="bottom"/>
            <w:hideMark/>
          </w:tcPr>
          <w:p w14:paraId="1D82AEB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39761852" w14:textId="6FE68056"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F46050">
              <w:rPr>
                <w:rFonts w:ascii="Aptos Narrow" w:eastAsia="Times New Roman" w:hAnsi="Aptos Narrow" w:cs="Times New Roman"/>
                <w:color w:val="000000"/>
                <w:kern w:val="0"/>
                <w:sz w:val="22"/>
                <w:szCs w:val="22"/>
                <w14:ligatures w14:val="none"/>
              </w:rPr>
              <w:t>monkey(c)</w:t>
            </w:r>
          </w:p>
        </w:tc>
        <w:tc>
          <w:tcPr>
            <w:tcW w:w="1209" w:type="dxa"/>
            <w:noWrap/>
            <w:vAlign w:val="bottom"/>
            <w:hideMark/>
          </w:tcPr>
          <w:p w14:paraId="028FDA35" w14:textId="4623F8E1" w:rsidR="00CA3A28" w:rsidRPr="00367563" w:rsidRDefault="00876D34"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{"citationID":"swtuLoIl","properties":{"unsorted":false,"formattedCitation":"\\super 54\\nosupersub{}","plainCitation":"54","noteIndex":0},"citationItems":[{"id":1327,"uris":["http://zotero.org/users/7234110/items/ZCEPDGXY"],"itemData":{"id":1327,"type":"article-journal","abstract":"5-Oxo-6,8,11,14-eicosatetraenoic acid (5-oxo-ETE) is a potent lipid mediator that induces tissue eosinophilia via the selective OXE receptor (OXE-R), which is an attractive therapeutic target in eosinophilic diseases. We previously identified indole OXE-R antagonists that block 5-oxo-ETE-induced primate eosinophil activation. Although these compounds possess good oral absorption, their plasma levels decline rapidly due to extensive oxidation of their hexyl side chain. We have now succeeded in dramatically increasing antagonist potency and resistance to metabolism by replacing the hexyl group with phenylpentyl or phenylhexyl side chains. Compared with our previous lead compound S-230, our most potent antagonist, S-C025, has an IC50 (120 pM) over 80 times lower and a substantially longer plasma half-life. A single major metabolite, which retains antagonist activity (IC50, 690 pM) and has a prolonged lifetime in plasma was observed. These new highly potent OXE-R antagonists may provide a novel strategy for the treatment of eosinophilic disorders like asthma.","container-title":"Journal of Medicinal Chemistry","DOI":"10.1021/acs.jmedchem.8b00154","ISSN":"0022-2623","issue":"14","journalAbbreviation":"J. Med. Chem.","page":"5934-5948","publisher":"American Chemical Society","source":"ACS Publications","title":"Novel Highly Potent and Metabolically Resistant Oxoeicosanoid (OXE) Receptor Antagonists That Block the Actions of the Granulocyte Chemoattractant 5-Oxo-6,8,11,14-Eicosatetraenoic Acid (5-oxo-ETE)","volume":"61","author":[{"family":"Chourey","given":"Shishir"},{"family":"Ye","given":"Qiuji"},{"family":"Reddy","given":"Chintam Nagendra"},{"family":"Wang","given":"Rui"},{"family":"Cossette","given":"Chantal"},{"family":"Gravel","given":"Sylvie"},{"family":"Slobodchikova","given":"Irina"},{"family":"Vuckovic","given":"Dajana"},{"family":"Rokach","given":"Joshua"},{"family":"Powell","given":"William S."}],"issued":{"date-parts":[["2018",7,26]]}}}],"schema":"https://github.com/citation-style-language/schema/raw/master/csl-citation.json"}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54</w:t>
            </w:r>
            <w:r>
              <w:rPr>
                <w:rFonts w:ascii="Aptos Narrow" w:eastAsia="Times New Roman" w:hAnsi="Aptos Narrow" w:cs="Times New Roman"/>
                <w:color w:val="000000"/>
                <w:kern w:val="0"/>
                <w:sz w:val="22"/>
                <w:szCs w:val="22"/>
                <w14:ligatures w14:val="none"/>
              </w:rPr>
              <w:fldChar w:fldCharType="end"/>
            </w:r>
          </w:p>
        </w:tc>
      </w:tr>
      <w:tr w:rsidR="00CA3A28" w:rsidRPr="00367563" w14:paraId="6EC21118" w14:textId="77777777" w:rsidTr="00CA3A28">
        <w:trPr>
          <w:trHeight w:val="288"/>
        </w:trPr>
        <w:tc>
          <w:tcPr>
            <w:tcW w:w="2695" w:type="dxa"/>
            <w:noWrap/>
            <w:vAlign w:val="bottom"/>
            <w:hideMark/>
          </w:tcPr>
          <w:p w14:paraId="60D2FF5D"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C149</w:t>
            </w:r>
          </w:p>
        </w:tc>
        <w:tc>
          <w:tcPr>
            <w:tcW w:w="1330" w:type="dxa"/>
            <w:noWrap/>
            <w:vAlign w:val="bottom"/>
            <w:hideMark/>
          </w:tcPr>
          <w:p w14:paraId="199B70E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90</w:t>
            </w:r>
          </w:p>
        </w:tc>
        <w:tc>
          <w:tcPr>
            <w:tcW w:w="960" w:type="dxa"/>
            <w:noWrap/>
            <w:vAlign w:val="bottom"/>
            <w:hideMark/>
          </w:tcPr>
          <w:p w14:paraId="7B46E06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691C8A44" w14:textId="7B3496C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F46050">
              <w:rPr>
                <w:rFonts w:ascii="Aptos Narrow" w:eastAsia="Times New Roman" w:hAnsi="Aptos Narrow" w:cs="Times New Roman"/>
                <w:color w:val="000000"/>
                <w:kern w:val="0"/>
                <w:sz w:val="22"/>
                <w:szCs w:val="22"/>
                <w14:ligatures w14:val="none"/>
              </w:rPr>
              <w:t>monkey(c)</w:t>
            </w:r>
          </w:p>
        </w:tc>
        <w:tc>
          <w:tcPr>
            <w:tcW w:w="1209" w:type="dxa"/>
            <w:noWrap/>
            <w:vAlign w:val="bottom"/>
            <w:hideMark/>
          </w:tcPr>
          <w:p w14:paraId="06F13670" w14:textId="5A0F28FD" w:rsidR="00CA3A28" w:rsidRPr="00367563" w:rsidRDefault="00876D34"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{"citationID":"Q5Vfsn6T","properties":{"unsorted":false,"formattedCitation":"\\super 54\\nosupersub{}","plainCitation":"54","noteIndex":0},"citationItems":[{"id":1327,"uris":["http://zotero.org/users/7234110/items/ZCEPDGXY"],"itemData":{"id":1327,"type":"article-journal","abstract":"5-Oxo-6,8,11,14-eicosatetraenoic acid (5-oxo-ETE) is a potent lipid mediator that induces tissue eosinophilia via the selective OXE receptor (OXE-R), which is an attractive therapeutic target in eosinophilic diseases. We previously identified indole OXE-R antagonists that block 5-oxo-ETE-induced primate eosinophil activation. Although these compounds possess good oral absorption, their plasma levels decline rapidly due to extensive oxidation of their hexyl side chain. We have now succeeded in dramatically increasing antagonist potency and resistance to metabolism by replacing the hexyl group with phenylpentyl or phenylhexyl side chains. Compared with our previous lead compound S-230, our most potent antagonist, S-C025, has an IC50 (120 pM) over 80 times lower and a substantially longer plasma half-life. A single major metabolite, which retains antagonist activity (IC50, 690 pM) and has a prolonged lifetime in plasma was observed. These new highly potent OXE-R antagonists may provide a novel strategy for the treatment of eosinophilic disorders like asthma.","container-title":"Journal of Medicinal Chemistry","DOI":"10.1021/acs.jmedchem.8b00154","ISSN":"0022-2623","issue":"14","journalAbbreviation":"J. Med. Chem.","page":"5934-5948","publisher":"American Chemical Society","source":"ACS Publications","title":"Novel Highly Potent and Metabolically Resistant Oxoeicosanoid (OXE) Receptor Antagonists That Block the Actions of the Granulocyte Chemoattractant 5-Oxo-6,8,11,14-Eicosatetraenoic Acid (5-oxo-ETE)","volume":"61","author":[{"family":"Chourey","given":"Shishir"},{"family":"Ye","given":"Qiuji"},{"family":"Reddy","given":"Chintam Nagendra"},{"family":"Wang","given":"Rui"},{"family":"Cossette","given":"Chantal"},{"family":"Gravel","given":"Sylvie"},{"family":"Slobodchikova","given":"Irina"},{"family":"Vuckovic","given":"Dajana"},{"family":"Rokach","given":"Joshua"},{"family":"Powell","given":"William S."}],"issued":{"date-parts":[["2018",7,26]]}}}],"schema":"https://github.com/citation-style-language/schema/raw/master/csl-citation.json"}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54</w:t>
            </w:r>
            <w:r>
              <w:rPr>
                <w:rFonts w:ascii="Aptos Narrow" w:eastAsia="Times New Roman" w:hAnsi="Aptos Narrow" w:cs="Times New Roman"/>
                <w:color w:val="000000"/>
                <w:kern w:val="0"/>
                <w:sz w:val="22"/>
                <w:szCs w:val="22"/>
                <w14:ligatures w14:val="none"/>
              </w:rPr>
              <w:fldChar w:fldCharType="end"/>
            </w:r>
          </w:p>
        </w:tc>
      </w:tr>
      <w:tr w:rsidR="00CA3A28" w:rsidRPr="00367563" w14:paraId="1BADBB08" w14:textId="77777777" w:rsidTr="00CA3A28">
        <w:trPr>
          <w:trHeight w:val="288"/>
        </w:trPr>
        <w:tc>
          <w:tcPr>
            <w:tcW w:w="2695" w:type="dxa"/>
            <w:noWrap/>
            <w:vAlign w:val="bottom"/>
            <w:hideMark/>
          </w:tcPr>
          <w:p w14:paraId="2616BE94"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CP-74,667</w:t>
            </w:r>
          </w:p>
        </w:tc>
        <w:tc>
          <w:tcPr>
            <w:tcW w:w="1330" w:type="dxa"/>
            <w:noWrap/>
            <w:vAlign w:val="bottom"/>
            <w:hideMark/>
          </w:tcPr>
          <w:p w14:paraId="519A0D28"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80</w:t>
            </w:r>
          </w:p>
        </w:tc>
        <w:tc>
          <w:tcPr>
            <w:tcW w:w="960" w:type="dxa"/>
            <w:noWrap/>
            <w:vAlign w:val="bottom"/>
            <w:hideMark/>
          </w:tcPr>
          <w:p w14:paraId="1DF785C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3BD32F3B" w14:textId="01BF11B9"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F46050">
              <w:rPr>
                <w:rFonts w:ascii="Aptos Narrow" w:eastAsia="Times New Roman" w:hAnsi="Aptos Narrow" w:cs="Times New Roman"/>
                <w:color w:val="000000"/>
                <w:kern w:val="0"/>
                <w:sz w:val="22"/>
                <w:szCs w:val="22"/>
                <w14:ligatures w14:val="none"/>
              </w:rPr>
              <w:t>monkey(c)</w:t>
            </w:r>
          </w:p>
        </w:tc>
        <w:tc>
          <w:tcPr>
            <w:tcW w:w="1209" w:type="dxa"/>
            <w:noWrap/>
            <w:vAlign w:val="bottom"/>
            <w:hideMark/>
          </w:tcPr>
          <w:p w14:paraId="2FC7B66A" w14:textId="22AED084"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{"citationID":"5RnmD61o","properties":{"unsorted":false,"formattedCitation":"\\super 7\\nosupersub{}","plainCitation":"7","noteIndex":0},"citationItems":[{"id":1231,"uris":["http://zotero.org/users/7234110/items/6LHWYBAG"],"itemData":{"id":1231,"type":"article-journal","abstract":"The pharmacokinetics of CP-74,667 (7-(8'-methyl-3',8'-diazabicyclo[3.2.1]oct-3'-yl)-1-cyclopropyl-6- fluoro-1,4-dihydro-4-oxo-3-quinolinecarboxylic acid) were studied following oral or parenteral administration in mice, rats, rabbits, dogs, and cynomolgus monkeys. The mean peak levels of CP-74,667 in serum following a single oral dose of 20 mg/kg of body weight were similar in all species, with a range of 3.7 micrograms/ml in mice to 5.6 micrograms/ml in dogs. In contrast, elimination half-lives were species dependent, with mean values of 2.1, 1.8, 4.5, 7.8, and 13.1 h in mice, rats, rabbits, dogs, and monkeys, respectively. The oral bioavailability of CP-74,667 was 100% in dogs and monkeys, as determined by intravenous-oral crossover experiments. The maximum concentration of drug in serum and area under the concentration-time curve (AUC) of CP-74,667 in dogs were proportional to dose over the range of 5 to 40 mg/kg. Accumulation of drug in serum was observed following the administration of four once-a-day doses of 7.1 mg/kg in monkeys (mimicking a 500-mg human dose), with significant increases in half-life, maximum and minimum concentrations of drug in serum, and AUC. The good tissue penetration of CP-74,667 suggested by a volume of distribution in excess of 2 liters/kg in dogs and monkeys was confirmed by tissue distribution studies with the same species, which demonstrated tissue concentrations (except for those in brain tissue) greater than 1.45 times higher than corresponding levels in serum. The mean urinary recoveries of unchanged drug were 17.7% in rats, 7.8% in monkeys, and 4.9% in dogs. Metabolism studies in dogs, following intravenous dosing, indicated that renal excretion of CP-74,667-related materials accounted for 41.6% of the administered dose, while biliary recoveries accounted for 6.8%. The CP-74,667 N-oxide metabolite was the primary drug-related material eliminated via renal excretion (37.2% of dose). The pharmacokinetics of CP-74,667 describe a quinolone with complete oral absorption, linear pharmacokinetics, a long elimination half-life, and wide distribution into tissues.","container-title":"Antimicrobial Agents and Chemotherapy","DOI":"10.1128/aac.36.8.1671","issue":"8","page":"1671-1676","publisher":"American Society for Microbiology","source":"journals.asm.org (Atypon)","title":"Pharmacokinetic studies of CP-74,667, a new quinolone, in laboratory animals","volume":"36","author":[{"family":"Girard","given":"D"},{"family":"Gootz","given":"T D"},{"family":"McGuirk","given":"P R"}],"issued":{"date-parts":[["1992",8]]}}}],"schema":"https://github.com/citation-style-language/schema/raw/master/csl-citation.json"}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B41D8">
              <w:rPr>
                <w:rFonts w:ascii="Aptos Narrow" w:hAnsi="Aptos Narrow" w:cs="Times New Roman"/>
                <w:kern w:val="0"/>
                <w:sz w:val="22"/>
                <w:vertAlign w:val="superscript"/>
              </w:rPr>
              <w:t>7</w:t>
            </w:r>
            <w:r>
              <w:rPr>
                <w:rFonts w:ascii="Aptos Narrow" w:eastAsia="Times New Roman" w:hAnsi="Aptos Narrow" w:cs="Times New Roman"/>
                <w:color w:val="000000"/>
                <w:kern w:val="0"/>
                <w:sz w:val="22"/>
                <w:szCs w:val="22"/>
                <w14:ligatures w14:val="none"/>
              </w:rPr>
              <w:fldChar w:fldCharType="end"/>
            </w:r>
          </w:p>
        </w:tc>
      </w:tr>
      <w:tr w:rsidR="00CA3A28" w:rsidRPr="00367563" w14:paraId="0C5292BF" w14:textId="77777777" w:rsidTr="00CA3A28">
        <w:trPr>
          <w:trHeight w:val="288"/>
        </w:trPr>
        <w:tc>
          <w:tcPr>
            <w:tcW w:w="2695" w:type="dxa"/>
            <w:noWrap/>
            <w:vAlign w:val="bottom"/>
            <w:hideMark/>
          </w:tcPr>
          <w:p w14:paraId="72ECD00F" w14:textId="51F76F0C"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lastRenderedPageBreak/>
              <w:t>Cyclosporin A</w:t>
            </w:r>
          </w:p>
        </w:tc>
        <w:tc>
          <w:tcPr>
            <w:tcW w:w="1330" w:type="dxa"/>
            <w:noWrap/>
            <w:vAlign w:val="bottom"/>
            <w:hideMark/>
          </w:tcPr>
          <w:p w14:paraId="01F6CB7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16</w:t>
            </w:r>
          </w:p>
        </w:tc>
        <w:tc>
          <w:tcPr>
            <w:tcW w:w="960" w:type="dxa"/>
            <w:noWrap/>
            <w:vAlign w:val="bottom"/>
            <w:hideMark/>
          </w:tcPr>
          <w:p w14:paraId="73E812A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292097FE" w14:textId="1D8746AE"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F46050">
              <w:rPr>
                <w:rFonts w:ascii="Aptos Narrow" w:eastAsia="Times New Roman" w:hAnsi="Aptos Narrow" w:cs="Times New Roman"/>
                <w:color w:val="000000"/>
                <w:kern w:val="0"/>
                <w:sz w:val="22"/>
                <w:szCs w:val="22"/>
                <w14:ligatures w14:val="none"/>
              </w:rPr>
              <w:t>monkey(c)</w:t>
            </w:r>
          </w:p>
        </w:tc>
        <w:tc>
          <w:tcPr>
            <w:tcW w:w="1209" w:type="dxa"/>
            <w:noWrap/>
            <w:vAlign w:val="bottom"/>
            <w:hideMark/>
          </w:tcPr>
          <w:p w14:paraId="6273B779" w14:textId="38DFD57E" w:rsidR="00CA3A28" w:rsidRPr="00367563" w:rsidRDefault="000777C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{"citationID":"UbLiENjD","properties":{"unsorted":false,"formattedCitation":"\\super 55\\nosupersub{}","plainCitation":"55","noteIndex":0},"citationItems":[{"id":1334,"uris":["http://zotero.org/users/7234110/items/NWJBWHYT"],"itemData":{"id":1334,"type":"article-journal","abstract":"Despite a recent expansion in the recognition of the potential utility of coproporphyrin (CP) as an endogenous biomarker of organic anion-transporting polypeptide (OATP) 1B activity, there have been few detailed studies of CP’s pharmacokinetic behavior and an overall poor understanding of its pharmacokinetic fate from tissues and excretion. Here, we describe the pharmacokinetics of octadeuterium-labeled coproporphyrin I (CPI-d8) in cynomolgus monkeys following oral and intravenous administration. CPI-d8 has a half-life and bioavailability of 7.6 hours and 3.2%, respectively. Cynomolgus monkeys received oral cyclosporin A (CsA) at 4, 20, and 100 mg/kg which yielded maximum blood concentrations (Cmax) and area under the plasma concentration-time curve (AUC) values of 0.19, 2.5, and 3.8 µM, and 2.7, 10.5, and 26.6 µM·h, respectively. The apparent CsA-dose dependent increase in the AUC ratio of CPI-d8 (1.8, 6.2, and 10.5), CPI (1.1, 1.4, and 4.4), and CPIII (1.1, 1.8, and 4.6) at 4, 20, and 100 mg, respectively. In contrast, the plasma concentrations of CPI and CPIII were generally not affected by intravenous administration of the renal organic anion and cation transporter inhibitors (probenecid and pyrimethamine, respectively). In addition, tritium-labeled coproporphyrin I ([3H]CPI) showed specific and rapid distribution to the liver, intestine, and kidney after an intravenous dose in mice using quantitative whole-body autoradiography. Rifampin markedly reduced the liver and intestinal uptake of [3H]CPI while increasing the kidney uptake. Taken together, these results suggest that hepatic OATP considerably affects the disposition of CPI in animal models, indicating CPI is a sensitive and selective endogenous biomarker of OATP inhibition.\nSIGNIFICANCE STATEMENT\nThis study demonstrated that coproporphyrin I (CPI) has favorable oral absorption, distribution, and elimination profiles in monkeys and mice as an endogenous biomarker. It also demonstrated its sensitivity and selectivity as a probe of organic anion-transporting polypeptide (OATP) 1B activity. The study reports, for the first time, in vivo pharmacokinetics, tissue distribution, sensitivity, and selectivity of CPI as an OATP1B endogenous biomarker in animals. The data provide preclinical support for exploration of its utility as a sensitive and selective circulating OATP biomarker in humans.","container-title":"Drug Metabolism and Disposition","DOI":"10.1124/dmd.120.090670","ISSN":"0090-9556","issue":"8","journalAbbreviation":"Drug Metabolism and Disposition","page":"724-734","source":"ScienceDirect","title":"Absorption and Disposition of Coproporphyrin I (CPI) in Cynomolgus Monkeys and Mice: Pharmacokinetic Evidence to Support the Use of CPI to Inform the Potential for Organic Anion-Transporting Polypeptide Inhibition","title-short":"Absorption and Disposition of Coproporphyrin I (CPI) in Cynomolgus Monkeys and Mice","volume":"48","author":[{"family":"Gu","given":"Xiaomei"},{"family":"Wang","given":"Lifei"},{"family":"Gan","given":"Jinping"},{"family":"Fancher","given":"R. Marcus"},{"family":"Tian","given":"Yuan"},{"family":"Hong","given":"Yang"},{"family":"Lai","given":"Yurong"},{"family":"Sinz","given":"Michael"},{"family":"Shen","given":"Hong"}],"issued":{"date-parts":[["2020",8,1]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777C6">
              <w:rPr>
                <w:rFonts w:ascii="Aptos Narrow" w:hAnsi="Aptos Narrow" w:cs="Times New Roman"/>
                <w:kern w:val="0"/>
                <w:sz w:val="22"/>
                <w:vertAlign w:val="superscript"/>
              </w:rPr>
              <w:t>55</w:t>
            </w:r>
            <w:r>
              <w:rPr>
                <w:rFonts w:ascii="Aptos Narrow" w:eastAsia="Times New Roman" w:hAnsi="Aptos Narrow" w:cs="Times New Roman"/>
                <w:color w:val="000000"/>
                <w:kern w:val="0"/>
                <w:sz w:val="22"/>
                <w:szCs w:val="22"/>
                <w14:ligatures w14:val="none"/>
              </w:rPr>
              <w:fldChar w:fldCharType="end"/>
            </w:r>
          </w:p>
        </w:tc>
      </w:tr>
      <w:tr w:rsidR="00CA3A28" w:rsidRPr="00367563" w14:paraId="7D9E5BC7" w14:textId="77777777" w:rsidTr="00CA3A28">
        <w:trPr>
          <w:trHeight w:val="288"/>
        </w:trPr>
        <w:tc>
          <w:tcPr>
            <w:tcW w:w="2695" w:type="dxa"/>
            <w:noWrap/>
            <w:vAlign w:val="bottom"/>
            <w:hideMark/>
          </w:tcPr>
          <w:p w14:paraId="56D4718B" w14:textId="373E88C9"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Danuglipron</w:t>
            </w:r>
            <w:proofErr w:type="spellEnd"/>
          </w:p>
        </w:tc>
        <w:tc>
          <w:tcPr>
            <w:tcW w:w="1330" w:type="dxa"/>
            <w:noWrap/>
            <w:vAlign w:val="bottom"/>
            <w:hideMark/>
          </w:tcPr>
          <w:p w14:paraId="2F14B844"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35</w:t>
            </w:r>
          </w:p>
        </w:tc>
        <w:tc>
          <w:tcPr>
            <w:tcW w:w="960" w:type="dxa"/>
            <w:noWrap/>
            <w:vAlign w:val="bottom"/>
            <w:hideMark/>
          </w:tcPr>
          <w:p w14:paraId="48EDC93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654D2BE1" w14:textId="205F3602"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F46050">
              <w:rPr>
                <w:rFonts w:ascii="Aptos Narrow" w:eastAsia="Times New Roman" w:hAnsi="Aptos Narrow" w:cs="Times New Roman"/>
                <w:color w:val="000000"/>
                <w:kern w:val="0"/>
                <w:sz w:val="22"/>
                <w:szCs w:val="22"/>
                <w14:ligatures w14:val="none"/>
              </w:rPr>
              <w:t>monkey(c)</w:t>
            </w:r>
          </w:p>
        </w:tc>
        <w:tc>
          <w:tcPr>
            <w:tcW w:w="1209" w:type="dxa"/>
            <w:noWrap/>
            <w:vAlign w:val="bottom"/>
            <w:hideMark/>
          </w:tcPr>
          <w:p w14:paraId="5C993BF7" w14:textId="0A3C2474" w:rsidR="00CA3A28" w:rsidRPr="00367563" w:rsidRDefault="00876D34"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{"citationID":"VMHO8IA2","properties":{"unsorted":false,"formattedCitation":"\\super 23\\nosupersub{}","plainCitation":"23","noteIndex":0},"citationItems":[{"id":1326,"uris":["http://zotero.org/users/7234110/items/ERCC4JLH"],"itemData":{"id":1326,"type":"article-journal","abstract":"Peptide agonists of the glucagon-like peptide-1 receptor (GLP-1R) have revolutionized diabetes therapy, but their use has been limited because they require injection. Herein, we describe the discovery of the orally bioavailable, small-molecule, GLP-1R agonist PF-06882961 (danuglipron). A sensitized high-throughput screen was used to identify 5-fluoropyrimidine-based GLP-1R agonists that were optimized to promote endogenous GLP-1R signaling with nanomolar potency. Incorporation of a carboxylic acid moiety provided considerable GLP-1R potency gains with improved off-target pharmacology and reduced metabolic clearance, ultimately resulting in the identification of danuglipron. Danuglipron increased insulin levels in primates but not rodents, which was explained by receptor mutagensis studies and a cryogenic electron microscope structure that revealed a binding pocket requiring a primate-specific tryptophan 33 residue. Oral administration of danuglipron to healthy humans produced dose-proportional increases in systemic exposure (NCT03309241). This opens an opportunity for oral small-molecule therapies that target the well-validated GLP-1R for metabolic health.","container-title":"Journal of Medicinal Chemistry","DOI":"10.1021/acs.jmedchem.1c01856","ISSN":"0022-2623","issue":"12","journalAbbreviation":"J. Med. Chem.","page":"8208-8226","publisher":"American Chemical Society","source":"ACS Publications","title":"A Small-Molecule Oral Agonist of the Human Glucagon-like Peptide-1 Receptor","volume":"65","author":[{"family":"Griffith","given":"David A."},{"family":"Edmonds","given":"David J."},{"family":"Fortin","given":"Jean-Philippe"},{"family":"Kalgutkar","given":"Amit S."},{"family":"Kuzmiski","given":"J. Brent"},{"family":"Loria","given":"Paula M."},{"family":"Saxena","given":"Aditi R."},{"family":"Bagley","given":"Scott W."},{"family":"Buckeridge","given":"Clare"},{"family":"Curto","given":"John M."},{"family":"Derksen","given":"David R."},{"family":"Dias","given":"João M."},{"family":"Griffor","given":"Matthew C."},{"family":"Han","given":"Seungil"},{"family":"Jackson","given":"V. Margaret"},{"family":"Landis","given":"Margaret S."},{"family":"Lettiere","given":"Daniel"},{"family":"Limberakis","given":"Chris"},{"family":"Liu","given":"Yuhang"},{"family":"Mathiowetz","given":"Alan M."},{"family":"Patel","given":"Jayesh C."},{"family":"Piotrowski","given":"David W."},{"family":"Price","given":"David A."},{"family":"Ruggeri","given":"Roger B."},{"family":"Tess","given":"David A."}],"issued":{"date-parts":[["2022",6,23]]}}}],"schema":"https://github.com/citation-style-language/schema/raw/master/csl-citation.json"}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23</w:t>
            </w:r>
            <w:r>
              <w:rPr>
                <w:rFonts w:ascii="Aptos Narrow" w:eastAsia="Times New Roman" w:hAnsi="Aptos Narrow" w:cs="Times New Roman"/>
                <w:color w:val="000000"/>
                <w:kern w:val="0"/>
                <w:sz w:val="22"/>
                <w:szCs w:val="22"/>
                <w14:ligatures w14:val="none"/>
              </w:rPr>
              <w:fldChar w:fldCharType="end"/>
            </w:r>
          </w:p>
        </w:tc>
      </w:tr>
      <w:tr w:rsidR="00CA3A28" w:rsidRPr="00367563" w14:paraId="4E6E593A" w14:textId="77777777" w:rsidTr="00CA3A28">
        <w:trPr>
          <w:trHeight w:val="288"/>
        </w:trPr>
        <w:tc>
          <w:tcPr>
            <w:tcW w:w="2695" w:type="dxa"/>
            <w:noWrap/>
            <w:vAlign w:val="bottom"/>
            <w:hideMark/>
          </w:tcPr>
          <w:p w14:paraId="3F33D475" w14:textId="6C369A8E"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Danuglipron</w:t>
            </w:r>
            <w:proofErr w:type="spellEnd"/>
          </w:p>
        </w:tc>
        <w:tc>
          <w:tcPr>
            <w:tcW w:w="1330" w:type="dxa"/>
            <w:noWrap/>
            <w:vAlign w:val="bottom"/>
            <w:hideMark/>
          </w:tcPr>
          <w:p w14:paraId="426A6D6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700</w:t>
            </w:r>
          </w:p>
        </w:tc>
        <w:tc>
          <w:tcPr>
            <w:tcW w:w="960" w:type="dxa"/>
            <w:noWrap/>
            <w:vAlign w:val="bottom"/>
            <w:hideMark/>
          </w:tcPr>
          <w:p w14:paraId="07F3437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1A70C1B1" w14:textId="4D9119E2"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F46050">
              <w:rPr>
                <w:rFonts w:ascii="Aptos Narrow" w:eastAsia="Times New Roman" w:hAnsi="Aptos Narrow" w:cs="Times New Roman"/>
                <w:color w:val="000000"/>
                <w:kern w:val="0"/>
                <w:sz w:val="22"/>
                <w:szCs w:val="22"/>
                <w14:ligatures w14:val="none"/>
              </w:rPr>
              <w:t>monkey(c)</w:t>
            </w:r>
          </w:p>
        </w:tc>
        <w:tc>
          <w:tcPr>
            <w:tcW w:w="1209" w:type="dxa"/>
            <w:noWrap/>
            <w:vAlign w:val="bottom"/>
            <w:hideMark/>
          </w:tcPr>
          <w:p w14:paraId="72C36E60" w14:textId="6B4DABF3" w:rsidR="00CA3A28" w:rsidRPr="00367563" w:rsidRDefault="00876D34"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{"citationID":"d8FK1T7R","properties":{"unsorted":false,"formattedCitation":"\\super 23\\nosupersub{}","plainCitation":"23","noteIndex":0},"citationItems":[{"id":1326,"uris":["http://zotero.org/users/7234110/items/ERCC4JLH"],"itemData":{"id":1326,"type":"article-journal","abstract":"Peptide agonists of the glucagon-like peptide-1 receptor (GLP-1R) have revolutionized diabetes therapy, but their use has been limited because they require injection. Herein, we describe the discovery of the orally bioavailable, small-molecule, GLP-1R agonist PF-06882961 (danuglipron). A sensitized high-throughput screen was used to identify 5-fluoropyrimidine-based GLP-1R agonists that were optimized to promote endogenous GLP-1R signaling with nanomolar potency. Incorporation of a carboxylic acid moiety provided considerable GLP-1R potency gains with improved off-target pharmacology and reduced metabolic clearance, ultimately resulting in the identification of danuglipron. Danuglipron increased insulin levels in primates but not rodents, which was explained by receptor mutagensis studies and a cryogenic electron microscope structure that revealed a binding pocket requiring a primate-specific tryptophan 33 residue. Oral administration of danuglipron to healthy humans produced dose-proportional increases in systemic exposure (NCT03309241). This opens an opportunity for oral small-molecule therapies that target the well-validated GLP-1R for metabolic health.","container-title":"Journal of Medicinal Chemistry","DOI":"10.1021/acs.jmedchem.1c01856","ISSN":"0022-2623","issue":"12","journalAbbreviation":"J. Med. Chem.","page":"8208-8226","publisher":"American Chemical Society","source":"ACS Publications","title":"A Small-Molecule Oral Agonist of the Human Glucagon-like Peptide-1 Receptor","volume":"65","author":[{"family":"Griffith","given":"David A."},{"family":"Edmonds","given":"David J."},{"family":"Fortin","given":"Jean-Philippe"},{"family":"Kalgutkar","given":"Amit S."},{"family":"Kuzmiski","given":"J. Brent"},{"family":"Loria","given":"Paula M."},{"family":"Saxena","given":"Aditi R."},{"family":"Bagley","given":"Scott W."},{"family":"Buckeridge","given":"Clare"},{"family":"Curto","given":"John M."},{"family":"Derksen","given":"David R."},{"family":"Dias","given":"João M."},{"family":"Griffor","given":"Matthew C."},{"family":"Han","given":"Seungil"},{"family":"Jackson","given":"V. Margaret"},{"family":"Landis","given":"Margaret S."},{"family":"Lettiere","given":"Daniel"},{"family":"Limberakis","given":"Chris"},{"family":"Liu","given":"Yuhang"},{"family":"Mathiowetz","given":"Alan M."},{"family":"Patel","given":"Jayesh C."},{"family":"Piotrowski","given":"David W."},{"family":"Price","given":"David A."},{"family":"Ruggeri","given":"Roger B."},{"family":"Tess","given":"David A."}],"issued":{"date-parts":[["2022",6,23]]}}}],"schema":"https://github.com/citation-style-language/schema/raw/master/csl-citation.json"}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23</w:t>
            </w:r>
            <w:r>
              <w:rPr>
                <w:rFonts w:ascii="Aptos Narrow" w:eastAsia="Times New Roman" w:hAnsi="Aptos Narrow" w:cs="Times New Roman"/>
                <w:color w:val="000000"/>
                <w:kern w:val="0"/>
                <w:sz w:val="22"/>
                <w:szCs w:val="22"/>
                <w14:ligatures w14:val="none"/>
              </w:rPr>
              <w:fldChar w:fldCharType="end"/>
            </w:r>
          </w:p>
        </w:tc>
      </w:tr>
      <w:tr w:rsidR="00CA3A28" w:rsidRPr="00367563" w14:paraId="72EDBE69" w14:textId="77777777" w:rsidTr="00CA3A28">
        <w:trPr>
          <w:trHeight w:val="288"/>
        </w:trPr>
        <w:tc>
          <w:tcPr>
            <w:tcW w:w="2695" w:type="dxa"/>
            <w:noWrap/>
            <w:vAlign w:val="bottom"/>
            <w:hideMark/>
          </w:tcPr>
          <w:p w14:paraId="7A61E5C0" w14:textId="1C11533C"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Danuglipron</w:t>
            </w:r>
            <w:proofErr w:type="spellEnd"/>
          </w:p>
        </w:tc>
        <w:tc>
          <w:tcPr>
            <w:tcW w:w="1330" w:type="dxa"/>
            <w:noWrap/>
            <w:vAlign w:val="bottom"/>
            <w:hideMark/>
          </w:tcPr>
          <w:p w14:paraId="18B7F53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7</w:t>
            </w:r>
          </w:p>
        </w:tc>
        <w:tc>
          <w:tcPr>
            <w:tcW w:w="960" w:type="dxa"/>
            <w:noWrap/>
            <w:vAlign w:val="bottom"/>
            <w:hideMark/>
          </w:tcPr>
          <w:p w14:paraId="6447A349" w14:textId="1DF6BBA6"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2B5012F8" w14:textId="3BD8935D"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F46050">
              <w:rPr>
                <w:rFonts w:ascii="Aptos Narrow" w:eastAsia="Times New Roman" w:hAnsi="Aptos Narrow" w:cs="Times New Roman"/>
                <w:color w:val="000000"/>
                <w:kern w:val="0"/>
                <w:sz w:val="22"/>
                <w:szCs w:val="22"/>
                <w14:ligatures w14:val="none"/>
              </w:rPr>
              <w:t>monkey(c)</w:t>
            </w:r>
          </w:p>
        </w:tc>
        <w:tc>
          <w:tcPr>
            <w:tcW w:w="1209" w:type="dxa"/>
            <w:noWrap/>
            <w:vAlign w:val="bottom"/>
            <w:hideMark/>
          </w:tcPr>
          <w:p w14:paraId="39F479B4" w14:textId="27D33FA1" w:rsidR="00CA3A28" w:rsidRPr="00367563" w:rsidRDefault="00876D34"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0777C6">
              <w:rPr>
                <w:rFonts w:ascii="Aptos Narrow" w:eastAsia="Times New Roman" w:hAnsi="Aptos Narrow" w:cs="Times New Roman"/>
                <w:color w:val="000000"/>
                <w:kern w:val="0"/>
                <w:sz w:val="22"/>
                <w:szCs w:val="22"/>
                <w14:ligatures w14:val="none"/>
              </w:rPr>
              <w:instrText xml:space="preserve"> ADDIN ZOTERO_ITEM CSL_CITATION {"citationID":"U5Fl8ihC","properties":{"unsorted":false,"formattedCitation":"\\super 23\\nosupersub{}","plainCitation":"23","noteIndex":0},"citationItems":[{"id":1326,"uris":["http://zotero.org/users/7234110/items/ERCC4JLH"],"itemData":{"id":1326,"type":"article-journal","abstract":"Peptide agonists of the glucagon-like peptide-1 receptor (GLP-1R) have revolutionized diabetes therapy, but their use has been limited because they require injection. Herein, we describe the discovery of the orally bioavailable, small-molecule, GLP-1R agonist PF-06882961 (danuglipron). A sensitized high-throughput screen was used to identify 5-fluoropyrimidine-based GLP-1R agonists that were optimized to promote endogenous GLP-1R signaling with nanomolar potency. Incorporation of a carboxylic acid moiety provided considerable GLP-1R potency gains with improved off-target pharmacology and reduced metabolic clearance, ultimately resulting in the identification of danuglipron. Danuglipron increased insulin levels in primates but not rodents, which was explained by receptor mutagensis studies and a cryogenic electron microscope structure that revealed a binding pocket requiring a primate-specific tryptophan 33 residue. Oral administration of danuglipron to healthy humans produced dose-proportional increases in systemic exposure (NCT03309241). This opens an opportunity for oral small-molecule therapies that target the well-validated GLP-1R for metabolic health.","container-title":"Journal of Medicinal Chemistry","DOI":"10.1021/acs.jmedchem.1c01856","ISSN":"0022-2623","issue":"12","journalAbbreviation":"J. Med. Chem.","page":"8208-8226","publisher":"American Chemical Society","source":"ACS Publications","title":"A Small-Molecule Oral Agonist of the Human Glucagon-like Peptide-1 Receptor","volume":"65","author":[{"family":"Griffith","given":"David A."},{"family":"Edmonds","given":"David J."},{"family":"Fortin","given":"Jean-Philippe"},{"family":"Kalgutkar","given":"Amit S."},{"family":"Kuzmiski","given":"J. Brent"},{"family":"Loria","given":"Paula M."},{"family":"Saxena","given":"Aditi R."},{"family":"Bagley","given":"Scott W."},{"family":"Buckeridge","given":"Clare"},{"family":"Curto","given":"John M."},{"family":"Derksen","given":"David R."},{"family":"Dias","given":"João M."},{"family":"Griffor","given":"Matthew C."},{"family":"Han","given":"Seungil"},{"family":"Jackson","given":"V. Margaret"},{"family":"Landis","given":"Margaret S."},{"family":"Lettiere","given":"Daniel"},{"family":"Limberakis","given":"Chris"},{"family":"Liu","given":"Yuhang"},{"family":"Mathiowetz","given":"Alan M."},{"family":"Patel","given":"Jayesh C."},{"family":"Piotrowski","given":"David W."},{"family":"Price","given":"David A."},{"family":"Ruggeri","given":"Roger B."},{"family":"Tess","given":"David A."}],"issued":{"date-parts":[["2022",6,23]]}}}],"schema":"https://github.com/citation-style-language/schema/raw/master/csl-citation.json"}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0777C6" w:rsidRPr="000777C6">
              <w:rPr>
                <w:rFonts w:ascii="Aptos Narrow" w:hAnsi="Aptos Narrow" w:cs="Times New Roman"/>
                <w:kern w:val="0"/>
                <w:sz w:val="22"/>
                <w:vertAlign w:val="superscript"/>
              </w:rPr>
              <w:t>23</w:t>
            </w:r>
            <w:r>
              <w:rPr>
                <w:rFonts w:ascii="Aptos Narrow" w:eastAsia="Times New Roman" w:hAnsi="Aptos Narrow" w:cs="Times New Roman"/>
                <w:color w:val="000000"/>
                <w:kern w:val="0"/>
                <w:sz w:val="22"/>
                <w:szCs w:val="22"/>
                <w14:ligatures w14:val="none"/>
              </w:rPr>
              <w:fldChar w:fldCharType="end"/>
            </w:r>
          </w:p>
        </w:tc>
      </w:tr>
      <w:tr w:rsidR="00CA3A28" w:rsidRPr="00367563" w14:paraId="2D67E904" w14:textId="77777777" w:rsidTr="00CA3A28">
        <w:trPr>
          <w:trHeight w:val="288"/>
        </w:trPr>
        <w:tc>
          <w:tcPr>
            <w:tcW w:w="2695" w:type="dxa"/>
            <w:noWrap/>
            <w:vAlign w:val="bottom"/>
            <w:hideMark/>
          </w:tcPr>
          <w:p w14:paraId="25AEC20D"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E2074</w:t>
            </w:r>
          </w:p>
        </w:tc>
        <w:tc>
          <w:tcPr>
            <w:tcW w:w="1330" w:type="dxa"/>
            <w:noWrap/>
            <w:vAlign w:val="bottom"/>
            <w:hideMark/>
          </w:tcPr>
          <w:p w14:paraId="3C572299"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12</w:t>
            </w:r>
          </w:p>
        </w:tc>
        <w:tc>
          <w:tcPr>
            <w:tcW w:w="960" w:type="dxa"/>
            <w:noWrap/>
            <w:vAlign w:val="bottom"/>
            <w:hideMark/>
          </w:tcPr>
          <w:p w14:paraId="75D7120F"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56DCB86B" w14:textId="78CF7A82"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F46050">
              <w:rPr>
                <w:rFonts w:ascii="Aptos Narrow" w:eastAsia="Times New Roman" w:hAnsi="Aptos Narrow" w:cs="Times New Roman"/>
                <w:color w:val="000000"/>
                <w:kern w:val="0"/>
                <w:sz w:val="22"/>
                <w:szCs w:val="22"/>
                <w14:ligatures w14:val="none"/>
              </w:rPr>
              <w:t>monkey(c)</w:t>
            </w:r>
          </w:p>
        </w:tc>
        <w:tc>
          <w:tcPr>
            <w:tcW w:w="1209" w:type="dxa"/>
            <w:noWrap/>
            <w:vAlign w:val="bottom"/>
            <w:hideMark/>
          </w:tcPr>
          <w:p w14:paraId="6C9BBB28" w14:textId="0B1118E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{"citationID":"5Qki6kGS","properties":{"unsorted":false,"formattedCitation":"\\super 8\\nosupersub{}","plainCitation":"8","noteIndex":0},"citationItems":[{"id":1233,"uris":["http://zotero.org/users/7234110/items/BHQ3KXRN"],"itemData":{"id":1233,"type":"webpage","title":"Species Difference in the Mechanism of Nonlinear Pharmacokinetics of E2074, a Novel Sodium Channel Inhibitor, in Rats, Dogs, and Monkeys - Drug Metabolism and Disposition","URL":"https://dmd.aspetjournals.org/article/S0090-9556(24)11579-6/abstract","accessed":{"date-parts":[["2026",6,9]]}}}],"schema":"https://github.com/citation-style-language/schema/raw/master/csl-citation.json"}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B41D8">
              <w:rPr>
                <w:rFonts w:ascii="Aptos Narrow" w:hAnsi="Aptos Narrow" w:cs="Times New Roman"/>
                <w:kern w:val="0"/>
                <w:sz w:val="22"/>
                <w:vertAlign w:val="superscript"/>
              </w:rPr>
              <w:t>8</w:t>
            </w:r>
            <w:r>
              <w:rPr>
                <w:rFonts w:ascii="Aptos Narrow" w:eastAsia="Times New Roman" w:hAnsi="Aptos Narrow" w:cs="Times New Roman"/>
                <w:color w:val="000000"/>
                <w:kern w:val="0"/>
                <w:sz w:val="22"/>
                <w:szCs w:val="22"/>
                <w14:ligatures w14:val="none"/>
              </w:rPr>
              <w:fldChar w:fldCharType="end"/>
            </w:r>
          </w:p>
        </w:tc>
      </w:tr>
      <w:tr w:rsidR="00CA3A28" w:rsidRPr="00367563" w14:paraId="14B2B5E1" w14:textId="77777777" w:rsidTr="00CA3A28">
        <w:trPr>
          <w:trHeight w:val="288"/>
        </w:trPr>
        <w:tc>
          <w:tcPr>
            <w:tcW w:w="2695" w:type="dxa"/>
            <w:noWrap/>
            <w:vAlign w:val="bottom"/>
            <w:hideMark/>
          </w:tcPr>
          <w:p w14:paraId="0662FF1F"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E2074</w:t>
            </w:r>
          </w:p>
        </w:tc>
        <w:tc>
          <w:tcPr>
            <w:tcW w:w="1330" w:type="dxa"/>
            <w:noWrap/>
            <w:vAlign w:val="bottom"/>
            <w:hideMark/>
          </w:tcPr>
          <w:p w14:paraId="1EE1F26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40</w:t>
            </w:r>
          </w:p>
        </w:tc>
        <w:tc>
          <w:tcPr>
            <w:tcW w:w="960" w:type="dxa"/>
            <w:noWrap/>
            <w:vAlign w:val="bottom"/>
            <w:hideMark/>
          </w:tcPr>
          <w:p w14:paraId="5D1C037F"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16BF08F0" w14:textId="14EEC51D"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F46050">
              <w:rPr>
                <w:rFonts w:ascii="Aptos Narrow" w:eastAsia="Times New Roman" w:hAnsi="Aptos Narrow" w:cs="Times New Roman"/>
                <w:color w:val="000000"/>
                <w:kern w:val="0"/>
                <w:sz w:val="22"/>
                <w:szCs w:val="22"/>
                <w14:ligatures w14:val="none"/>
              </w:rPr>
              <w:t>monkey(c)</w:t>
            </w:r>
          </w:p>
        </w:tc>
        <w:tc>
          <w:tcPr>
            <w:tcW w:w="1209" w:type="dxa"/>
            <w:noWrap/>
            <w:vAlign w:val="bottom"/>
            <w:hideMark/>
          </w:tcPr>
          <w:p w14:paraId="39C6A4F2" w14:textId="07F5D8C8"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{"citationID":"bTyOgigm","properties":{"unsorted":false,"formattedCitation":"\\super 8\\nosupersub{}","plainCitation":"8","noteIndex":0},"citationItems":[{"id":1233,"uris":["http://zotero.org/users/7234110/items/BHQ3KXRN"],"itemData":{"id":1233,"type":"webpage","title":"Species Difference in the Mechanism of Nonlinear Pharmacokinetics of E2074, a Novel Sodium Channel Inhibitor, in Rats, Dogs, and Monkeys - Drug Metabolism and Disposition","URL":"https://dmd.aspetjournals.org/article/S0090-9556(24)11579-6/abstract","accessed":{"date-parts":[["2026",6,9]]}}}],"schema":"https://github.com/citation-style-language/schema/raw/master/csl-citation.json"}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B41D8">
              <w:rPr>
                <w:rFonts w:ascii="Aptos Narrow" w:hAnsi="Aptos Narrow" w:cs="Times New Roman"/>
                <w:kern w:val="0"/>
                <w:sz w:val="22"/>
                <w:vertAlign w:val="superscript"/>
              </w:rPr>
              <w:t>8</w:t>
            </w:r>
            <w:r>
              <w:rPr>
                <w:rFonts w:ascii="Aptos Narrow" w:eastAsia="Times New Roman" w:hAnsi="Aptos Narrow" w:cs="Times New Roman"/>
                <w:color w:val="000000"/>
                <w:kern w:val="0"/>
                <w:sz w:val="22"/>
                <w:szCs w:val="22"/>
                <w14:ligatures w14:val="none"/>
              </w:rPr>
              <w:fldChar w:fldCharType="end"/>
            </w:r>
          </w:p>
        </w:tc>
      </w:tr>
      <w:tr w:rsidR="00CA3A28" w:rsidRPr="00367563" w14:paraId="786D7C96" w14:textId="77777777" w:rsidTr="00CA3A28">
        <w:trPr>
          <w:trHeight w:val="288"/>
        </w:trPr>
        <w:tc>
          <w:tcPr>
            <w:tcW w:w="2695" w:type="dxa"/>
            <w:noWrap/>
            <w:vAlign w:val="bottom"/>
            <w:hideMark/>
          </w:tcPr>
          <w:p w14:paraId="26F823AD"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E2074</w:t>
            </w:r>
          </w:p>
        </w:tc>
        <w:tc>
          <w:tcPr>
            <w:tcW w:w="1330" w:type="dxa"/>
            <w:noWrap/>
            <w:vAlign w:val="bottom"/>
            <w:hideMark/>
          </w:tcPr>
          <w:p w14:paraId="187D5A6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4</w:t>
            </w:r>
          </w:p>
        </w:tc>
        <w:tc>
          <w:tcPr>
            <w:tcW w:w="960" w:type="dxa"/>
            <w:noWrap/>
            <w:vAlign w:val="bottom"/>
            <w:hideMark/>
          </w:tcPr>
          <w:p w14:paraId="1C01B786" w14:textId="3FDB1F49"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08EA5990" w14:textId="0EC4117D"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F46050">
              <w:rPr>
                <w:rFonts w:ascii="Aptos Narrow" w:eastAsia="Times New Roman" w:hAnsi="Aptos Narrow" w:cs="Times New Roman"/>
                <w:color w:val="000000"/>
                <w:kern w:val="0"/>
                <w:sz w:val="22"/>
                <w:szCs w:val="22"/>
                <w14:ligatures w14:val="none"/>
              </w:rPr>
              <w:t>monkey(c)</w:t>
            </w:r>
          </w:p>
        </w:tc>
        <w:tc>
          <w:tcPr>
            <w:tcW w:w="1209" w:type="dxa"/>
            <w:noWrap/>
            <w:vAlign w:val="bottom"/>
            <w:hideMark/>
          </w:tcPr>
          <w:p w14:paraId="217AA089" w14:textId="0C5E389A"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{"citationID":"FRCtGVW2","properties":{"unsorted":false,"formattedCitation":"\\super 8\\nosupersub{}","plainCitation":"8","noteIndex":0},"citationItems":[{"id":1233,"uris":["http://zotero.org/users/7234110/items/BHQ3KXRN"],"itemData":{"id":1233,"type":"webpage","title":"Species Difference in the Mechanism of Nonlinear Pharmacokinetics of E2074, a Novel Sodium Channel Inhibitor, in Rats, Dogs, and Monkeys - Drug Metabolism and Disposition","URL":"https://dmd.aspetjournals.org/article/S0090-9556(24)11579-6/abstract","accessed":{"date-parts":[["2026",6,9]]}}}],"schema":"https://github.com/citation-style-language/schema/raw/master/csl-citation.json"}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B41D8">
              <w:rPr>
                <w:rFonts w:ascii="Aptos Narrow" w:hAnsi="Aptos Narrow" w:cs="Times New Roman"/>
                <w:kern w:val="0"/>
                <w:sz w:val="22"/>
                <w:vertAlign w:val="superscript"/>
              </w:rPr>
              <w:t>8</w:t>
            </w:r>
            <w:r>
              <w:rPr>
                <w:rFonts w:ascii="Aptos Narrow" w:eastAsia="Times New Roman" w:hAnsi="Aptos Narrow" w:cs="Times New Roman"/>
                <w:color w:val="000000"/>
                <w:kern w:val="0"/>
                <w:sz w:val="22"/>
                <w:szCs w:val="22"/>
                <w14:ligatures w14:val="none"/>
              </w:rPr>
              <w:fldChar w:fldCharType="end"/>
            </w:r>
          </w:p>
        </w:tc>
      </w:tr>
      <w:tr w:rsidR="00CA3A28" w:rsidRPr="00367563" w14:paraId="5E11FD80" w14:textId="77777777" w:rsidTr="00CA3A28">
        <w:trPr>
          <w:trHeight w:val="288"/>
        </w:trPr>
        <w:tc>
          <w:tcPr>
            <w:tcW w:w="2695" w:type="dxa"/>
            <w:noWrap/>
            <w:vAlign w:val="bottom"/>
            <w:hideMark/>
          </w:tcPr>
          <w:p w14:paraId="1B517803" w14:textId="1DD2E56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Ledipasvir</w:t>
            </w:r>
          </w:p>
        </w:tc>
        <w:tc>
          <w:tcPr>
            <w:tcW w:w="1330" w:type="dxa"/>
            <w:noWrap/>
            <w:vAlign w:val="bottom"/>
            <w:hideMark/>
          </w:tcPr>
          <w:p w14:paraId="1F75C5C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4</w:t>
            </w:r>
          </w:p>
        </w:tc>
        <w:tc>
          <w:tcPr>
            <w:tcW w:w="960" w:type="dxa"/>
            <w:noWrap/>
            <w:vAlign w:val="bottom"/>
            <w:hideMark/>
          </w:tcPr>
          <w:p w14:paraId="043085F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548EEF39" w14:textId="261CB1B1"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F46050">
              <w:rPr>
                <w:rFonts w:ascii="Aptos Narrow" w:eastAsia="Times New Roman" w:hAnsi="Aptos Narrow" w:cs="Times New Roman"/>
                <w:color w:val="000000"/>
                <w:kern w:val="0"/>
                <w:sz w:val="22"/>
                <w:szCs w:val="22"/>
                <w14:ligatures w14:val="none"/>
              </w:rPr>
              <w:t>monkey(c)</w:t>
            </w:r>
          </w:p>
        </w:tc>
        <w:tc>
          <w:tcPr>
            <w:tcW w:w="1209" w:type="dxa"/>
            <w:noWrap/>
            <w:vAlign w:val="bottom"/>
            <w:hideMark/>
          </w:tcPr>
          <w:p w14:paraId="0A7C4FE7" w14:textId="4F87C56F" w:rsidR="00CA3A28" w:rsidRPr="00367563" w:rsidRDefault="00C52F87"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{"citationID":"E6Yph7CH","properties":{"unsorted":false,"formattedCitation":"\\super 10\\nosupersub{}","plainCitation":"10","noteIndex":0},"citationItems":[{"id":1248,"uris":["http://zotero.org/users/7234110/items/LQV7HY4X"],"itemData":{"id":1248,"type":"article-journal","abstract":"A new class of highly potent NS5A inhibitors with an unsymmetric benzimidazole-difluorofluorene-imidazole core and distal [2.2.1]azabicyclic ring system was discovered. Optimization of antiviral potency and pharmacokinetics led to the identification of 39 (ledipasvir, GS-5885). Compound 39 (GT1a replicon EC50 = 31 pM) has an extended plasma half-life of 37–45 h in healthy volunteers and produces a rapid &gt;3 log viral load reduction in monotherapy at oral doses of 3 mg or greater with once-daily dosing in genotype 1a HCV-infected patients. 39 has been shown to be safe and efficacious, with SVR12 rates up to 100% when used in combination with direct-acting antivirals having complementary mechanisms.","container-title":"Journal of Medicinal Chemistry","DOI":"10.1021/jm401499g","ISSN":"0022-2623","issue":"5","journalAbbreviation":"J. Med. Chem.","page":"2033-2046","publisher":"American Chemical Society","source":"ACS Publications","title":"Discovery of Ledipasvir (GS-5885): A Potent, Once-Daily Oral NS5A Inhibitor for the Treatment of Hepatitis C Virus Infection","title-short":"Discovery of Ledipasvir (GS-5885)","volume":"57","author":[{"family":"Link","given":"John O."},{"family":"Taylor","given":"James G."},{"family":"Xu","given":"Lianhong"},{"family":"Mitchell","given":"Michael"},{"family":"Guo","given":"Hongyan"},{"family":"Liu","given":"Hongtao"},{"family":"Kato","given":"Darryl"},{"family":"Kirschberg","given":"Thorsten"},{"family":"Sun","given":"Jianyu"},{"family":"Squires","given":"Neil"},{"family":"Parrish","given":"Jay"},{"family":"Keller","given":"Terry"},{"family":"Yang","given":"Zheng-Yu"},{"family":"Yang","given":"Chris"},{"family":"Matles","given":"Mike"},{"family":"Wang","given":"Yujin"},{"family":"Wang","given":"Kelly"},{"family":"Cheng","given":"Guofeng"},{"family":"Tian","given":"Yang"},{"family":"Mogalian","given":"Erik"},{"family":"Mondou","given":"Elsa"},{"family":"Cornpropst","given":"Melanie"},{"family":"Perry","given":"Jason"},{"family":"Desai","given":"Manoj C."}],"issued":{"date-parts":[["2014",3,13]]}}}],"schema":"https://github.com/citation-style-language/schema/raw/master/csl-citation.json"}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C52F87">
              <w:rPr>
                <w:rFonts w:ascii="Aptos Narrow" w:hAnsi="Aptos Narrow" w:cs="Times New Roman"/>
                <w:kern w:val="0"/>
                <w:sz w:val="22"/>
                <w:vertAlign w:val="superscript"/>
              </w:rPr>
              <w:t>10</w:t>
            </w:r>
            <w:r>
              <w:rPr>
                <w:rFonts w:ascii="Aptos Narrow" w:eastAsia="Times New Roman" w:hAnsi="Aptos Narrow" w:cs="Times New Roman"/>
                <w:color w:val="000000"/>
                <w:kern w:val="0"/>
                <w:sz w:val="22"/>
                <w:szCs w:val="22"/>
                <w14:ligatures w14:val="none"/>
              </w:rPr>
              <w:fldChar w:fldCharType="end"/>
            </w:r>
          </w:p>
        </w:tc>
      </w:tr>
      <w:tr w:rsidR="00CA3A28" w:rsidRPr="00367563" w14:paraId="0B77C81C" w14:textId="77777777" w:rsidTr="00CA3A28">
        <w:trPr>
          <w:trHeight w:val="288"/>
        </w:trPr>
        <w:tc>
          <w:tcPr>
            <w:tcW w:w="2695" w:type="dxa"/>
            <w:noWrap/>
            <w:vAlign w:val="bottom"/>
            <w:hideMark/>
          </w:tcPr>
          <w:p w14:paraId="7336F442" w14:textId="18C3B9C0"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Ledipasvir</w:t>
            </w:r>
          </w:p>
        </w:tc>
        <w:tc>
          <w:tcPr>
            <w:tcW w:w="1330" w:type="dxa"/>
            <w:noWrap/>
            <w:vAlign w:val="bottom"/>
            <w:hideMark/>
          </w:tcPr>
          <w:p w14:paraId="1E45833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w:t>
            </w:r>
          </w:p>
        </w:tc>
        <w:tc>
          <w:tcPr>
            <w:tcW w:w="960" w:type="dxa"/>
            <w:noWrap/>
            <w:vAlign w:val="bottom"/>
            <w:hideMark/>
          </w:tcPr>
          <w:p w14:paraId="6BC866FE" w14:textId="0381416B"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02240215" w14:textId="16BDC8DB"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F46050">
              <w:rPr>
                <w:rFonts w:ascii="Aptos Narrow" w:eastAsia="Times New Roman" w:hAnsi="Aptos Narrow" w:cs="Times New Roman"/>
                <w:color w:val="000000"/>
                <w:kern w:val="0"/>
                <w:sz w:val="22"/>
                <w:szCs w:val="22"/>
                <w14:ligatures w14:val="none"/>
              </w:rPr>
              <w:t>monkey(c)</w:t>
            </w:r>
          </w:p>
        </w:tc>
        <w:tc>
          <w:tcPr>
            <w:tcW w:w="1209" w:type="dxa"/>
            <w:noWrap/>
            <w:vAlign w:val="bottom"/>
            <w:hideMark/>
          </w:tcPr>
          <w:p w14:paraId="3A709102" w14:textId="33F1A0F8" w:rsidR="00CA3A28" w:rsidRPr="00367563" w:rsidRDefault="00C52F87"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{"citationID":"FvYPHqOw","properties":{"unsorted":false,"formattedCitation":"\\super 10\\nosupersub{}","plainCitation":"10","noteIndex":0},"citationItems":[{"id":1248,"uris":["http://zotero.org/users/7234110/items/LQV7HY4X"],"itemData":{"id":1248,"type":"article-journal","abstract":"A new class of highly potent NS5A inhibitors with an unsymmetric benzimidazole-difluorofluorene-imidazole core and distal [2.2.1]azabicyclic ring system was discovered. Optimization of antiviral potency and pharmacokinetics led to the identification of 39 (ledipasvir, GS-5885). Compound 39 (GT1a replicon EC50 = 31 pM) has an extended plasma half-life of 37–45 h in healthy volunteers and produces a rapid &gt;3 log viral load reduction in monotherapy at oral doses of 3 mg or greater with once-daily dosing in genotype 1a HCV-infected patients. 39 has been shown to be safe and efficacious, with SVR12 rates up to 100% when used in combination with direct-acting antivirals having complementary mechanisms.","container-title":"Journal of Medicinal Chemistry","DOI":"10.1021/jm401499g","ISSN":"0022-2623","issue":"5","journalAbbreviation":"J. Med. Chem.","page":"2033-2046","publisher":"American Chemical Society","source":"ACS Publications","title":"Discovery of Ledipasvir (GS-5885): A Potent, Once-Daily Oral NS5A Inhibitor for the Treatment of Hepatitis C Virus Infection","title-short":"Discovery of Ledipasvir (GS-5885)","volume":"57","author":[{"family":"Link","given":"John O."},{"family":"Taylor","given":"James G."},{"family":"Xu","given":"Lianhong"},{"family":"Mitchell","given":"Michael"},{"family":"Guo","given":"Hongyan"},{"family":"Liu","given":"Hongtao"},{"family":"Kato","given":"Darryl"},{"family":"Kirschberg","given":"Thorsten"},{"family":"Sun","given":"Jianyu"},{"family":"Squires","given":"Neil"},{"family":"Parrish","given":"Jay"},{"family":"Keller","given":"Terry"},{"family":"Yang","given":"Zheng-Yu"},{"family":"Yang","given":"Chris"},{"family":"Matles","given":"Mike"},{"family":"Wang","given":"Yujin"},{"family":"Wang","given":"Kelly"},{"family":"Cheng","given":"Guofeng"},{"family":"Tian","given":"Yang"},{"family":"Mogalian","given":"Erik"},{"family":"Mondou","given":"Elsa"},{"family":"Cornpropst","given":"Melanie"},{"family":"Perry","given":"Jason"},{"family":"Desai","given":"Manoj C."}],"issued":{"date-parts":[["2014",3,13]]}}}],"schema":"https://github.com/citation-style-language/schema/raw/master/csl-citation.json"}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C52F87">
              <w:rPr>
                <w:rFonts w:ascii="Aptos Narrow" w:hAnsi="Aptos Narrow" w:cs="Times New Roman"/>
                <w:kern w:val="0"/>
                <w:sz w:val="22"/>
                <w:vertAlign w:val="superscript"/>
              </w:rPr>
              <w:t>10</w:t>
            </w:r>
            <w:r>
              <w:rPr>
                <w:rFonts w:ascii="Aptos Narrow" w:eastAsia="Times New Roman" w:hAnsi="Aptos Narrow" w:cs="Times New Roman"/>
                <w:color w:val="000000"/>
                <w:kern w:val="0"/>
                <w:sz w:val="22"/>
                <w:szCs w:val="22"/>
                <w14:ligatures w14:val="none"/>
              </w:rPr>
              <w:fldChar w:fldCharType="end"/>
            </w:r>
          </w:p>
        </w:tc>
      </w:tr>
      <w:tr w:rsidR="00CA3A28" w:rsidRPr="00367563" w14:paraId="5FFCE60D" w14:textId="77777777" w:rsidTr="00CA3A28">
        <w:trPr>
          <w:trHeight w:val="288"/>
        </w:trPr>
        <w:tc>
          <w:tcPr>
            <w:tcW w:w="2695" w:type="dxa"/>
            <w:noWrap/>
            <w:vAlign w:val="bottom"/>
            <w:hideMark/>
          </w:tcPr>
          <w:p w14:paraId="0D447E24" w14:textId="7B8EDF69"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Muraglitazar</w:t>
            </w:r>
          </w:p>
        </w:tc>
        <w:tc>
          <w:tcPr>
            <w:tcW w:w="1330" w:type="dxa"/>
            <w:noWrap/>
            <w:vAlign w:val="bottom"/>
            <w:hideMark/>
          </w:tcPr>
          <w:p w14:paraId="17A7E5C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8</w:t>
            </w:r>
          </w:p>
        </w:tc>
        <w:tc>
          <w:tcPr>
            <w:tcW w:w="960" w:type="dxa"/>
            <w:noWrap/>
            <w:vAlign w:val="bottom"/>
            <w:hideMark/>
          </w:tcPr>
          <w:p w14:paraId="1F25B2D8"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044AD5E0" w14:textId="6B48E15F"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046636">
              <w:rPr>
                <w:rFonts w:ascii="Aptos Narrow" w:eastAsia="Times New Roman" w:hAnsi="Aptos Narrow" w:cs="Times New Roman"/>
                <w:color w:val="000000"/>
                <w:kern w:val="0"/>
                <w:sz w:val="22"/>
                <w:szCs w:val="22"/>
                <w14:ligatures w14:val="none"/>
              </w:rPr>
              <w:t>monkey(c)</w:t>
            </w:r>
          </w:p>
        </w:tc>
        <w:tc>
          <w:tcPr>
            <w:tcW w:w="1209" w:type="dxa"/>
            <w:noWrap/>
            <w:vAlign w:val="bottom"/>
            <w:hideMark/>
          </w:tcPr>
          <w:p w14:paraId="45FB97D7" w14:textId="0A35E642" w:rsidR="00CA3A28" w:rsidRPr="00367563" w:rsidRDefault="00B9660C"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876D34">
              <w:rPr>
                <w:rFonts w:ascii="Aptos Narrow" w:eastAsia="Times New Roman" w:hAnsi="Aptos Narrow" w:cs="Times New Roman"/>
                <w:color w:val="000000"/>
                <w:kern w:val="0"/>
                <w:sz w:val="22"/>
                <w:szCs w:val="22"/>
                <w14:ligatures w14:val="none"/>
              </w:rPr>
              <w:instrText xml:space="preserve"> ADDIN ZOTERO_ITEM CSL_CITATION {"citationID":"k9VoLIEq","properties":{"unsorted":false,"formattedCitation":"\\super 11\\nosupersub{}","plainCitation":"11","noteIndex":0},"citationItems":[{"id":1324,"uris":["http://zotero.org/users/7234110/items/YUR8JUE9"],"itemData":{"id":1324,"type":"article-journal","container-title":"Drug Metabolism and Disposition","DOI":"10.1124/dmd.106.012450","ISSN":"0090-9556, 1521-009X","issue":"1","journalAbbreviation":"Drug Metabolism and Disposition","language":"English","page":"150-167","PMID":"17062777","publisher":"Elsevier","source":"dmd.aspetjournals.org","title":"Comparative Metabolism of Radiolabeled Muraglitazar in Animals and Humans by Quantitative and Qualitative Metabolite Profiling","volume":"35","author":[{"family":"Zhang","given":"Donglu"},{"family":"Wang","given":"Lifei"},{"family":"Raghavan","given":"Nirmala"},{"family":"Zhang","given":"Haiying"},{"family":"Li","given":"Wenying"},{"family":"Cheng","given":"Peter T."},{"family":"Yao","given":"Ming"},{"family":"Zhang","given":"Litao"},{"family":"Zhu","given":"Mingshe"},{"family":"Bonacorsi","given":"Samuel"},{"family":"Yeola","given":"Suresh"},{"family":"Mitroka","given":"James"},{"family":"Hariharan","given":"Narayanan"},{"family":"Hosagrahara","given":"Vinayak"},{"family":"Chandrasena","given":"Gamini"},{"family":"Shyu","given":"Wen Chyi"},{"family":"Humphreys","given":"W. Griffith"}],"issued":{"date-parts":[["2007",1,1]]}}}],"schema":"https://github.com/citation-style-language/schema/raw/master/csl-citation.json"}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876D34" w:rsidRPr="00876D34">
              <w:rPr>
                <w:rFonts w:ascii="Aptos Narrow" w:hAnsi="Aptos Narrow" w:cs="Times New Roman"/>
                <w:kern w:val="0"/>
                <w:sz w:val="22"/>
                <w:vertAlign w:val="superscript"/>
              </w:rPr>
              <w:t>11</w:t>
            </w:r>
            <w:r>
              <w:rPr>
                <w:rFonts w:ascii="Aptos Narrow" w:eastAsia="Times New Roman" w:hAnsi="Aptos Narrow" w:cs="Times New Roman"/>
                <w:color w:val="000000"/>
                <w:kern w:val="0"/>
                <w:sz w:val="22"/>
                <w:szCs w:val="22"/>
                <w14:ligatures w14:val="none"/>
              </w:rPr>
              <w:fldChar w:fldCharType="end"/>
            </w:r>
          </w:p>
        </w:tc>
      </w:tr>
      <w:tr w:rsidR="00CA3A28" w:rsidRPr="00367563" w14:paraId="424FBDAB" w14:textId="77777777" w:rsidTr="00CA3A28">
        <w:trPr>
          <w:trHeight w:val="288"/>
        </w:trPr>
        <w:tc>
          <w:tcPr>
            <w:tcW w:w="2695" w:type="dxa"/>
            <w:noWrap/>
            <w:vAlign w:val="bottom"/>
            <w:hideMark/>
          </w:tcPr>
          <w:p w14:paraId="04125D7D" w14:textId="498EEDB4"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Ritonavir</w:t>
            </w:r>
          </w:p>
        </w:tc>
        <w:tc>
          <w:tcPr>
            <w:tcW w:w="1330" w:type="dxa"/>
            <w:noWrap/>
            <w:vAlign w:val="bottom"/>
            <w:hideMark/>
          </w:tcPr>
          <w:p w14:paraId="4F9932F1"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40</w:t>
            </w:r>
          </w:p>
        </w:tc>
        <w:tc>
          <w:tcPr>
            <w:tcW w:w="960" w:type="dxa"/>
            <w:noWrap/>
            <w:vAlign w:val="bottom"/>
            <w:hideMark/>
          </w:tcPr>
          <w:p w14:paraId="434419A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2699B853" w14:textId="44EFD84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monkey</w:t>
            </w:r>
            <w:r>
              <w:rPr>
                <w:rFonts w:ascii="Aptos Narrow" w:eastAsia="Times New Roman" w:hAnsi="Aptos Narrow" w:cs="Times New Roman"/>
                <w:color w:val="000000"/>
                <w:kern w:val="0"/>
                <w:sz w:val="22"/>
                <w:szCs w:val="22"/>
                <w14:ligatures w14:val="none"/>
              </w:rPr>
              <w:t>(c)</w:t>
            </w:r>
          </w:p>
        </w:tc>
        <w:tc>
          <w:tcPr>
            <w:tcW w:w="1209" w:type="dxa"/>
            <w:noWrap/>
            <w:vAlign w:val="bottom"/>
            <w:hideMark/>
          </w:tcPr>
          <w:p w14:paraId="7240FDA6" w14:textId="56B845A5"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876D34">
              <w:rPr>
                <w:rFonts w:ascii="Aptos Narrow" w:eastAsia="Times New Roman" w:hAnsi="Aptos Narrow" w:cs="Times New Roman"/>
                <w:color w:val="000000"/>
                <w:kern w:val="0"/>
                <w:sz w:val="22"/>
                <w:szCs w:val="22"/>
                <w14:ligatures w14:val="none"/>
              </w:rPr>
              <w:instrText xml:space="preserve"> ADDIN ZOTERO_ITEM CSL_CITATION {"citationID":"8E4R3aJD","properties":{"unsorted":false,"formattedCitation":"\\super 13\\nosupersub{}","plainCitation":"13","noteIndex":0},"citationItems":[{"id":1232,"uris":["http://zotero.org/users/7234110/items/94ZSSAVK"],"itemData":{"id":1232,"type":"article-journal","abstract":"The structure−activity studies leading to the potent and clinically efficacious HIV protease inhibitor ritonavir are described. Beginning with the moderately potent and orally bioavailable inhibitor A-80987, systematic investigation of peripheral (P3 and P2‘) heterocyclic groups designed to decrease the rate of hepatic metabolism provided analogues with improved pharmacokinetic properties after oral dosing in rats. Replacement of pyridyl groups with thiazoles provided increased chemical stability toward oxidation while maintaining sufficient aqueous solubility for oral absorption. Optimization of hydrophobic interactions with the HIV protease active site produced ritonavir, with excellent in vitro potency (EC50 = 0.02 μM) and high and sustained plasma concentrations after oral administration in four species. Details of the discovery and preclinical development of ritonavir are described.","container-title":"Journal of Medicinal Chemistry","DOI":"10.1021/jm970636+","ISSN":"0022-2623","issue":"4","journalAbbreviation":"J. Med. Chem.","page":"602-617","publisher":"American Chemical Society","source":"ACS Publications","title":"Discovery of Ritonavir, a Potent Inhibitor of HIV Protease with High Oral Bioavailability and Clinical Efficacy","volume":"41","author":[{"family":"Kempf","given":"Dale J."},{"family":"Sham","given":"Hing L."},{"family":"Marsh","given":"Kennan C."},{"family":"Flentge","given":"Charles A."},{"family":"Betebenner","given":"David"},{"family":"Green","given":"Brian E."},{"family":"McDonald","given":"Edith"},{"family":"Vasavanonda","given":"Sudthida"},{"family":"Saldivar","given":"Ayda"},{"family":"Wideburg","given":"Norman E."},{"family":"Kati","given":"Warren M."},{"family":"Ruiz","given":"Lisa"},{"family":"Zhao","given":"Chen"},{"family":"Fino","given":"LynnMarie"},{"family":"Patterson","given":"Jean"},{"family":"Molla","given":"Akhteruzzaman"},{"family":"Plattner","given":"Jacob J."},{"family":"Norbeck","given":"Daniel W."}],"issued":{"date-parts":[["1998",2,1]]}}}],"schema":"https://github.com/citation-style-language/schema/raw/master/csl-citation.json"}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876D34" w:rsidRPr="00876D34">
              <w:rPr>
                <w:rFonts w:ascii="Aptos Narrow" w:hAnsi="Aptos Narrow" w:cs="Times New Roman"/>
                <w:kern w:val="0"/>
                <w:sz w:val="22"/>
                <w:vertAlign w:val="superscript"/>
              </w:rPr>
              <w:t>13</w:t>
            </w:r>
            <w:r>
              <w:rPr>
                <w:rFonts w:ascii="Aptos Narrow" w:eastAsia="Times New Roman" w:hAnsi="Aptos Narrow" w:cs="Times New Roman"/>
                <w:color w:val="000000"/>
                <w:kern w:val="0"/>
                <w:sz w:val="22"/>
                <w:szCs w:val="22"/>
                <w14:ligatures w14:val="none"/>
              </w:rPr>
              <w:fldChar w:fldCharType="end"/>
            </w:r>
          </w:p>
        </w:tc>
      </w:tr>
      <w:tr w:rsidR="00CA3A28" w:rsidRPr="00367563" w14:paraId="13790085" w14:textId="77777777" w:rsidTr="00CA3A28">
        <w:trPr>
          <w:trHeight w:val="288"/>
        </w:trPr>
        <w:tc>
          <w:tcPr>
            <w:tcW w:w="2695" w:type="dxa"/>
            <w:noWrap/>
            <w:vAlign w:val="bottom"/>
            <w:hideMark/>
          </w:tcPr>
          <w:p w14:paraId="082C2669"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8</w:t>
            </w:r>
          </w:p>
        </w:tc>
        <w:tc>
          <w:tcPr>
            <w:tcW w:w="1330" w:type="dxa"/>
            <w:noWrap/>
            <w:vAlign w:val="bottom"/>
            <w:hideMark/>
          </w:tcPr>
          <w:p w14:paraId="20CA4318"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0.25</w:t>
            </w:r>
          </w:p>
        </w:tc>
        <w:tc>
          <w:tcPr>
            <w:tcW w:w="960" w:type="dxa"/>
            <w:noWrap/>
            <w:vAlign w:val="bottom"/>
            <w:hideMark/>
          </w:tcPr>
          <w:p w14:paraId="0A7CA4FF"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6AD283BB" w14:textId="55224BA9"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m</w:t>
            </w:r>
            <w:r w:rsidR="00CA3A28" w:rsidRPr="00367563">
              <w:rPr>
                <w:rFonts w:ascii="Aptos Narrow" w:eastAsia="Times New Roman" w:hAnsi="Aptos Narrow" w:cs="Times New Roman"/>
                <w:color w:val="000000"/>
                <w:kern w:val="0"/>
                <w:sz w:val="22"/>
                <w:szCs w:val="22"/>
                <w14:ligatures w14:val="none"/>
              </w:rPr>
              <w:t>ouse</w:t>
            </w:r>
          </w:p>
        </w:tc>
        <w:tc>
          <w:tcPr>
            <w:tcW w:w="1209" w:type="dxa"/>
            <w:noWrap/>
            <w:vAlign w:val="bottom"/>
            <w:hideMark/>
          </w:tcPr>
          <w:p w14:paraId="29148682" w14:textId="19EAA6C4" w:rsidR="00CA3A28" w:rsidRPr="00367563" w:rsidRDefault="00C9256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{"citationID":"cNj19d0S","properties":{"unsorted":false,"formattedCitation":"\\super 56\\nosupersub{}","plainCitation":"56","noteIndex":0},"citationItems":[{"id":1351,"uris":["http://zotero.org/users/7234110/items/R6ETAZDI"],"itemData":{"id":1351,"type":"article-journal","abstract":"PROTACs usually occupy physicochemical space outside the one defined by classical drug-like molecules, which often presents considerable challenges in their optimization and development for oral administration. We have previously reported phenyl glutarimide (PG)-based BET PROTAC SJ995973, with improved overall in vitro degradation and antiproliferative activities compared to its direct thalidomide-based analogue dBET1, but similarly poor in vivo pharmacokinetic profile. To further demonstrate the PG utility, we describe here optimization efforts that led to the discovery of an orally bioavailable BET-PROTAC SJ44236 (8), and results of a comprehensive in vitro/vivo comparative study with analogues containing alternative CRBN-directing warheads. Our study highlights the importance of considering warhead modifications when optimizing PROTACs for oral delivery.","container-title":"Journal of Medicinal Chemistry","DOI":"10.1021/acs.jmedchem.4c02709","ISSN":"0022-2623","issue":"3","journalAbbreviation":"J. Med. Chem.","page":"3591-3611","publisher":"American Chemical Society","source":"ACS Publications","title":"Evaluation of Cereblon-Directing Warheads for the Development of Orally Bioavailable PROTACs","volume":"68","author":[{"family":"Actis","given":"Marisa"},{"family":"Cresser-Brown","given":"Joel"},{"family":"Caine","given":"Elizabeth A."},{"family":"Steger","given":"Martin"},{"family":"Aggarwal","given":"Anup"},{"family":"Mayasundari","given":"Anand"},{"family":"Murphy","given":"Nancy"},{"family":"Valinciute","given":"Gintvile"},{"family":"Li","given":"Yong"},{"family":"Fu","given":"Xiang"},{"family":"Yang","given":"Lei"},{"family":"Marsh","given":"Graham"},{"family":"Hughes","given":"Gareth"},{"family":"Karadogan","given":"Burhan"},{"family":"Wheeler","given":"Dean"},{"family":"Norley","given":"Mark"},{"family":"Spain","given":"Freya"},{"family":"Urh","given":"Marjeta"},{"family":"Roussel","given":"Martine F."},{"family":"Schwalb","given":"Björn"},{"family":"Daub","given":"Henrik"},{"family":"Riching","given":"Kristin M."},{"family":"Maple","given":"Hannah"},{"family":"Nishiguchi","given":"Gisele"},{"family":"Rankovic","given":"Zoran"}],"issued":{"date-parts":[["2025",2,13]]}}}],"schema":"https://github.com/citation-style-language/schema/raw/master/csl-citation.json"}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C92566">
              <w:rPr>
                <w:rFonts w:ascii="Aptos Narrow" w:hAnsi="Aptos Narrow" w:cs="Times New Roman"/>
                <w:kern w:val="0"/>
                <w:sz w:val="22"/>
                <w:vertAlign w:val="superscript"/>
              </w:rPr>
              <w:t>56</w:t>
            </w:r>
            <w:r>
              <w:rPr>
                <w:rFonts w:ascii="Aptos Narrow" w:eastAsia="Times New Roman" w:hAnsi="Aptos Narrow" w:cs="Times New Roman"/>
                <w:color w:val="000000"/>
                <w:kern w:val="0"/>
                <w:sz w:val="22"/>
                <w:szCs w:val="22"/>
                <w14:ligatures w14:val="none"/>
              </w:rPr>
              <w:fldChar w:fldCharType="end"/>
            </w:r>
          </w:p>
        </w:tc>
      </w:tr>
      <w:tr w:rsidR="00CA3A28" w:rsidRPr="00367563" w14:paraId="0CC27370" w14:textId="77777777" w:rsidTr="00CA3A28">
        <w:trPr>
          <w:trHeight w:val="288"/>
        </w:trPr>
        <w:tc>
          <w:tcPr>
            <w:tcW w:w="2695" w:type="dxa"/>
            <w:noWrap/>
            <w:vAlign w:val="bottom"/>
            <w:hideMark/>
          </w:tcPr>
          <w:p w14:paraId="2415B93F"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9</w:t>
            </w:r>
          </w:p>
        </w:tc>
        <w:tc>
          <w:tcPr>
            <w:tcW w:w="1330" w:type="dxa"/>
            <w:noWrap/>
            <w:vAlign w:val="bottom"/>
            <w:hideMark/>
          </w:tcPr>
          <w:p w14:paraId="707071F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0.75</w:t>
            </w:r>
          </w:p>
        </w:tc>
        <w:tc>
          <w:tcPr>
            <w:tcW w:w="960" w:type="dxa"/>
            <w:noWrap/>
            <w:vAlign w:val="bottom"/>
            <w:hideMark/>
          </w:tcPr>
          <w:p w14:paraId="24CFEC0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579F0C2E" w14:textId="43832DB9"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m</w:t>
            </w:r>
            <w:r w:rsidR="00CA3A28" w:rsidRPr="00367563">
              <w:rPr>
                <w:rFonts w:ascii="Aptos Narrow" w:eastAsia="Times New Roman" w:hAnsi="Aptos Narrow" w:cs="Times New Roman"/>
                <w:color w:val="000000"/>
                <w:kern w:val="0"/>
                <w:sz w:val="22"/>
                <w:szCs w:val="22"/>
                <w14:ligatures w14:val="none"/>
              </w:rPr>
              <w:t>ouse</w:t>
            </w:r>
          </w:p>
        </w:tc>
        <w:tc>
          <w:tcPr>
            <w:tcW w:w="1209" w:type="dxa"/>
            <w:noWrap/>
            <w:vAlign w:val="bottom"/>
            <w:hideMark/>
          </w:tcPr>
          <w:p w14:paraId="0BA324AB" w14:textId="1A2759B7" w:rsidR="00CA3A28" w:rsidRPr="00367563" w:rsidRDefault="000777C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{"citationID":"gRvlwKH4","properties":{"unsorted":false,"formattedCitation":"\\super 57\\nosupersub{}","plainCitation":"57","noteIndex":0},"citationItems":[{"id":1331,"uris":["http://zotero.org/users/7234110/items/LFXUVJ7Q"],"itemData":{"id":1331,"type":"article-journal","abstract":"Building on insights gained from the discovery of the antimalarial ozonide arterolane (OZ277), we now describe the structure–activity relationship (SAR) of the antimalarial ozonide artefenomel (OZ439). Primary and secondary amino ozonides had higher metabolic stabilities than tertiary amino ozonides, consistent with their higher pKa and lower log D7.4 values. For primary amino ozonides, addition of polar functional groups decreased in vivo antimalarial efficacy. For secondary amino ozonides, additional functional groups had variable effects on metabolic stability and efficacy, but the most effective members of this series also had the highest log D7.4 values. For tertiary amino ozonides, addition of polar functional groups with H-bond donors increased metabolic stability but decreased in vivo antimalarial efficacy. Primary and tertiary amino ozonides with cycloalkyl and heterocycle substructures were superior to their acyclic counterparts. The high curative efficacy of these ozonides was most often associated with high and prolonged plasma exposure, but exposure on its own did not explain the presence or absence of either curative efficacy or in vivo toxicity.","container-title":"Journal of Medicinal Chemistry","DOI":"10.1021/acs.jmedchem.6b01586","ISSN":"0022-2623","issue":"7","journalAbbreviation":"J. Med. Chem.","page":"2654-2668","publisher":"American Chemical Society","source":"ACS Publications","title":"Structure–Activity Relationship of the Antimalarial Ozonide Artefenomel (OZ439)","volume":"60","author":[{"family":"Dong","given":"Yuxiang"},{"family":"Wang","given":"Xiaofang"},{"family":"Kamaraj","given":"Sriraghavan"},{"family":"Bulbule","given":"Vivek J."},{"family":"Chiu","given":"Francis C. K."},{"family":"Chollet","given":"Jacques"},{"family":"Dhanasekaran","given":"Manickam"},{"family":"Hein","given":"Christopher D."},{"family":"Papastogiannidis","given":"Petros"},{"family":"Morizzi","given":"Julia"},{"family":"Shackleford","given":"David M."},{"family":"Barker","given":"Helena"},{"family":"Ryan","given":"Eileen"},{"family":"Scheurer","given":"Christian"},{"family":"Tang","given":"Yuanqing"},{"family":"Zhao","given":"Qingjie"},{"family":"Zhou","given":"Lin"},{"family":"White","given":"Karen L."},{"family":"Urwyler","given":"Heinrich"},{"family":"Charman","given":"William N."},{"family":"Matile","given":"Hugues"},{"family":"Wittlin","given":"Sergio"},{"family":"Charman","given":"Susan A."},{"family":"Vennerstrom","given":"Jonathan L."}],"issued":{"date-parts":[["2017",4,13]]}}}],"schema":"https://github.com/citation-style-language/schema/raw/master/csl-citation.json"}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57</w:t>
            </w:r>
            <w:r>
              <w:rPr>
                <w:rFonts w:ascii="Aptos Narrow" w:eastAsia="Times New Roman" w:hAnsi="Aptos Narrow" w:cs="Times New Roman"/>
                <w:color w:val="000000"/>
                <w:kern w:val="0"/>
                <w:sz w:val="22"/>
                <w:szCs w:val="22"/>
                <w14:ligatures w14:val="none"/>
              </w:rPr>
              <w:fldChar w:fldCharType="end"/>
            </w:r>
          </w:p>
        </w:tc>
      </w:tr>
      <w:tr w:rsidR="00CA3A28" w:rsidRPr="00367563" w14:paraId="14470E98" w14:textId="77777777" w:rsidTr="00CA3A28">
        <w:trPr>
          <w:trHeight w:val="288"/>
        </w:trPr>
        <w:tc>
          <w:tcPr>
            <w:tcW w:w="2695" w:type="dxa"/>
            <w:noWrap/>
            <w:vAlign w:val="bottom"/>
            <w:hideMark/>
          </w:tcPr>
          <w:p w14:paraId="1AD355D3"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11</w:t>
            </w:r>
          </w:p>
        </w:tc>
        <w:tc>
          <w:tcPr>
            <w:tcW w:w="1330" w:type="dxa"/>
            <w:noWrap/>
            <w:vAlign w:val="bottom"/>
            <w:hideMark/>
          </w:tcPr>
          <w:p w14:paraId="389033B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0.75</w:t>
            </w:r>
          </w:p>
        </w:tc>
        <w:tc>
          <w:tcPr>
            <w:tcW w:w="960" w:type="dxa"/>
            <w:noWrap/>
            <w:vAlign w:val="bottom"/>
            <w:hideMark/>
          </w:tcPr>
          <w:p w14:paraId="0F1D49A1"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719E5DE8" w14:textId="6D734768"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m</w:t>
            </w:r>
            <w:r w:rsidR="00CA3A28" w:rsidRPr="00367563">
              <w:rPr>
                <w:rFonts w:ascii="Aptos Narrow" w:eastAsia="Times New Roman" w:hAnsi="Aptos Narrow" w:cs="Times New Roman"/>
                <w:color w:val="000000"/>
                <w:kern w:val="0"/>
                <w:sz w:val="22"/>
                <w:szCs w:val="22"/>
                <w14:ligatures w14:val="none"/>
              </w:rPr>
              <w:t>ouse</w:t>
            </w:r>
          </w:p>
        </w:tc>
        <w:tc>
          <w:tcPr>
            <w:tcW w:w="1209" w:type="dxa"/>
            <w:noWrap/>
            <w:vAlign w:val="bottom"/>
            <w:hideMark/>
          </w:tcPr>
          <w:p w14:paraId="638584DD" w14:textId="721718B5" w:rsidR="00CA3A28" w:rsidRPr="00367563" w:rsidRDefault="000777C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{"citationID":"eLzuP8n5","properties":{"unsorted":false,"formattedCitation":"\\super 57\\nosupersub{}","plainCitation":"57","noteIndex":0},"citationItems":[{"id":1331,"uris":["http://zotero.org/users/7234110/items/LFXUVJ7Q"],"itemData":{"id":1331,"type":"article-journal","abstract":"Building on insights gained from the discovery of the antimalarial ozonide arterolane (OZ277), we now describe the structure–activity relationship (SAR) of the antimalarial ozonide artefenomel (OZ439). Primary and secondary amino ozonides had higher metabolic stabilities than tertiary amino ozonides, consistent with their higher pKa and lower log D7.4 values. For primary amino ozonides, addition of polar functional groups decreased in vivo antimalarial efficacy. For secondary amino ozonides, additional functional groups had variable effects on metabolic stability and efficacy, but the most effective members of this series also had the highest log D7.4 values. For tertiary amino ozonides, addition of polar functional groups with H-bond donors increased metabolic stability but decreased in vivo antimalarial efficacy. Primary and tertiary amino ozonides with cycloalkyl and heterocycle substructures were superior to their acyclic counterparts. The high curative efficacy of these ozonides was most often associated with high and prolonged plasma exposure, but exposure on its own did not explain the presence or absence of either curative efficacy or in vivo toxicity.","container-title":"Journal of Medicinal Chemistry","DOI":"10.1021/acs.jmedchem.6b01586","ISSN":"0022-2623","issue":"7","journalAbbreviation":"J. Med. Chem.","page":"2654-2668","publisher":"American Chemical Society","source":"ACS Publications","title":"Structure–Activity Relationship of the Antimalarial Ozonide Artefenomel (OZ439)","volume":"60","author":[{"family":"Dong","given":"Yuxiang"},{"family":"Wang","given":"Xiaofang"},{"family":"Kamaraj","given":"Sriraghavan"},{"family":"Bulbule","given":"Vivek J."},{"family":"Chiu","given":"Francis C. K."},{"family":"Chollet","given":"Jacques"},{"family":"Dhanasekaran","given":"Manickam"},{"family":"Hein","given":"Christopher D."},{"family":"Papastogiannidis","given":"Petros"},{"family":"Morizzi","given":"Julia"},{"family":"Shackleford","given":"David M."},{"family":"Barker","given":"Helena"},{"family":"Ryan","given":"Eileen"},{"family":"Scheurer","given":"Christian"},{"family":"Tang","given":"Yuanqing"},{"family":"Zhao","given":"Qingjie"},{"family":"Zhou","given":"Lin"},{"family":"White","given":"Karen L."},{"family":"Urwyler","given":"Heinrich"},{"family":"Charman","given":"William N."},{"family":"Matile","given":"Hugues"},{"family":"Wittlin","given":"Sergio"},{"family":"Charman","given":"Susan A."},{"family":"Vennerstrom","given":"Jonathan L."}],"issued":{"date-parts":[["2017",4,13]]}}}],"schema":"https://github.com/citation-style-language/schema/raw/master/csl-citation.json"}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57</w:t>
            </w:r>
            <w:r>
              <w:rPr>
                <w:rFonts w:ascii="Aptos Narrow" w:eastAsia="Times New Roman" w:hAnsi="Aptos Narrow" w:cs="Times New Roman"/>
                <w:color w:val="000000"/>
                <w:kern w:val="0"/>
                <w:sz w:val="22"/>
                <w:szCs w:val="22"/>
                <w14:ligatures w14:val="none"/>
              </w:rPr>
              <w:fldChar w:fldCharType="end"/>
            </w:r>
          </w:p>
        </w:tc>
      </w:tr>
      <w:tr w:rsidR="00CA3A28" w:rsidRPr="00367563" w14:paraId="1C835E6C" w14:textId="77777777" w:rsidTr="00CA3A28">
        <w:trPr>
          <w:trHeight w:val="288"/>
        </w:trPr>
        <w:tc>
          <w:tcPr>
            <w:tcW w:w="2695" w:type="dxa"/>
            <w:noWrap/>
            <w:vAlign w:val="bottom"/>
            <w:hideMark/>
          </w:tcPr>
          <w:p w14:paraId="05079DD0"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28</w:t>
            </w:r>
          </w:p>
        </w:tc>
        <w:tc>
          <w:tcPr>
            <w:tcW w:w="1330" w:type="dxa"/>
            <w:noWrap/>
            <w:vAlign w:val="bottom"/>
            <w:hideMark/>
          </w:tcPr>
          <w:p w14:paraId="103DD7B5"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0.125</w:t>
            </w:r>
          </w:p>
        </w:tc>
        <w:tc>
          <w:tcPr>
            <w:tcW w:w="960" w:type="dxa"/>
            <w:noWrap/>
            <w:vAlign w:val="bottom"/>
            <w:hideMark/>
          </w:tcPr>
          <w:p w14:paraId="2F88F58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343EF290" w14:textId="33DD551C"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m</w:t>
            </w:r>
            <w:r w:rsidR="00CA3A28" w:rsidRPr="00367563">
              <w:rPr>
                <w:rFonts w:ascii="Aptos Narrow" w:eastAsia="Times New Roman" w:hAnsi="Aptos Narrow" w:cs="Times New Roman"/>
                <w:color w:val="000000"/>
                <w:kern w:val="0"/>
                <w:sz w:val="22"/>
                <w:szCs w:val="22"/>
                <w14:ligatures w14:val="none"/>
              </w:rPr>
              <w:t>ouse</w:t>
            </w:r>
          </w:p>
        </w:tc>
        <w:tc>
          <w:tcPr>
            <w:tcW w:w="1209" w:type="dxa"/>
            <w:noWrap/>
            <w:vAlign w:val="bottom"/>
            <w:hideMark/>
          </w:tcPr>
          <w:p w14:paraId="6DEC4797" w14:textId="377BCF64" w:rsidR="00CA3A28" w:rsidRPr="00367563" w:rsidRDefault="008A4FDD"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{"citationID":"EVK2XWDN","properties":{"unsorted":false,"formattedCitation":"\\super 58\\nosupersub{}","plainCitation":"58","noteIndex":0},"citationItems":[{"id":1349,"uris":["http://zotero.org/users/7234110/items/NU9X4MBT"],"itemData":{"id":1349,"type":"webpage","title":"Discovery of an Oral, Beyond-Rule-of-Five Mcl-1 Protein–Protein Interaction Modulator with the Potential of Treating Hematological Malignancies | Journal of Medicinal Chemistry","URL":"https://pubs.acs.org/doi/full/10.1021/acs.jmedchem.2c01953","accessed":{"date-parts":[["2026",6,30]]}}}],"schema":"https://github.com/citation-style-language/schema/raw/master/csl-citation.json"}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58</w:t>
            </w:r>
            <w:r>
              <w:rPr>
                <w:rFonts w:ascii="Aptos Narrow" w:eastAsia="Times New Roman" w:hAnsi="Aptos Narrow" w:cs="Times New Roman"/>
                <w:color w:val="000000"/>
                <w:kern w:val="0"/>
                <w:sz w:val="22"/>
                <w:szCs w:val="22"/>
                <w14:ligatures w14:val="none"/>
              </w:rPr>
              <w:fldChar w:fldCharType="end"/>
            </w:r>
          </w:p>
        </w:tc>
      </w:tr>
      <w:tr w:rsidR="00CA3A28" w:rsidRPr="00367563" w14:paraId="1BEB2C40" w14:textId="77777777" w:rsidTr="00CA3A28">
        <w:trPr>
          <w:trHeight w:val="288"/>
        </w:trPr>
        <w:tc>
          <w:tcPr>
            <w:tcW w:w="2695" w:type="dxa"/>
            <w:noWrap/>
            <w:vAlign w:val="bottom"/>
            <w:hideMark/>
          </w:tcPr>
          <w:p w14:paraId="76CA24BB"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28</w:t>
            </w:r>
          </w:p>
        </w:tc>
        <w:tc>
          <w:tcPr>
            <w:tcW w:w="1330" w:type="dxa"/>
            <w:noWrap/>
            <w:vAlign w:val="bottom"/>
            <w:hideMark/>
          </w:tcPr>
          <w:p w14:paraId="43F00F6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0.025</w:t>
            </w:r>
          </w:p>
        </w:tc>
        <w:tc>
          <w:tcPr>
            <w:tcW w:w="960" w:type="dxa"/>
            <w:noWrap/>
            <w:vAlign w:val="bottom"/>
            <w:hideMark/>
          </w:tcPr>
          <w:p w14:paraId="6B8C74E1" w14:textId="65391983"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066CC2FE" w14:textId="013F3868"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m</w:t>
            </w:r>
            <w:r w:rsidR="00CA3A28" w:rsidRPr="00367563">
              <w:rPr>
                <w:rFonts w:ascii="Aptos Narrow" w:eastAsia="Times New Roman" w:hAnsi="Aptos Narrow" w:cs="Times New Roman"/>
                <w:color w:val="000000"/>
                <w:kern w:val="0"/>
                <w:sz w:val="22"/>
                <w:szCs w:val="22"/>
                <w14:ligatures w14:val="none"/>
              </w:rPr>
              <w:t>ouse</w:t>
            </w:r>
          </w:p>
        </w:tc>
        <w:tc>
          <w:tcPr>
            <w:tcW w:w="1209" w:type="dxa"/>
            <w:noWrap/>
            <w:vAlign w:val="bottom"/>
            <w:hideMark/>
          </w:tcPr>
          <w:p w14:paraId="15814971" w14:textId="10125CE1" w:rsidR="00CA3A28" w:rsidRPr="00367563" w:rsidRDefault="008A4FDD"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{"citationID":"yZ5Yy9TN","properties":{"unsorted":false,"formattedCitation":"\\super 58\\nosupersub{}","plainCitation":"58","noteIndex":0},"citationItems":[{"id":1349,"uris":["http://zotero.org/users/7234110/items/NU9X4MBT"],"itemData":{"id":1349,"type":"webpage","title":"Discovery of an Oral, Beyond-Rule-of-Five Mcl-1 Protein–Protein Interaction Modulator with the Potential of Treating Hematological Malignancies | Journal of Medicinal Chemistry","URL":"https://pubs.acs.org/doi/full/10.1021/acs.jmedchem.2c01953","accessed":{"date-parts":[["2026",6,30]]}}}],"schema":"https://github.com/citation-style-language/schema/raw/master/csl-citation.json"}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58</w:t>
            </w:r>
            <w:r>
              <w:rPr>
                <w:rFonts w:ascii="Aptos Narrow" w:eastAsia="Times New Roman" w:hAnsi="Aptos Narrow" w:cs="Times New Roman"/>
                <w:color w:val="000000"/>
                <w:kern w:val="0"/>
                <w:sz w:val="22"/>
                <w:szCs w:val="22"/>
                <w14:ligatures w14:val="none"/>
              </w:rPr>
              <w:fldChar w:fldCharType="end"/>
            </w:r>
          </w:p>
        </w:tc>
      </w:tr>
      <w:tr w:rsidR="00CA3A28" w:rsidRPr="00367563" w14:paraId="5D25DE29" w14:textId="77777777" w:rsidTr="00CA3A28">
        <w:trPr>
          <w:trHeight w:val="288"/>
        </w:trPr>
        <w:tc>
          <w:tcPr>
            <w:tcW w:w="2695" w:type="dxa"/>
            <w:noWrap/>
            <w:vAlign w:val="bottom"/>
            <w:hideMark/>
          </w:tcPr>
          <w:p w14:paraId="280D4F92"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35</w:t>
            </w:r>
          </w:p>
        </w:tc>
        <w:tc>
          <w:tcPr>
            <w:tcW w:w="1330" w:type="dxa"/>
            <w:noWrap/>
            <w:vAlign w:val="bottom"/>
            <w:hideMark/>
          </w:tcPr>
          <w:p w14:paraId="21B24FF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0.75</w:t>
            </w:r>
          </w:p>
        </w:tc>
        <w:tc>
          <w:tcPr>
            <w:tcW w:w="960" w:type="dxa"/>
            <w:noWrap/>
            <w:vAlign w:val="bottom"/>
            <w:hideMark/>
          </w:tcPr>
          <w:p w14:paraId="50B3360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062BE52A" w14:textId="16DAAAE5"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m</w:t>
            </w:r>
            <w:r w:rsidR="00CA3A28" w:rsidRPr="00367563">
              <w:rPr>
                <w:rFonts w:ascii="Aptos Narrow" w:eastAsia="Times New Roman" w:hAnsi="Aptos Narrow" w:cs="Times New Roman"/>
                <w:color w:val="000000"/>
                <w:kern w:val="0"/>
                <w:sz w:val="22"/>
                <w:szCs w:val="22"/>
                <w14:ligatures w14:val="none"/>
              </w:rPr>
              <w:t>ouse</w:t>
            </w:r>
          </w:p>
        </w:tc>
        <w:tc>
          <w:tcPr>
            <w:tcW w:w="1209" w:type="dxa"/>
            <w:noWrap/>
            <w:vAlign w:val="bottom"/>
            <w:hideMark/>
          </w:tcPr>
          <w:p w14:paraId="5D032817" w14:textId="1C009A72" w:rsidR="00CA3A28" w:rsidRPr="00367563" w:rsidRDefault="000777C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{"citationID":"8usazKoW","properties":{"unsorted":false,"formattedCitation":"\\super 57\\nosupersub{}","plainCitation":"57","noteIndex":0},"citationItems":[{"id":1331,"uris":["http://zotero.org/users/7234110/items/LFXUVJ7Q"],"itemData":{"id":1331,"type":"article-journal","abstract":"Building on insights gained from the discovery of the antimalarial ozonide arterolane (OZ277), we now describe the structure–activity relationship (SAR) of the antimalarial ozonide artefenomel (OZ439). Primary and secondary amino ozonides had higher metabolic stabilities than tertiary amino ozonides, consistent with their higher pKa and lower log D7.4 values. For primary amino ozonides, addition of polar functional groups decreased in vivo antimalarial efficacy. For secondary amino ozonides, additional functional groups had variable effects on metabolic stability and efficacy, but the most effective members of this series also had the highest log D7.4 values. For tertiary amino ozonides, addition of polar functional groups with H-bond donors increased metabolic stability but decreased in vivo antimalarial efficacy. Primary and tertiary amino ozonides with cycloalkyl and heterocycle substructures were superior to their acyclic counterparts. The high curative efficacy of these ozonides was most often associated with high and prolonged plasma exposure, but exposure on its own did not explain the presence or absence of either curative efficacy or in vivo toxicity.","container-title":"Journal of Medicinal Chemistry","DOI":"10.1021/acs.jmedchem.6b01586","ISSN":"0022-2623","issue":"7","journalAbbreviation":"J. Med. Chem.","page":"2654-2668","publisher":"American Chemical Society","source":"ACS Publications","title":"Structure–Activity Relationship of the Antimalarial Ozonide Artefenomel (OZ439)","volume":"60","author":[{"family":"Dong","given":"Yuxiang"},{"family":"Wang","given":"Xiaofang"},{"family":"Kamaraj","given":"Sriraghavan"},{"family":"Bulbule","given":"Vivek J."},{"family":"Chiu","given":"Francis C. K."},{"family":"Chollet","given":"Jacques"},{"family":"Dhanasekaran","given":"Manickam"},{"family":"Hein","given":"Christopher D."},{"family":"Papastogiannidis","given":"Petros"},{"family":"Morizzi","given":"Julia"},{"family":"Shackleford","given":"David M."},{"family":"Barker","given":"Helena"},{"family":"Ryan","given":"Eileen"},{"family":"Scheurer","given":"Christian"},{"family":"Tang","given":"Yuanqing"},{"family":"Zhao","given":"Qingjie"},{"family":"Zhou","given":"Lin"},{"family":"White","given":"Karen L."},{"family":"Urwyler","given":"Heinrich"},{"family":"Charman","given":"William N."},{"family":"Matile","given":"Hugues"},{"family":"Wittlin","given":"Sergio"},{"family":"Charman","given":"Susan A."},{"family":"Vennerstrom","given":"Jonathan L."}],"issued":{"date-parts":[["2017",4,13]]}}}],"schema":"https://github.com/citation-style-language/schema/raw/master/csl-citation.json"}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57</w:t>
            </w:r>
            <w:r>
              <w:rPr>
                <w:rFonts w:ascii="Aptos Narrow" w:eastAsia="Times New Roman" w:hAnsi="Aptos Narrow" w:cs="Times New Roman"/>
                <w:color w:val="000000"/>
                <w:kern w:val="0"/>
                <w:sz w:val="22"/>
                <w:szCs w:val="22"/>
                <w14:ligatures w14:val="none"/>
              </w:rPr>
              <w:fldChar w:fldCharType="end"/>
            </w:r>
          </w:p>
        </w:tc>
      </w:tr>
      <w:tr w:rsidR="00CA3A28" w:rsidRPr="00367563" w14:paraId="76F59F8F" w14:textId="77777777" w:rsidTr="00CA3A28">
        <w:trPr>
          <w:trHeight w:val="288"/>
        </w:trPr>
        <w:tc>
          <w:tcPr>
            <w:tcW w:w="2695" w:type="dxa"/>
            <w:noWrap/>
            <w:vAlign w:val="bottom"/>
            <w:hideMark/>
          </w:tcPr>
          <w:p w14:paraId="10C8A2A4"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 OZ277</w:t>
            </w:r>
          </w:p>
        </w:tc>
        <w:tc>
          <w:tcPr>
            <w:tcW w:w="1330" w:type="dxa"/>
            <w:noWrap/>
            <w:vAlign w:val="bottom"/>
            <w:hideMark/>
          </w:tcPr>
          <w:p w14:paraId="7C14159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0.75</w:t>
            </w:r>
          </w:p>
        </w:tc>
        <w:tc>
          <w:tcPr>
            <w:tcW w:w="960" w:type="dxa"/>
            <w:noWrap/>
            <w:vAlign w:val="bottom"/>
            <w:hideMark/>
          </w:tcPr>
          <w:p w14:paraId="298D1B8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25668DAC" w14:textId="2C1E6A24"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m</w:t>
            </w:r>
            <w:r w:rsidR="00CA3A28" w:rsidRPr="00367563">
              <w:rPr>
                <w:rFonts w:ascii="Aptos Narrow" w:eastAsia="Times New Roman" w:hAnsi="Aptos Narrow" w:cs="Times New Roman"/>
                <w:color w:val="000000"/>
                <w:kern w:val="0"/>
                <w:sz w:val="22"/>
                <w:szCs w:val="22"/>
                <w14:ligatures w14:val="none"/>
              </w:rPr>
              <w:t>ouse</w:t>
            </w:r>
          </w:p>
        </w:tc>
        <w:tc>
          <w:tcPr>
            <w:tcW w:w="1209" w:type="dxa"/>
            <w:noWrap/>
            <w:vAlign w:val="bottom"/>
            <w:hideMark/>
          </w:tcPr>
          <w:p w14:paraId="6A55C1B8" w14:textId="6F55EB27" w:rsidR="00CA3A28" w:rsidRPr="00367563" w:rsidRDefault="000777C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{"citationID":"TnzcG5im","properties":{"unsorted":false,"formattedCitation":"\\super 57\\nosupersub{}","plainCitation":"57","noteIndex":0},"citationItems":[{"id":1331,"uris":["http://zotero.org/users/7234110/items/LFXUVJ7Q"],"itemData":{"id":1331,"type":"article-journal","abstract":"Building on insights gained from the discovery of the antimalarial ozonide arterolane (OZ277), we now describe the structure–activity relationship (SAR) of the antimalarial ozonide artefenomel (OZ439). Primary and secondary amino ozonides had higher metabolic stabilities than tertiary amino ozonides, consistent with their higher pKa and lower log D7.4 values. For primary amino ozonides, addition of polar functional groups decreased in vivo antimalarial efficacy. For secondary amino ozonides, additional functional groups had variable effects on metabolic stability and efficacy, but the most effective members of this series also had the highest log D7.4 values. For tertiary amino ozonides, addition of polar functional groups with H-bond donors increased metabolic stability but decreased in vivo antimalarial efficacy. Primary and tertiary amino ozonides with cycloalkyl and heterocycle substructures were superior to their acyclic counterparts. The high curative efficacy of these ozonides was most often associated with high and prolonged plasma exposure, but exposure on its own did not explain the presence or absence of either curative efficacy or in vivo toxicity.","container-title":"Journal of Medicinal Chemistry","DOI":"10.1021/acs.jmedchem.6b01586","ISSN":"0022-2623","issue":"7","journalAbbreviation":"J. Med. Chem.","page":"2654-2668","publisher":"American Chemical Society","source":"ACS Publications","title":"Structure–Activity Relationship of the Antimalarial Ozonide Artefenomel (OZ439)","volume":"60","author":[{"family":"Dong","given":"Yuxiang"},{"family":"Wang","given":"Xiaofang"},{"family":"Kamaraj","given":"Sriraghavan"},{"family":"Bulbule","given":"Vivek J."},{"family":"Chiu","given":"Francis C. K."},{"family":"Chollet","given":"Jacques"},{"family":"Dhanasekaran","given":"Manickam"},{"family":"Hein","given":"Christopher D."},{"family":"Papastogiannidis","given":"Petros"},{"family":"Morizzi","given":"Julia"},{"family":"Shackleford","given":"David M."},{"family":"Barker","given":"Helena"},{"family":"Ryan","given":"Eileen"},{"family":"Scheurer","given":"Christian"},{"family":"Tang","given":"Yuanqing"},{"family":"Zhao","given":"Qingjie"},{"family":"Zhou","given":"Lin"},{"family":"White","given":"Karen L."},{"family":"Urwyler","given":"Heinrich"},{"family":"Charman","given":"William N."},{"family":"Matile","given":"Hugues"},{"family":"Wittlin","given":"Sergio"},{"family":"Charman","given":"Susan A."},{"family":"Vennerstrom","given":"Jonathan L."}],"issued":{"date-parts":[["2017",4,13]]}}}],"schema":"https://github.com/citation-style-language/schema/raw/master/csl-citation.json"}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57</w:t>
            </w:r>
            <w:r>
              <w:rPr>
                <w:rFonts w:ascii="Aptos Narrow" w:eastAsia="Times New Roman" w:hAnsi="Aptos Narrow" w:cs="Times New Roman"/>
                <w:color w:val="000000"/>
                <w:kern w:val="0"/>
                <w:sz w:val="22"/>
                <w:szCs w:val="22"/>
                <w14:ligatures w14:val="none"/>
              </w:rPr>
              <w:fldChar w:fldCharType="end"/>
            </w:r>
          </w:p>
        </w:tc>
      </w:tr>
      <w:tr w:rsidR="00CA3A28" w:rsidRPr="00367563" w14:paraId="131339D4" w14:textId="77777777" w:rsidTr="00CA3A28">
        <w:trPr>
          <w:trHeight w:val="288"/>
        </w:trPr>
        <w:tc>
          <w:tcPr>
            <w:tcW w:w="2695" w:type="dxa"/>
            <w:noWrap/>
            <w:vAlign w:val="bottom"/>
            <w:hideMark/>
          </w:tcPr>
          <w:p w14:paraId="47F72A7C"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17-1 (CHEMBL5073614)</w:t>
            </w:r>
          </w:p>
        </w:tc>
        <w:tc>
          <w:tcPr>
            <w:tcW w:w="1330" w:type="dxa"/>
            <w:noWrap/>
            <w:vAlign w:val="bottom"/>
            <w:hideMark/>
          </w:tcPr>
          <w:p w14:paraId="7025A27F"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0.05</w:t>
            </w:r>
          </w:p>
        </w:tc>
        <w:tc>
          <w:tcPr>
            <w:tcW w:w="960" w:type="dxa"/>
            <w:noWrap/>
            <w:vAlign w:val="bottom"/>
            <w:hideMark/>
          </w:tcPr>
          <w:p w14:paraId="6ED7DEF7" w14:textId="10F6F7D1"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6A919B3F" w14:textId="51C0A4B8"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m</w:t>
            </w:r>
            <w:r w:rsidR="00CA3A28" w:rsidRPr="00367563">
              <w:rPr>
                <w:rFonts w:ascii="Aptos Narrow" w:eastAsia="Times New Roman" w:hAnsi="Aptos Narrow" w:cs="Times New Roman"/>
                <w:color w:val="000000"/>
                <w:kern w:val="0"/>
                <w:sz w:val="22"/>
                <w:szCs w:val="22"/>
                <w14:ligatures w14:val="none"/>
              </w:rPr>
              <w:t>ouse</w:t>
            </w:r>
          </w:p>
        </w:tc>
        <w:tc>
          <w:tcPr>
            <w:tcW w:w="1209" w:type="dxa"/>
            <w:noWrap/>
            <w:vAlign w:val="bottom"/>
            <w:hideMark/>
          </w:tcPr>
          <w:p w14:paraId="6EFDA0EB" w14:textId="5AB938CE" w:rsidR="00CA3A28" w:rsidRPr="00367563" w:rsidRDefault="008E641C"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{"citationID":"FFoxzd47","properties":{"unsorted":false,"formattedCitation":"\\super 59\\nosupersub{}","plainCitation":"59","noteIndex":0},"citationItems":[{"id":1345,"uris":["http://zotero.org/users/7234110/items/YZJLETX7"],"itemData":{"id":1345,"type":"article-journal","abstract":"The catalytic properties of proteolysis targeting chimeras (PROTACs) may lead to uncontrolled off-tissue target degradation that causes potential toxicity, limiting their clinical applications. The precise control of this technology in a tissue-selective manner can minimize the potential toxicity. Hypoxia is a hallmark of most solid tumors, accompanied by elevated levels of nitroreductase (NTR). Based on this character, we presented a type of NTR-responsive PROTACs to selectively degrade proteins of interest (POI) in tumor tissues. Compound 17-1 was the first NTR-responsive PROTAC synthesized by incorporating the caging group on the Von Hippel–Lindau (VHL) E3 ubiquitin ligase ligand. It could be activated by NTR to release the active PROTAC 17 to efficiently degrade the EGFR protein and subsequently exert antitumor efficacy. Thus, a general strategy for the precise control of PROTAC to induce POI degradation in tumor tissues by NTR was established, which provided a generalizable platform for the development of NTR-controlled PROTACs to achieve selective degradation.","container-title":"Journal of Medicinal Chemistry","DOI":"10.1021/acs.jmedchem.1c02221","ISSN":"0022-2623","issue":"6","journalAbbreviation":"J. Med. Chem.","page":"5057-5071","publisher":"American Chemical Society","source":"ACS Publications","title":"Rational Design for Nitroreductase (NTR)-Responsive Proteolysis Targeting Chimeras (PROTACs) Selectively Targeting Tumor Tissues","volume":"65","author":[{"family":"Shi","given":"Shi"},{"family":"Du","given":"Yu"},{"family":"Zou","given":"Yi"},{"family":"Niu","given":"Jing"},{"family":"Cai","given":"Zeyu"},{"family":"Wang","given":"Xiaonan"},{"family":"Qiu","given":"Feihuang"},{"family":"Ding","given":"Yi"},{"family":"Yang","given":"Gengchen"},{"family":"Wu","given":"Yunze"},{"family":"Xu","given":"Yungen"},{"family":"Zhu","given":"Qihua"}],"issued":{"date-parts":[["2022",3,24]]}}}],"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59</w:t>
            </w:r>
            <w:r>
              <w:rPr>
                <w:rFonts w:ascii="Aptos Narrow" w:eastAsia="Times New Roman" w:hAnsi="Aptos Narrow" w:cs="Times New Roman"/>
                <w:color w:val="000000"/>
                <w:kern w:val="0"/>
                <w:sz w:val="22"/>
                <w:szCs w:val="22"/>
                <w14:ligatures w14:val="none"/>
              </w:rPr>
              <w:fldChar w:fldCharType="end"/>
            </w:r>
          </w:p>
        </w:tc>
      </w:tr>
      <w:tr w:rsidR="00CA3A28" w:rsidRPr="00367563" w14:paraId="14DB8E19" w14:textId="77777777" w:rsidTr="00CA3A28">
        <w:trPr>
          <w:trHeight w:val="288"/>
        </w:trPr>
        <w:tc>
          <w:tcPr>
            <w:tcW w:w="2695" w:type="dxa"/>
            <w:noWrap/>
            <w:vAlign w:val="bottom"/>
            <w:hideMark/>
          </w:tcPr>
          <w:p w14:paraId="639E4791"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 OZ439</w:t>
            </w:r>
          </w:p>
        </w:tc>
        <w:tc>
          <w:tcPr>
            <w:tcW w:w="1330" w:type="dxa"/>
            <w:noWrap/>
            <w:vAlign w:val="bottom"/>
            <w:hideMark/>
          </w:tcPr>
          <w:p w14:paraId="4A2C5F71"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0.75</w:t>
            </w:r>
          </w:p>
        </w:tc>
        <w:tc>
          <w:tcPr>
            <w:tcW w:w="960" w:type="dxa"/>
            <w:noWrap/>
            <w:vAlign w:val="bottom"/>
            <w:hideMark/>
          </w:tcPr>
          <w:p w14:paraId="23563CC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3E6595A0" w14:textId="3E108CCC"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m</w:t>
            </w:r>
            <w:r w:rsidR="00CA3A28" w:rsidRPr="00367563">
              <w:rPr>
                <w:rFonts w:ascii="Aptos Narrow" w:eastAsia="Times New Roman" w:hAnsi="Aptos Narrow" w:cs="Times New Roman"/>
                <w:color w:val="000000"/>
                <w:kern w:val="0"/>
                <w:sz w:val="22"/>
                <w:szCs w:val="22"/>
                <w14:ligatures w14:val="none"/>
              </w:rPr>
              <w:t>ouse</w:t>
            </w:r>
          </w:p>
        </w:tc>
        <w:tc>
          <w:tcPr>
            <w:tcW w:w="1209" w:type="dxa"/>
            <w:noWrap/>
            <w:vAlign w:val="bottom"/>
            <w:hideMark/>
          </w:tcPr>
          <w:p w14:paraId="5A29E8F9" w14:textId="3F97D89B" w:rsidR="00CA3A28" w:rsidRPr="00367563" w:rsidRDefault="000777C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{"citationID":"iKXTybLG","properties":{"unsorted":false,"formattedCitation":"\\super 57\\nosupersub{}","plainCitation":"57","noteIndex":0},"citationItems":[{"id":1331,"uris":["http://zotero.org/users/7234110/items/LFXUVJ7Q"],"itemData":{"id":1331,"type":"article-journal","abstract":"Building on insights gained from the discovery of the antimalarial ozonide arterolane (OZ277), we now describe the structure–activity relationship (SAR) of the antimalarial ozonide artefenomel (OZ439). Primary and secondary amino ozonides had higher metabolic stabilities than tertiary amino ozonides, consistent with their higher pKa and lower log D7.4 values. For primary amino ozonides, addition of polar functional groups decreased in vivo antimalarial efficacy. For secondary amino ozonides, additional functional groups had variable effects on metabolic stability and efficacy, but the most effective members of this series also had the highest log D7.4 values. For tertiary amino ozonides, addition of polar functional groups with H-bond donors increased metabolic stability but decreased in vivo antimalarial efficacy. Primary and tertiary amino ozonides with cycloalkyl and heterocycle substructures were superior to their acyclic counterparts. The high curative efficacy of these ozonides was most often associated with high and prolonged plasma exposure, but exposure on its own did not explain the presence or absence of either curative efficacy or in vivo toxicity.","container-title":"Journal of Medicinal Chemistry","DOI":"10.1021/acs.jmedchem.6b01586","ISSN":"0022-2623","issue":"7","journalAbbreviation":"J. Med. Chem.","page":"2654-2668","publisher":"American Chemical Society","source":"ACS Publications","title":"Structure–Activity Relationship of the Antimalarial Ozonide Artefenomel (OZ439)","volume":"60","author":[{"family":"Dong","given":"Yuxiang"},{"family":"Wang","given":"Xiaofang"},{"family":"Kamaraj","given":"Sriraghavan"},{"family":"Bulbule","given":"Vivek J."},{"family":"Chiu","given":"Francis C. K."},{"family":"Chollet","given":"Jacques"},{"family":"Dhanasekaran","given":"Manickam"},{"family":"Hein","given":"Christopher D."},{"family":"Papastogiannidis","given":"Petros"},{"family":"Morizzi","given":"Julia"},{"family":"Shackleford","given":"David M."},{"family":"Barker","given":"Helena"},{"family":"Ryan","given":"Eileen"},{"family":"Scheurer","given":"Christian"},{"family":"Tang","given":"Yuanqing"},{"family":"Zhao","given":"Qingjie"},{"family":"Zhou","given":"Lin"},{"family":"White","given":"Karen L."},{"family":"Urwyler","given":"Heinrich"},{"family":"Charman","given":"William N."},{"family":"Matile","given":"Hugues"},{"family":"Wittlin","given":"Sergio"},{"family":"Charman","given":"Susan A."},{"family":"Vennerstrom","given":"Jonathan L."}],"issued":{"date-parts":[["2017",4,13]]}}}],"schema":"https://github.com/citation-style-language/schema/raw/master/csl-citation.json"}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57</w:t>
            </w:r>
            <w:r>
              <w:rPr>
                <w:rFonts w:ascii="Aptos Narrow" w:eastAsia="Times New Roman" w:hAnsi="Aptos Narrow" w:cs="Times New Roman"/>
                <w:color w:val="000000"/>
                <w:kern w:val="0"/>
                <w:sz w:val="22"/>
                <w:szCs w:val="22"/>
                <w14:ligatures w14:val="none"/>
              </w:rPr>
              <w:fldChar w:fldCharType="end"/>
            </w:r>
          </w:p>
        </w:tc>
      </w:tr>
      <w:tr w:rsidR="00CA3A28" w:rsidRPr="00367563" w14:paraId="52AD6AF8" w14:textId="77777777" w:rsidTr="00CA3A28">
        <w:trPr>
          <w:trHeight w:val="288"/>
        </w:trPr>
        <w:tc>
          <w:tcPr>
            <w:tcW w:w="2695" w:type="dxa"/>
            <w:noWrap/>
            <w:vAlign w:val="bottom"/>
            <w:hideMark/>
          </w:tcPr>
          <w:p w14:paraId="45E70F4D"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30d</w:t>
            </w:r>
          </w:p>
        </w:tc>
        <w:tc>
          <w:tcPr>
            <w:tcW w:w="1330" w:type="dxa"/>
            <w:noWrap/>
            <w:vAlign w:val="bottom"/>
            <w:hideMark/>
          </w:tcPr>
          <w:p w14:paraId="4C42DBF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0.75</w:t>
            </w:r>
          </w:p>
        </w:tc>
        <w:tc>
          <w:tcPr>
            <w:tcW w:w="960" w:type="dxa"/>
            <w:noWrap/>
            <w:vAlign w:val="bottom"/>
            <w:hideMark/>
          </w:tcPr>
          <w:p w14:paraId="3BFE125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1D1150A5" w14:textId="53CB3496"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m</w:t>
            </w:r>
            <w:r w:rsidR="00CA3A28" w:rsidRPr="00367563">
              <w:rPr>
                <w:rFonts w:ascii="Aptos Narrow" w:eastAsia="Times New Roman" w:hAnsi="Aptos Narrow" w:cs="Times New Roman"/>
                <w:color w:val="000000"/>
                <w:kern w:val="0"/>
                <w:sz w:val="22"/>
                <w:szCs w:val="22"/>
                <w14:ligatures w14:val="none"/>
              </w:rPr>
              <w:t>ouse</w:t>
            </w:r>
          </w:p>
        </w:tc>
        <w:tc>
          <w:tcPr>
            <w:tcW w:w="1209" w:type="dxa"/>
            <w:noWrap/>
            <w:vAlign w:val="bottom"/>
            <w:hideMark/>
          </w:tcPr>
          <w:p w14:paraId="3C4F8BA7" w14:textId="42219574" w:rsidR="00CA3A28" w:rsidRPr="00367563" w:rsidRDefault="00C9256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{"citationID":"xN2aMtJj","properties":{"unsorted":false,"formattedCitation":"\\super 60\\nosupersub{}","plainCitation":"60","noteIndex":0},"citationItems":[{"id":1352,"uris":["http://zotero.org/users/7234110/items/LPBMYLPX"],"itemData":{"id":1352,"type":"article-journal","abstract":"Proteolysis-targeting chimera (PROTAC)-mediated protein degradation is a rapidly emerging therapeutic intervention that induces the degradation of targeted proteins. Herein, we report the design and biological evaluation of a series of androgen receptor (AR) PROTAC degraders for the treatment of metastatic castration-resistant prostate cancer. Predominantly, instead of thalidomide, we utilized the TD-106 scaffold, a novel cereblon (CRBN) binder that was identified in our previous study. Our results suggest that the linker position in the TD-106 CRBN binder is critical for the efficiency of AR degradation. The compounds attached to the 6-position of TD-106 promoted better degradation of AR than those at the 5- and 7-positions. Among the synthesized AR PROTACs, the representative degrader 33c (TD-802) effectively induced AR protein degradation, with a degradation concentration 50% of 12.5 nM and a maximum degradation of 93% in LNCaP prostate cancer cells. Additionally, most AR PROTAC degraders, including TD-802, displayed good liver microsomal stability and in vivo pharmacokinetic properties. Finally, we showed that TD-802 effectively inhibited tumor growth in an in vivo xenograft study.","container-title":"European Journal of Medicinal Chemistry","DOI":"10.1016/j.ejmech.2020.112769","ISSN":"0223-5234","journalAbbreviation":"European Journal of Medicinal Chemistry","page":"112769","source":"ScienceDirect","title":"Design and characterization of cereblon-mediated androgen receptor proteolysis-targeting chimeras","volume":"208","author":[{"family":"Takwale","given":"Akshay D."},{"family":"Jo","given":"Seung-Hyun"},{"family":"Jeon","given":"Yeong Uk"},{"family":"Kim","given":"Hyung Soo"},{"family":"Shin","given":"Choong Hoon"},{"family":"Lee","given":"Heung Kyoung"},{"family":"Ahn","given":"Sunjoo"},{"family":"Lee","given":"Chong Ock"},{"family":"Du Ha","given":"Jae"},{"family":"Kim","given":"Jeong-Hoon"},{"family":"Hwang","given":"Jong Yeon"}],"issued":{"date-parts":[["2020",12,15]]}}}],"schema":"https://github.com/citation-style-language/schema/raw/master/csl-citation.json"}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C92566">
              <w:rPr>
                <w:rFonts w:ascii="Aptos Narrow" w:hAnsi="Aptos Narrow" w:cs="Times New Roman"/>
                <w:kern w:val="0"/>
                <w:sz w:val="22"/>
                <w:vertAlign w:val="superscript"/>
              </w:rPr>
              <w:t>60</w:t>
            </w:r>
            <w:r>
              <w:rPr>
                <w:rFonts w:ascii="Aptos Narrow" w:eastAsia="Times New Roman" w:hAnsi="Aptos Narrow" w:cs="Times New Roman"/>
                <w:color w:val="000000"/>
                <w:kern w:val="0"/>
                <w:sz w:val="22"/>
                <w:szCs w:val="22"/>
                <w14:ligatures w14:val="none"/>
              </w:rPr>
              <w:fldChar w:fldCharType="end"/>
            </w:r>
          </w:p>
        </w:tc>
      </w:tr>
      <w:tr w:rsidR="00CA3A28" w:rsidRPr="00367563" w14:paraId="50923D76" w14:textId="77777777" w:rsidTr="00CA3A28">
        <w:trPr>
          <w:trHeight w:val="288"/>
        </w:trPr>
        <w:tc>
          <w:tcPr>
            <w:tcW w:w="2695" w:type="dxa"/>
            <w:noWrap/>
            <w:vAlign w:val="bottom"/>
            <w:hideMark/>
          </w:tcPr>
          <w:p w14:paraId="61ED9C1C"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30d</w:t>
            </w:r>
          </w:p>
        </w:tc>
        <w:tc>
          <w:tcPr>
            <w:tcW w:w="1330" w:type="dxa"/>
            <w:noWrap/>
            <w:vAlign w:val="bottom"/>
            <w:hideMark/>
          </w:tcPr>
          <w:p w14:paraId="738ACD3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0.125</w:t>
            </w:r>
          </w:p>
        </w:tc>
        <w:tc>
          <w:tcPr>
            <w:tcW w:w="960" w:type="dxa"/>
            <w:noWrap/>
            <w:vAlign w:val="bottom"/>
            <w:hideMark/>
          </w:tcPr>
          <w:p w14:paraId="2EEF982A" w14:textId="72FE16DF"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38AD4D5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6B7DB4E9" w14:textId="6BCF9BD0" w:rsidR="00CA3A28" w:rsidRPr="00367563" w:rsidRDefault="00C9256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{"citationID":"iGrmpTK7","properties":{"unsorted":false,"formattedCitation":"\\super 60\\nosupersub{}","plainCitation":"60","noteIndex":0},"citationItems":[{"id":1352,"uris":["http://zotero.org/users/7234110/items/LPBMYLPX"],"itemData":{"id":1352,"type":"article-journal","abstract":"Proteolysis-targeting chimera (PROTAC)-mediated protein degradation is a rapidly emerging therapeutic intervention that induces the degradation of targeted proteins. Herein, we report the design and biological evaluation of a series of androgen receptor (AR) PROTAC degraders for the treatment of metastatic castration-resistant prostate cancer. Predominantly, instead of thalidomide, we utilized the TD-106 scaffold, a novel cereblon (CRBN) binder that was identified in our previous study. Our results suggest that the linker position in the TD-106 CRBN binder is critical for the efficiency of AR degradation. The compounds attached to the 6-position of TD-106 promoted better degradation of AR than those at the 5- and 7-positions. Among the synthesized AR PROTACs, the representative degrader 33c (TD-802) effectively induced AR protein degradation, with a degradation concentration 50% of 12.5 nM and a maximum degradation of 93% in LNCaP prostate cancer cells. Additionally, most AR PROTAC degraders, including TD-802, displayed good liver microsomal stability and in vivo pharmacokinetic properties. Finally, we showed that TD-802 effectively inhibited tumor growth in an in vivo xenograft study.","container-title":"European Journal of Medicinal Chemistry","DOI":"10.1016/j.ejmech.2020.112769","ISSN":"0223-5234","journalAbbreviation":"European Journal of Medicinal Chemistry","page":"112769","source":"ScienceDirect","title":"Design and characterization of cereblon-mediated androgen receptor proteolysis-targeting chimeras","volume":"208","author":[{"family":"Takwale","given":"Akshay D."},{"family":"Jo","given":"Seung-Hyun"},{"family":"Jeon","given":"Yeong Uk"},{"family":"Kim","given":"Hyung Soo"},{"family":"Shin","given":"Choong Hoon"},{"family":"Lee","given":"Heung Kyoung"},{"family":"Ahn","given":"Sunjoo"},{"family":"Lee","given":"Chong Ock"},{"family":"Du Ha","given":"Jae"},{"family":"Kim","given":"Jeong-Hoon"},{"family":"Hwang","given":"Jong Yeon"}],"issued":{"date-parts":[["2020",12,15]]}}}],"schema":"https://github.com/citation-style-language/schema/raw/master/csl-citation.json"}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C92566">
              <w:rPr>
                <w:rFonts w:ascii="Aptos Narrow" w:hAnsi="Aptos Narrow" w:cs="Times New Roman"/>
                <w:kern w:val="0"/>
                <w:sz w:val="22"/>
                <w:vertAlign w:val="superscript"/>
              </w:rPr>
              <w:t>60</w:t>
            </w:r>
            <w:r>
              <w:rPr>
                <w:rFonts w:ascii="Aptos Narrow" w:eastAsia="Times New Roman" w:hAnsi="Aptos Narrow" w:cs="Times New Roman"/>
                <w:color w:val="000000"/>
                <w:kern w:val="0"/>
                <w:sz w:val="22"/>
                <w:szCs w:val="22"/>
                <w14:ligatures w14:val="none"/>
              </w:rPr>
              <w:fldChar w:fldCharType="end"/>
            </w:r>
          </w:p>
        </w:tc>
      </w:tr>
      <w:tr w:rsidR="00CA3A28" w:rsidRPr="00367563" w14:paraId="0A822A83" w14:textId="77777777" w:rsidTr="00CA3A28">
        <w:trPr>
          <w:trHeight w:val="288"/>
        </w:trPr>
        <w:tc>
          <w:tcPr>
            <w:tcW w:w="2695" w:type="dxa"/>
            <w:noWrap/>
            <w:vAlign w:val="bottom"/>
            <w:hideMark/>
          </w:tcPr>
          <w:p w14:paraId="154CCA96"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32b</w:t>
            </w:r>
          </w:p>
        </w:tc>
        <w:tc>
          <w:tcPr>
            <w:tcW w:w="1330" w:type="dxa"/>
            <w:noWrap/>
            <w:vAlign w:val="bottom"/>
            <w:hideMark/>
          </w:tcPr>
          <w:p w14:paraId="3E04937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0.75</w:t>
            </w:r>
          </w:p>
        </w:tc>
        <w:tc>
          <w:tcPr>
            <w:tcW w:w="960" w:type="dxa"/>
            <w:noWrap/>
            <w:vAlign w:val="bottom"/>
            <w:hideMark/>
          </w:tcPr>
          <w:p w14:paraId="509B08B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66A91F74"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012884FA" w14:textId="0F19A539" w:rsidR="00CA3A28" w:rsidRPr="00367563" w:rsidRDefault="00C9256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{"citationID":"jrvk8veY","properties":{"unsorted":false,"formattedCitation":"\\super 60\\nosupersub{}","plainCitation":"60","noteIndex":0},"citationItems":[{"id":1352,"uris":["http://zotero.org/users/7234110/items/LPBMYLPX"],"itemData":{"id":1352,"type":"article-journal","abstract":"Proteolysis-targeting chimera (PROTAC)-mediated protein degradation is a rapidly emerging therapeutic intervention that induces the degradation of targeted proteins. Herein, we report the design and biological evaluation of a series of androgen receptor (AR) PROTAC degraders for the treatment of metastatic castration-resistant prostate cancer. Predominantly, instead of thalidomide, we utilized the TD-106 scaffold, a novel cereblon (CRBN) binder that was identified in our previous study. Our results suggest that the linker position in the TD-106 CRBN binder is critical for the efficiency of AR degradation. The compounds attached to the 6-position of TD-106 promoted better degradation of AR than those at the 5- and 7-positions. Among the synthesized AR PROTACs, the representative degrader 33c (TD-802) effectively induced AR protein degradation, with a degradation concentration 50% of 12.5 nM and a maximum degradation of 93% in LNCaP prostate cancer cells. Additionally, most AR PROTAC degraders, including TD-802, displayed good liver microsomal stability and in vivo pharmacokinetic properties. Finally, we showed that TD-802 effectively inhibited tumor growth in an in vivo xenograft study.","container-title":"European Journal of Medicinal Chemistry","DOI":"10.1016/j.ejmech.2020.112769","ISSN":"0223-5234","journalAbbreviation":"European Journal of Medicinal Chemistry","page":"112769","source":"ScienceDirect","title":"Design and characterization of cereblon-mediated androgen receptor proteolysis-targeting chimeras","volume":"208","author":[{"family":"Takwale","given":"Akshay D."},{"family":"Jo","given":"Seung-Hyun"},{"family":"Jeon","given":"Yeong Uk"},{"family":"Kim","given":"Hyung Soo"},{"family":"Shin","given":"Choong Hoon"},{"family":"Lee","given":"Heung Kyoung"},{"family":"Ahn","given":"Sunjoo"},{"family":"Lee","given":"Chong Ock"},{"family":"Du Ha","given":"Jae"},{"family":"Kim","given":"Jeong-Hoon"},{"family":"Hwang","given":"Jong Yeon"}],"issued":{"date-parts":[["2020",12,15]]}}}],"schema":"https://github.com/citation-style-language/schema/raw/master/csl-citation.json"}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C92566">
              <w:rPr>
                <w:rFonts w:ascii="Aptos Narrow" w:hAnsi="Aptos Narrow" w:cs="Times New Roman"/>
                <w:kern w:val="0"/>
                <w:sz w:val="22"/>
                <w:vertAlign w:val="superscript"/>
              </w:rPr>
              <w:t>60</w:t>
            </w:r>
            <w:r>
              <w:rPr>
                <w:rFonts w:ascii="Aptos Narrow" w:eastAsia="Times New Roman" w:hAnsi="Aptos Narrow" w:cs="Times New Roman"/>
                <w:color w:val="000000"/>
                <w:kern w:val="0"/>
                <w:sz w:val="22"/>
                <w:szCs w:val="22"/>
                <w14:ligatures w14:val="none"/>
              </w:rPr>
              <w:fldChar w:fldCharType="end"/>
            </w:r>
          </w:p>
        </w:tc>
      </w:tr>
      <w:tr w:rsidR="00CA3A28" w:rsidRPr="00367563" w14:paraId="2B2FE5D1" w14:textId="77777777" w:rsidTr="00CA3A28">
        <w:trPr>
          <w:trHeight w:val="288"/>
        </w:trPr>
        <w:tc>
          <w:tcPr>
            <w:tcW w:w="2695" w:type="dxa"/>
            <w:noWrap/>
            <w:vAlign w:val="bottom"/>
            <w:hideMark/>
          </w:tcPr>
          <w:p w14:paraId="3EA5A634"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32b</w:t>
            </w:r>
          </w:p>
        </w:tc>
        <w:tc>
          <w:tcPr>
            <w:tcW w:w="1330" w:type="dxa"/>
            <w:noWrap/>
            <w:vAlign w:val="bottom"/>
            <w:hideMark/>
          </w:tcPr>
          <w:p w14:paraId="73E5EA39"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0.125</w:t>
            </w:r>
          </w:p>
        </w:tc>
        <w:tc>
          <w:tcPr>
            <w:tcW w:w="960" w:type="dxa"/>
            <w:noWrap/>
            <w:vAlign w:val="bottom"/>
            <w:hideMark/>
          </w:tcPr>
          <w:p w14:paraId="5657803F" w14:textId="25B71594"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75DFCE5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25FB0D09" w14:textId="260B4805" w:rsidR="00CA3A28" w:rsidRPr="00367563" w:rsidRDefault="00C9256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{"citationID":"MwJS4tYL","properties":{"unsorted":false,"formattedCitation":"\\super 60\\nosupersub{}","plainCitation":"60","noteIndex":0},"citationItems":[{"id":1352,"uris":["http://zotero.org/users/7234110/items/LPBMYLPX"],"itemData":{"id":1352,"type":"article-journal","abstract":"Proteolysis-targeting chimera (PROTAC)-mediated protein degradation is a rapidly emerging therapeutic intervention that induces the degradation of targeted proteins. Herein, we report the design and biological evaluation of a series of androgen receptor (AR) PROTAC degraders for the treatment of metastatic castration-resistant prostate cancer. Predominantly, instead of thalidomide, we utilized the TD-106 scaffold, a novel cereblon (CRBN) binder that was identified in our previous study. Our results suggest that the linker position in the TD-106 CRBN binder is critical for the efficiency of AR degradation. The compounds attached to the 6-position of TD-106 promoted better degradation of AR than those at the 5- and 7-positions. Among the synthesized AR PROTACs, the representative degrader 33c (TD-802) effectively induced AR protein degradation, with a degradation concentration 50% of 12.5 nM and a maximum degradation of 93% in LNCaP prostate cancer cells. Additionally, most AR PROTAC degraders, including TD-802, displayed good liver microsomal stability and in vivo pharmacokinetic properties. Finally, we showed that TD-802 effectively inhibited tumor growth in an in vivo xenograft study.","container-title":"European Journal of Medicinal Chemistry","DOI":"10.1016/j.ejmech.2020.112769","ISSN":"0223-5234","journalAbbreviation":"European Journal of Medicinal Chemistry","page":"112769","source":"ScienceDirect","title":"Design and characterization of cereblon-mediated androgen receptor proteolysis-targeting chimeras","volume":"208","author":[{"family":"Takwale","given":"Akshay D."},{"family":"Jo","given":"Seung-Hyun"},{"family":"Jeon","given":"Yeong Uk"},{"family":"Kim","given":"Hyung Soo"},{"family":"Shin","given":"Choong Hoon"},{"family":"Lee","given":"Heung Kyoung"},{"family":"Ahn","given":"Sunjoo"},{"family":"Lee","given":"Chong Ock"},{"family":"Du Ha","given":"Jae"},{"family":"Kim","given":"Jeong-Hoon"},{"family":"Hwang","given":"Jong Yeon"}],"issued":{"date-parts":[["2020",12,15]]}}}],"schema":"https://github.com/citation-style-language/schema/raw/master/csl-citation.json"}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C92566">
              <w:rPr>
                <w:rFonts w:ascii="Aptos Narrow" w:hAnsi="Aptos Narrow" w:cs="Times New Roman"/>
                <w:kern w:val="0"/>
                <w:sz w:val="22"/>
                <w:vertAlign w:val="superscript"/>
              </w:rPr>
              <w:t>60</w:t>
            </w:r>
            <w:r>
              <w:rPr>
                <w:rFonts w:ascii="Aptos Narrow" w:eastAsia="Times New Roman" w:hAnsi="Aptos Narrow" w:cs="Times New Roman"/>
                <w:color w:val="000000"/>
                <w:kern w:val="0"/>
                <w:sz w:val="22"/>
                <w:szCs w:val="22"/>
                <w14:ligatures w14:val="none"/>
              </w:rPr>
              <w:fldChar w:fldCharType="end"/>
            </w:r>
          </w:p>
        </w:tc>
      </w:tr>
      <w:tr w:rsidR="00CA3A28" w:rsidRPr="00367563" w14:paraId="6B17A9E0" w14:textId="77777777" w:rsidTr="00CA3A28">
        <w:trPr>
          <w:trHeight w:val="288"/>
        </w:trPr>
        <w:tc>
          <w:tcPr>
            <w:tcW w:w="2695" w:type="dxa"/>
            <w:noWrap/>
            <w:vAlign w:val="bottom"/>
            <w:hideMark/>
          </w:tcPr>
          <w:p w14:paraId="67904AB4"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33c; TD-802</w:t>
            </w:r>
          </w:p>
        </w:tc>
        <w:tc>
          <w:tcPr>
            <w:tcW w:w="1330" w:type="dxa"/>
            <w:noWrap/>
            <w:vAlign w:val="bottom"/>
            <w:hideMark/>
          </w:tcPr>
          <w:p w14:paraId="258EDC0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0.75</w:t>
            </w:r>
          </w:p>
        </w:tc>
        <w:tc>
          <w:tcPr>
            <w:tcW w:w="960" w:type="dxa"/>
            <w:noWrap/>
            <w:vAlign w:val="bottom"/>
            <w:hideMark/>
          </w:tcPr>
          <w:p w14:paraId="749C671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2F2CAA9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5F9826DC" w14:textId="0389927B" w:rsidR="00CA3A28" w:rsidRPr="00367563" w:rsidRDefault="00C9256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{"citationID":"Gm0kDxBU","properties":{"unsorted":false,"formattedCitation":"\\super 60\\nosupersub{}","plainCitation":"60","noteIndex":0},"citationItems":[{"id":1352,"uris":["http://zotero.org/users/7234110/items/LPBMYLPX"],"itemData":{"id":1352,"type":"article-journal","abstract":"Proteolysis-targeting chimera (PROTAC)-mediated protein degradation is a rapidly emerging therapeutic intervention that induces the degradation of targeted proteins. Herein, we report the design and biological evaluation of a series of androgen receptor (AR) PROTAC degraders for the treatment of metastatic castration-resistant prostate cancer. Predominantly, instead of thalidomide, we utilized the TD-106 scaffold, a novel cereblon (CRBN) binder that was identified in our previous study. Our results suggest that the linker position in the TD-106 CRBN binder is critical for the efficiency of AR degradation. The compounds attached to the 6-position of TD-106 promoted better degradation of AR than those at the 5- and 7-positions. Among the synthesized AR PROTACs, the representative degrader 33c (TD-802) effectively induced AR protein degradation, with a degradation concentration 50% of 12.5 nM and a maximum degradation of 93% in LNCaP prostate cancer cells. Additionally, most AR PROTAC degraders, including TD-802, displayed good liver microsomal stability and in vivo pharmacokinetic properties. Finally, we showed that TD-802 effectively inhibited tumor growth in an in vivo xenograft study.","container-title":"European Journal of Medicinal Chemistry","DOI":"10.1016/j.ejmech.2020.112769","ISSN":"0223-5234","journalAbbreviation":"European Journal of Medicinal Chemistry","page":"112769","source":"ScienceDirect","title":"Design and characterization of cereblon-mediated androgen receptor proteolysis-targeting chimeras","volume":"208","author":[{"family":"Takwale","given":"Akshay D."},{"family":"Jo","given":"Seung-Hyun"},{"family":"Jeon","given":"Yeong Uk"},{"family":"Kim","given":"Hyung Soo"},{"family":"Shin","given":"Choong Hoon"},{"family":"Lee","given":"Heung Kyoung"},{"family":"Ahn","given":"Sunjoo"},{"family":"Lee","given":"Chong Ock"},{"family":"Du Ha","given":"Jae"},{"family":"Kim","given":"Jeong-Hoon"},{"family":"Hwang","given":"Jong Yeon"}],"issued":{"date-parts":[["2020",12,15]]}}}],"schema":"https://github.com/citation-style-language/schema/raw/master/csl-citation.json"}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C92566">
              <w:rPr>
                <w:rFonts w:ascii="Aptos Narrow" w:hAnsi="Aptos Narrow" w:cs="Times New Roman"/>
                <w:kern w:val="0"/>
                <w:sz w:val="22"/>
                <w:vertAlign w:val="superscript"/>
              </w:rPr>
              <w:t>60</w:t>
            </w:r>
            <w:r>
              <w:rPr>
                <w:rFonts w:ascii="Aptos Narrow" w:eastAsia="Times New Roman" w:hAnsi="Aptos Narrow" w:cs="Times New Roman"/>
                <w:color w:val="000000"/>
                <w:kern w:val="0"/>
                <w:sz w:val="22"/>
                <w:szCs w:val="22"/>
                <w14:ligatures w14:val="none"/>
              </w:rPr>
              <w:fldChar w:fldCharType="end"/>
            </w:r>
          </w:p>
        </w:tc>
      </w:tr>
      <w:tr w:rsidR="00CA3A28" w:rsidRPr="00367563" w14:paraId="25D41E62" w14:textId="77777777" w:rsidTr="00CA3A28">
        <w:trPr>
          <w:trHeight w:val="288"/>
        </w:trPr>
        <w:tc>
          <w:tcPr>
            <w:tcW w:w="2695" w:type="dxa"/>
            <w:noWrap/>
            <w:vAlign w:val="bottom"/>
            <w:hideMark/>
          </w:tcPr>
          <w:p w14:paraId="05DCDC0E"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33c; TD-802</w:t>
            </w:r>
          </w:p>
        </w:tc>
        <w:tc>
          <w:tcPr>
            <w:tcW w:w="1330" w:type="dxa"/>
            <w:noWrap/>
            <w:vAlign w:val="bottom"/>
            <w:hideMark/>
          </w:tcPr>
          <w:p w14:paraId="04F2CB4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0.125</w:t>
            </w:r>
          </w:p>
        </w:tc>
        <w:tc>
          <w:tcPr>
            <w:tcW w:w="960" w:type="dxa"/>
            <w:noWrap/>
            <w:vAlign w:val="bottom"/>
            <w:hideMark/>
          </w:tcPr>
          <w:p w14:paraId="716DDDA6" w14:textId="19061811"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1EDD2E9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2651A92E" w14:textId="2C9568B9" w:rsidR="00CA3A28" w:rsidRPr="00367563" w:rsidRDefault="00C9256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{"citationID":"Z33faRUo","properties":{"unsorted":false,"formattedCitation":"\\super 60\\nosupersub{}","plainCitation":"60","noteIndex":0},"citationItems":[{"id":1352,"uris":["http://zotero.org/users/7234110/items/LPBMYLPX"],"itemData":{"id":1352,"type":"article-journal","abstract":"Proteolysis-targeting chimera (PROTAC)-mediated protein degradation is a rapidly emerging therapeutic intervention that induces the degradation of targeted proteins. Herein, we report the design and biological evaluation of a series of androgen receptor (AR) PROTAC degraders for the treatment of metastatic castration-resistant prostate cancer. Predominantly, instead of thalidomide, we utilized the TD-106 scaffold, a novel cereblon (CRBN) binder that was identified in our previous study. Our results suggest that the linker position in the TD-106 CRBN binder is critical for the efficiency of AR degradation. The compounds attached to the 6-position of TD-106 promoted better degradation of AR than those at the 5- and 7-positions. Among the synthesized AR PROTACs, the representative degrader 33c (TD-802) effectively induced AR protein degradation, with a degradation concentration 50% of 12.5 nM and a maximum degradation of 93% in LNCaP prostate cancer cells. Additionally, most AR PROTAC degraders, including TD-802, displayed good liver microsomal stability and in vivo pharmacokinetic properties. Finally, we showed that TD-802 effectively inhibited tumor growth in an in vivo xenograft study.","container-title":"European Journal of Medicinal Chemistry","DOI":"10.1016/j.ejmech.2020.112769","ISSN":"0223-5234","journalAbbreviation":"European Journal of Medicinal Chemistry","page":"112769","source":"ScienceDirect","title":"Design and characterization of cereblon-mediated androgen receptor proteolysis-targeting chimeras","volume":"208","author":[{"family":"Takwale","given":"Akshay D."},{"family":"Jo","given":"Seung-Hyun"},{"family":"Jeon","given":"Yeong Uk"},{"family":"Kim","given":"Hyung Soo"},{"family":"Shin","given":"Choong Hoon"},{"family":"Lee","given":"Heung Kyoung"},{"family":"Ahn","given":"Sunjoo"},{"family":"Lee","given":"Chong Ock"},{"family":"Du Ha","given":"Jae"},{"family":"Kim","given":"Jeong-Hoon"},{"family":"Hwang","given":"Jong Yeon"}],"issued":{"date-parts":[["2020",12,15]]}}}],"schema":"https://github.com/citation-style-language/schema/raw/master/csl-citation.json"}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C92566">
              <w:rPr>
                <w:rFonts w:ascii="Aptos Narrow" w:hAnsi="Aptos Narrow" w:cs="Times New Roman"/>
                <w:kern w:val="0"/>
                <w:sz w:val="22"/>
                <w:vertAlign w:val="superscript"/>
              </w:rPr>
              <w:t>60</w:t>
            </w:r>
            <w:r>
              <w:rPr>
                <w:rFonts w:ascii="Aptos Narrow" w:eastAsia="Times New Roman" w:hAnsi="Aptos Narrow" w:cs="Times New Roman"/>
                <w:color w:val="000000"/>
                <w:kern w:val="0"/>
                <w:sz w:val="22"/>
                <w:szCs w:val="22"/>
                <w14:ligatures w14:val="none"/>
              </w:rPr>
              <w:fldChar w:fldCharType="end"/>
            </w:r>
          </w:p>
        </w:tc>
      </w:tr>
      <w:tr w:rsidR="00CA3A28" w:rsidRPr="00367563" w14:paraId="6216465B" w14:textId="77777777" w:rsidTr="00CA3A28">
        <w:trPr>
          <w:trHeight w:val="288"/>
        </w:trPr>
        <w:tc>
          <w:tcPr>
            <w:tcW w:w="2695" w:type="dxa"/>
            <w:noWrap/>
            <w:vAlign w:val="bottom"/>
            <w:hideMark/>
          </w:tcPr>
          <w:p w14:paraId="559E52D1"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35b</w:t>
            </w:r>
          </w:p>
        </w:tc>
        <w:tc>
          <w:tcPr>
            <w:tcW w:w="1330" w:type="dxa"/>
            <w:noWrap/>
            <w:vAlign w:val="bottom"/>
            <w:hideMark/>
          </w:tcPr>
          <w:p w14:paraId="35DC052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0.75</w:t>
            </w:r>
          </w:p>
        </w:tc>
        <w:tc>
          <w:tcPr>
            <w:tcW w:w="960" w:type="dxa"/>
            <w:noWrap/>
            <w:vAlign w:val="bottom"/>
            <w:hideMark/>
          </w:tcPr>
          <w:p w14:paraId="54BD775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0399035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202261FF" w14:textId="34AE5017" w:rsidR="00CA3A28" w:rsidRPr="00367563" w:rsidRDefault="00C9256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{"citationID":"HGZA6dv0","properties":{"unsorted":false,"formattedCitation":"\\super 60\\nosupersub{}","plainCitation":"60","noteIndex":0},"citationItems":[{"id":1352,"uris":["http://zotero.org/users/7234110/items/LPBMYLPX"],"itemData":{"id":1352,"type":"article-journal","abstract":"Proteolysis-targeting chimera (PROTAC)-mediated protein degradation is a rapidly emerging therapeutic intervention that induces the degradation of targeted proteins. Herein, we report the design and biological evaluation of a series of androgen receptor (AR) PROTAC degraders for the treatment of metastatic castration-resistant prostate cancer. Predominantly, instead of thalidomide, we utilized the TD-106 scaffold, a novel cereblon (CRBN) binder that was identified in our previous study. Our results suggest that the linker position in the TD-106 CRBN binder is critical for the efficiency of AR degradation. The compounds attached to the 6-position of TD-106 promoted better degradation of AR than those at the 5- and 7-positions. Among the synthesized AR PROTACs, the representative degrader 33c (TD-802) effectively induced AR protein degradation, with a degradation concentration 50% of 12.5 nM and a maximum degradation of 93% in LNCaP prostate cancer cells. Additionally, most AR PROTAC degraders, including TD-802, displayed good liver microsomal stability and in vivo pharmacokinetic properties. Finally, we showed that TD-802 effectively inhibited tumor growth in an in vivo xenograft study.","container-title":"European Journal of Medicinal Chemistry","DOI":"10.1016/j.ejmech.2020.112769","ISSN":"0223-5234","journalAbbreviation":"European Journal of Medicinal Chemistry","page":"112769","source":"ScienceDirect","title":"Design and characterization of cereblon-mediated androgen receptor proteolysis-targeting chimeras","volume":"208","author":[{"family":"Takwale","given":"Akshay D."},{"family":"Jo","given":"Seung-Hyun"},{"family":"Jeon","given":"Yeong Uk"},{"family":"Kim","given":"Hyung Soo"},{"family":"Shin","given":"Choong Hoon"},{"family":"Lee","given":"Heung Kyoung"},{"family":"Ahn","given":"Sunjoo"},{"family":"Lee","given":"Chong Ock"},{"family":"Du Ha","given":"Jae"},{"family":"Kim","given":"Jeong-Hoon"},{"family":"Hwang","given":"Jong Yeon"}],"issued":{"date-parts":[["2020",12,15]]}}}],"schema":"https://github.com/citation-style-language/schema/raw/master/csl-citation.json"}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C92566">
              <w:rPr>
                <w:rFonts w:ascii="Aptos Narrow" w:hAnsi="Aptos Narrow" w:cs="Times New Roman"/>
                <w:kern w:val="0"/>
                <w:sz w:val="22"/>
                <w:vertAlign w:val="superscript"/>
              </w:rPr>
              <w:t>60</w:t>
            </w:r>
            <w:r>
              <w:rPr>
                <w:rFonts w:ascii="Aptos Narrow" w:eastAsia="Times New Roman" w:hAnsi="Aptos Narrow" w:cs="Times New Roman"/>
                <w:color w:val="000000"/>
                <w:kern w:val="0"/>
                <w:sz w:val="22"/>
                <w:szCs w:val="22"/>
                <w14:ligatures w14:val="none"/>
              </w:rPr>
              <w:fldChar w:fldCharType="end"/>
            </w:r>
          </w:p>
        </w:tc>
      </w:tr>
      <w:tr w:rsidR="00CA3A28" w:rsidRPr="00367563" w14:paraId="2AA26A7D" w14:textId="77777777" w:rsidTr="00CA3A28">
        <w:trPr>
          <w:trHeight w:val="288"/>
        </w:trPr>
        <w:tc>
          <w:tcPr>
            <w:tcW w:w="2695" w:type="dxa"/>
            <w:noWrap/>
            <w:vAlign w:val="bottom"/>
            <w:hideMark/>
          </w:tcPr>
          <w:p w14:paraId="0B95FF48"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35b</w:t>
            </w:r>
          </w:p>
        </w:tc>
        <w:tc>
          <w:tcPr>
            <w:tcW w:w="1330" w:type="dxa"/>
            <w:noWrap/>
            <w:vAlign w:val="bottom"/>
            <w:hideMark/>
          </w:tcPr>
          <w:p w14:paraId="146F280E"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0.125</w:t>
            </w:r>
          </w:p>
        </w:tc>
        <w:tc>
          <w:tcPr>
            <w:tcW w:w="960" w:type="dxa"/>
            <w:noWrap/>
            <w:vAlign w:val="bottom"/>
            <w:hideMark/>
          </w:tcPr>
          <w:p w14:paraId="07604BB9" w14:textId="405115ED"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1445B93F"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51E072D6" w14:textId="24733861" w:rsidR="00CA3A28" w:rsidRPr="00367563" w:rsidRDefault="00C9256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{"citationID":"EXLVVpaD","properties":{"unsorted":false,"formattedCitation":"\\super 60\\nosupersub{}","plainCitation":"60","noteIndex":0},"citationItems":[{"id":1352,"uris":["http://zotero.org/users/7234110/items/LPBMYLPX"],"itemData":{"id":1352,"type":"article-journal","abstract":"Proteolysis-targeting chimera (PROTAC)-mediated protein degradation is a rapidly emerging therapeutic intervention that induces the degradation of targeted proteins. Herein, we report the design and biological evaluation of a series of androgen receptor (AR) PROTAC degraders for the treatment of metastatic castration-resistant prostate cancer. Predominantly, instead of thalidomide, we utilized the TD-106 scaffold, a novel cereblon (CRBN) binder that was identified in our previous study. Our results suggest that the linker position in the TD-106 CRBN binder is critical for the efficiency of AR degradation. The compounds attached to the 6-position of TD-106 promoted better degradation of AR than those at the 5- and 7-positions. Among the synthesized AR PROTACs, the representative degrader 33c (TD-802) effectively induced AR protein degradation, with a degradation concentration 50% of 12.5 nM and a maximum degradation of 93% in LNCaP prostate cancer cells. Additionally, most AR PROTAC degraders, including TD-802, displayed good liver microsomal stability and in vivo pharmacokinetic properties. Finally, we showed that TD-802 effectively inhibited tumor growth in an in vivo xenograft study.","container-title":"European Journal of Medicinal Chemistry","DOI":"10.1016/j.ejmech.2020.112769","ISSN":"0223-5234","journalAbbreviation":"European Journal of Medicinal Chemistry","page":"112769","source":"ScienceDirect","title":"Design and characterization of cereblon-mediated androgen receptor proteolysis-targeting chimeras","volume":"208","author":[{"family":"Takwale","given":"Akshay D."},{"family":"Jo","given":"Seung-Hyun"},{"family":"Jeon","given":"Yeong Uk"},{"family":"Kim","given":"Hyung Soo"},{"family":"Shin","given":"Choong Hoon"},{"family":"Lee","given":"Heung Kyoung"},{"family":"Ahn","given":"Sunjoo"},{"family":"Lee","given":"Chong Ock"},{"family":"Du Ha","given":"Jae"},{"family":"Kim","given":"Jeong-Hoon"},{"family":"Hwang","given":"Jong Yeon"}],"issued":{"date-parts":[["2020",12,15]]}}}],"schema":"https://github.com/citation-style-language/schema/raw/master/csl-citation.json"}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C92566">
              <w:rPr>
                <w:rFonts w:ascii="Aptos Narrow" w:hAnsi="Aptos Narrow" w:cs="Times New Roman"/>
                <w:kern w:val="0"/>
                <w:sz w:val="22"/>
                <w:vertAlign w:val="superscript"/>
              </w:rPr>
              <w:t>60</w:t>
            </w:r>
            <w:r>
              <w:rPr>
                <w:rFonts w:ascii="Aptos Narrow" w:eastAsia="Times New Roman" w:hAnsi="Aptos Narrow" w:cs="Times New Roman"/>
                <w:color w:val="000000"/>
                <w:kern w:val="0"/>
                <w:sz w:val="22"/>
                <w:szCs w:val="22"/>
                <w14:ligatures w14:val="none"/>
              </w:rPr>
              <w:fldChar w:fldCharType="end"/>
            </w:r>
          </w:p>
        </w:tc>
      </w:tr>
      <w:tr w:rsidR="00CA3A28" w:rsidRPr="00367563" w14:paraId="113CDEF8" w14:textId="77777777" w:rsidTr="00CA3A28">
        <w:trPr>
          <w:trHeight w:val="288"/>
        </w:trPr>
        <w:tc>
          <w:tcPr>
            <w:tcW w:w="2695" w:type="dxa"/>
            <w:noWrap/>
            <w:vAlign w:val="bottom"/>
            <w:hideMark/>
          </w:tcPr>
          <w:p w14:paraId="33DC02B8" w14:textId="1B462B1D"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Chlorthalidone</w:t>
            </w:r>
          </w:p>
        </w:tc>
        <w:tc>
          <w:tcPr>
            <w:tcW w:w="1330" w:type="dxa"/>
            <w:noWrap/>
            <w:vAlign w:val="bottom"/>
            <w:hideMark/>
          </w:tcPr>
          <w:p w14:paraId="1A61275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0.025</w:t>
            </w:r>
          </w:p>
        </w:tc>
        <w:tc>
          <w:tcPr>
            <w:tcW w:w="960" w:type="dxa"/>
            <w:noWrap/>
            <w:vAlign w:val="bottom"/>
            <w:hideMark/>
          </w:tcPr>
          <w:p w14:paraId="1C2FB816" w14:textId="318445CF"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6DB5D84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743786D7" w14:textId="11F58C3A" w:rsidR="00CA3A28" w:rsidRPr="00367563" w:rsidRDefault="00B8309A"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{"citationID":"zKvujYH4","properties":{"unsorted":false,"formattedCitation":"\\super 61\\nosupersub{}","plainCitation":"61","noteIndex":0},"citationItems":[{"id":1252,"uris":["http://zotero.org/users/7234110/items/XKA9PTXT"],"itemData":{"id":1252,"type":"article-journal","abstract":"Pharmacokinetic (PK) studies in mice usually require discrete and parallel blood sampling owing to a restriction on the volume of blood that can be withdrawn. This results in dosing large number of animals and generating composite PK profile. To reduce the number of animals and generate individual animal PK profiles, we developed a serial sampling technique via tail vein bleeding in mice, in which only 20-30 μL blood was withdrawn per time point. Due to the small blood volume, a dried-blood spot (DBS) technique was applied for sample processing. The utility of this technique was demonstrated using three test compounds (amodiaquine, chloroquine and chlorthalidone), with varying degrees of blood-to-plasma partition ratios. The PK studies were carried out in male Balb/c mouse weighing 25-30 g. The compounds were administered intravenously via the saphenous vein. Blood was collected by composite (retro-orbital plexus) or serial (tail vein bleeding) sampling techniques at different time points. Blood samples were processed as blood lysate or DBS. Blood or plasma samples were analyzed by sensitive and rapid UPLC-MS/MS methods. The blood concentrations (both from blood lysate and DBS) obtained from serial sampling matched with those from composite sampling. The ratio of blood AUC to plasma AUC correlated well with the in vitro blood-to-plasma partition ratio of the compounds. The systemic clearance and volume of distribution at steady state calculated from blood or plasma AUCs were in proportion to the respective AUCs. Our results indicated that the serial sampling technique would reduce the number of animals and also compound usage, as well as improve the quality of pharmacokinetic data. Also, the serial sampling technique does not require the use of anesthesia and allows estimation of inter-animal variability in PK. A small volume serial sampling is possible due to the availability of the DBS technique.","container-title":"European Journal of Drug Metabolism and Pharmacokinetics","DOI":"10.1007/s13318-011-0066-5","ISSN":"0378-7966","issue":"1","journalAbbreviation":"Eur J Drug Metab Pharmacokinet","language":"eng","page":"23-30","PMID":"21948266","source":"PubMed","title":"A modified serial blood sampling technique and utility of dried-blood spot technique in estimation of blood concentration: application in mouse pharmacokinetics","title-short":"A modified serial blood sampling technique and utility of dried-blood spot technique in estimation of blood concentration","volume":"37","author":[{"family":"Kurawattimath","given":"Vishwanath"},{"family":"Pocha","given":"Krishna"},{"family":"Mariappan","given":"T. Thanga"},{"family":"Trivedi","given":"Ravi Kumar"},{"family":"Mandlekar","given":"Sandhya"}],"issued":{"date-parts":[["2012",3]]}}}],"schema":"https://github.com/citation-style-language/schema/raw/master/csl-citation.json"}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61</w:t>
            </w:r>
            <w:r>
              <w:rPr>
                <w:rFonts w:ascii="Aptos Narrow" w:eastAsia="Times New Roman" w:hAnsi="Aptos Narrow" w:cs="Times New Roman"/>
                <w:color w:val="000000"/>
                <w:kern w:val="0"/>
                <w:sz w:val="22"/>
                <w:szCs w:val="22"/>
                <w14:ligatures w14:val="none"/>
              </w:rPr>
              <w:fldChar w:fldCharType="end"/>
            </w:r>
          </w:p>
        </w:tc>
      </w:tr>
      <w:tr w:rsidR="00CA3A28" w:rsidRPr="00367563" w14:paraId="09AEB37F" w14:textId="77777777" w:rsidTr="00CA3A28">
        <w:trPr>
          <w:trHeight w:val="288"/>
        </w:trPr>
        <w:tc>
          <w:tcPr>
            <w:tcW w:w="2695" w:type="dxa"/>
            <w:noWrap/>
            <w:vAlign w:val="bottom"/>
            <w:hideMark/>
          </w:tcPr>
          <w:p w14:paraId="6742831E"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CP-74,667</w:t>
            </w:r>
          </w:p>
        </w:tc>
        <w:tc>
          <w:tcPr>
            <w:tcW w:w="1330" w:type="dxa"/>
            <w:noWrap/>
            <w:vAlign w:val="bottom"/>
            <w:hideMark/>
          </w:tcPr>
          <w:p w14:paraId="7DAD0A7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0.5</w:t>
            </w:r>
          </w:p>
        </w:tc>
        <w:tc>
          <w:tcPr>
            <w:tcW w:w="960" w:type="dxa"/>
            <w:noWrap/>
            <w:vAlign w:val="bottom"/>
            <w:hideMark/>
          </w:tcPr>
          <w:p w14:paraId="72782929"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06CFFC5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740F4A9F" w14:textId="29E6C96F"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{"citationID":"lK9XmUvb","properties":{"unsorted":false,"formattedCitation":"\\super 7\\nosupersub{}","plainCitation":"7","noteIndex":0},"citationItems":[{"id":1231,"uris":["http://zotero.org/users/7234110/items/6LHWYBAG"],"itemData":{"id":1231,"type":"article-journal","abstract":"The pharmacokinetics of CP-74,667 (7-(8'-methyl-3',8'-diazabicyclo[3.2.1]oct-3'-yl)-1-cyclopropyl-6- fluoro-1,4-dihydro-4-oxo-3-quinolinecarboxylic acid) were studied following oral or parenteral administration in mice, rats, rabbits, dogs, and cynomolgus monkeys. The mean peak levels of CP-74,667 in serum following a single oral dose of 20 mg/kg of body weight were similar in all species, with a range of 3.7 micrograms/ml in mice to 5.6 micrograms/ml in dogs. In contrast, elimination half-lives were species dependent, with mean values of 2.1, 1.8, 4.5, 7.8, and 13.1 h in mice, rats, rabbits, dogs, and monkeys, respectively. The oral bioavailability of CP-74,667 was 100% in dogs and monkeys, as determined by intravenous-oral crossover experiments. The maximum concentration of drug in serum and area under the concentration-time curve (AUC) of CP-74,667 in dogs were proportional to dose over the range of 5 to 40 mg/kg. Accumulation of drug in serum was observed following the administration of four once-a-day doses of 7.1 mg/kg in monkeys (mimicking a 500-mg human dose), with significant increases in half-life, maximum and minimum concentrations of drug in serum, and AUC. The good tissue penetration of CP-74,667 suggested by a volume of distribution in excess of 2 liters/kg in dogs and monkeys was confirmed by tissue distribution studies with the same species, which demonstrated tissue concentrations (except for those in brain tissue) greater than 1.45 times higher than corresponding levels in serum. The mean urinary recoveries of unchanged drug were 17.7% in rats, 7.8% in monkeys, and 4.9% in dogs. Metabolism studies in dogs, following intravenous dosing, indicated that renal excretion of CP-74,667-related materials accounted for 41.6% of the administered dose, while biliary recoveries accounted for 6.8%. The CP-74,667 N-oxide metabolite was the primary drug-related material eliminated via renal excretion (37.2% of dose). The pharmacokinetics of CP-74,667 describe a quinolone with complete oral absorption, linear pharmacokinetics, a long elimination half-life, and wide distribution into tissues.","container-title":"Antimicrobial Agents and Chemotherapy","DOI":"10.1128/aac.36.8.1671","issue":"8","page":"1671-1676","publisher":"American Society for Microbiology","source":"journals.asm.org (Atypon)","title":"Pharmacokinetic studies of CP-74,667, a new quinolone, in laboratory animals","volume":"36","author":[{"family":"Girard","given":"D"},{"family":"Gootz","given":"T D"},{"family":"McGuirk","given":"P R"}],"issued":{"date-parts":[["1992",8]]}}}],"schema":"https://github.com/citation-style-language/schema/raw/master/csl-citation.json"}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B41D8">
              <w:rPr>
                <w:rFonts w:ascii="Aptos Narrow" w:hAnsi="Aptos Narrow" w:cs="Times New Roman"/>
                <w:kern w:val="0"/>
                <w:sz w:val="22"/>
                <w:vertAlign w:val="superscript"/>
              </w:rPr>
              <w:t>7</w:t>
            </w:r>
            <w:r>
              <w:rPr>
                <w:rFonts w:ascii="Aptos Narrow" w:eastAsia="Times New Roman" w:hAnsi="Aptos Narrow" w:cs="Times New Roman"/>
                <w:color w:val="000000"/>
                <w:kern w:val="0"/>
                <w:sz w:val="22"/>
                <w:szCs w:val="22"/>
                <w14:ligatures w14:val="none"/>
              </w:rPr>
              <w:fldChar w:fldCharType="end"/>
            </w:r>
          </w:p>
        </w:tc>
      </w:tr>
      <w:tr w:rsidR="00CA3A28" w:rsidRPr="00367563" w14:paraId="222E5516" w14:textId="77777777" w:rsidTr="00CA3A28">
        <w:trPr>
          <w:trHeight w:val="288"/>
        </w:trPr>
        <w:tc>
          <w:tcPr>
            <w:tcW w:w="2695" w:type="dxa"/>
            <w:noWrap/>
            <w:vAlign w:val="bottom"/>
            <w:hideMark/>
          </w:tcPr>
          <w:p w14:paraId="0E28BAD3"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Crizotinib (PF-02341066)</w:t>
            </w:r>
          </w:p>
        </w:tc>
        <w:tc>
          <w:tcPr>
            <w:tcW w:w="1330" w:type="dxa"/>
            <w:noWrap/>
            <w:vAlign w:val="bottom"/>
            <w:hideMark/>
          </w:tcPr>
          <w:p w14:paraId="4B93E028"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0.265</w:t>
            </w:r>
          </w:p>
        </w:tc>
        <w:tc>
          <w:tcPr>
            <w:tcW w:w="960" w:type="dxa"/>
            <w:noWrap/>
            <w:vAlign w:val="bottom"/>
            <w:hideMark/>
          </w:tcPr>
          <w:p w14:paraId="030B3E85"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616A1B94"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3EB0DD80" w14:textId="51D3CECE" w:rsidR="00CA3A28" w:rsidRPr="00367563" w:rsidRDefault="0027356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{"citationID":"O8MzJXtY","properties":{"unsorted":false,"formattedCitation":"\\super 62\\nosupersub{}","plainCitation":"62","noteIndex":0},"citationItems":[{"id":1258,"uris":["http://zotero.org/users/7234110/items/LR72D4CX"],"itemData":{"id":1258,"type":"article-journal","abstract":"Background: Initial pharmacokinetic (PK) studies of discovery compounds are conducted in mice to demonstrate exposure prior to conducting efficacy studies. PK information obtained from a single mouse by serial blood microsampling, dried blood spot collection and analyses using microbore (1 mm internal diameter column) LC–MS/MS is presented. Ex vivo blood to plasma concentration ratios (BPRs) from mouse PK studies were compared with in vitro BPRs for 15 compounds. Results: Two compounds were orally dosed and blood was collected at time points via serial blood sampling. The calculated PK parameters (AUC, Tmax and Cmax) were comparable across liquid blood, dried blood spot and plasma matrices. The BPR results from both methods were comparable. Conclusion: Serial blood microsampling has led to reduced animal and compound usage with improved PK data. Ex vivo BPR is suitable in a discovery setting. Microbore LC–MS/MS is well suited in instances where sample volume is limited, and enables faster analyses, reduced solvent use, and less frequent MS source cleaning.","container-title":"Bioanalysis","DOI":"10.4155/bio.12.85","ISSN":"1757-6180","issue":"9","note":"_eprint: https://doi.org/10.4155/bio.12.85","page":"1077-1095","PMID":"22612688","publisher":"Taylor &amp; Francis","source":"Taylor and Francis+NEJM","title":"Discovery Pharmacokinetic Studies in Mice Using Serial Microsampling, Dried Blood Spots And Microbore Lc–MS/MS","volume":"4","author":[{"family":"Rahavendran","given":"Sadayappan V"},{"family":"Vekich","given":"Sylvia"},{"family":"Skor","given":"Heather"},{"family":"Batugo","given":"Minerva"},{"family":"Nguyen","given":"Leslie"},{"family":"Shetty","given":"Bhasker"},{"family":"Shen","given":"Zhongzhou"}],"issued":{"date-parts":[["2012",5,1]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62</w:t>
            </w:r>
            <w:r>
              <w:rPr>
                <w:rFonts w:ascii="Aptos Narrow" w:eastAsia="Times New Roman" w:hAnsi="Aptos Narrow" w:cs="Times New Roman"/>
                <w:color w:val="000000"/>
                <w:kern w:val="0"/>
                <w:sz w:val="22"/>
                <w:szCs w:val="22"/>
                <w14:ligatures w14:val="none"/>
              </w:rPr>
              <w:fldChar w:fldCharType="end"/>
            </w:r>
          </w:p>
        </w:tc>
      </w:tr>
      <w:tr w:rsidR="00CA3A28" w:rsidRPr="00367563" w14:paraId="44B31169" w14:textId="77777777" w:rsidTr="00CA3A28">
        <w:trPr>
          <w:trHeight w:val="288"/>
        </w:trPr>
        <w:tc>
          <w:tcPr>
            <w:tcW w:w="2695" w:type="dxa"/>
            <w:noWrap/>
            <w:vAlign w:val="bottom"/>
            <w:hideMark/>
          </w:tcPr>
          <w:p w14:paraId="668301CF" w14:textId="3BABFA24"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CHEMBL5183632</w:t>
            </w:r>
          </w:p>
        </w:tc>
        <w:tc>
          <w:tcPr>
            <w:tcW w:w="1330" w:type="dxa"/>
            <w:noWrap/>
            <w:vAlign w:val="bottom"/>
            <w:hideMark/>
          </w:tcPr>
          <w:p w14:paraId="4AE953B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0.5</w:t>
            </w:r>
          </w:p>
        </w:tc>
        <w:tc>
          <w:tcPr>
            <w:tcW w:w="960" w:type="dxa"/>
            <w:noWrap/>
            <w:vAlign w:val="bottom"/>
            <w:hideMark/>
          </w:tcPr>
          <w:p w14:paraId="743D746F"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74A8C82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0A1437F3" w14:textId="70E86604" w:rsidR="00CA3A28" w:rsidRPr="00367563" w:rsidRDefault="00C9256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{"citationID":"OXPQpfnK","properties":{"unsorted":false,"formattedCitation":"\\super 63\\nosupersub{}","plainCitation":"63","noteIndex":0},"citationItems":[{"id":1354,"uris":["http://zotero.org/users/7234110/items/XZRLK5FS"],"itemData":{"id":1354,"type":"article-journal","abstract":"A macrocyclic peptide scaffold with well-established structure–property relationship is desirable for tackling undruggable targets. Here, we adopted a natural macrocycle, cyclosporin O (CsO) and its derivatives (CP1–3), and evaluated the impact of conformation on membrane permeability, cyclophilin A (CypA) binding, and the pharmacokinetic (PK) profile. In nonpolar media, CsO showed a similar conformation to cyclosporin A (CsA), a well-known chameleonic macrocycle, but less chameleonic behavior in a polar environment. The weak chameleonicity of CsO resulted in decreased membrane permeability; however, the more rigid conformation of CsO was not detrimental to its PK profile. CsO exhibited a higher plasma concentration than CsA, which resulted from minimal CypA binding and lower accumulation in red blood cells and moderate oral bioavailability (F = 12%). Our study aids understanding of CsO, a macrocyclic peptide that is less explored than CsA but with greater potential for diversity generation and rational design.","container-title":"Journal of Medicinal Chemistry","DOI":"10.1021/acs.jmedchem.1c00211","ISSN":"0022-2623","issue":"12","journalAbbreviation":"J. Med. Chem.","page":"8272-8286","publisher":"American Chemical Society","source":"ACS Publications","title":"Interplay among Conformation, Intramolecular Hydrogen Bonds, and Chameleonicity in the Membrane Permeability and Cyclophilin A Binding of Macrocyclic Peptide Cyclosporin O Derivatives","volume":"64","author":[{"family":"Lee","given":"Dongjae"},{"family":"Lee","given":"Sungjin"},{"family":"Choi","given":"Jieun"},{"family":"Song","given":"Yoo-Kyung"},{"family":"Kim","given":"Min Ju"},{"family":"Shin","given":"Dae-Seop"},{"family":"Bae","given":"Myung Ae"},{"family":"Kim","given":"Yong-Chul"},{"family":"Park","given":"Chin-Ju"},{"family":"Lee","given":"Kyeong-Ryoon"},{"family":"Choi","given":"Jun-Ho"},{"family":"Seo","given":"Jiwon"}],"issued":{"date-parts":[["2021",6,24]]}}}],"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C92566">
              <w:rPr>
                <w:rFonts w:ascii="Aptos Narrow" w:hAnsi="Aptos Narrow" w:cs="Times New Roman"/>
                <w:kern w:val="0"/>
                <w:sz w:val="22"/>
                <w:vertAlign w:val="superscript"/>
              </w:rPr>
              <w:t>63</w:t>
            </w:r>
            <w:r>
              <w:rPr>
                <w:rFonts w:ascii="Aptos Narrow" w:eastAsia="Times New Roman" w:hAnsi="Aptos Narrow" w:cs="Times New Roman"/>
                <w:color w:val="000000"/>
                <w:kern w:val="0"/>
                <w:sz w:val="22"/>
                <w:szCs w:val="22"/>
                <w14:ligatures w14:val="none"/>
              </w:rPr>
              <w:fldChar w:fldCharType="end"/>
            </w:r>
          </w:p>
        </w:tc>
      </w:tr>
      <w:tr w:rsidR="00CA3A28" w:rsidRPr="00367563" w14:paraId="6FC0B3F4" w14:textId="77777777" w:rsidTr="00CA3A28">
        <w:trPr>
          <w:trHeight w:val="288"/>
        </w:trPr>
        <w:tc>
          <w:tcPr>
            <w:tcW w:w="2695" w:type="dxa"/>
            <w:noWrap/>
            <w:vAlign w:val="bottom"/>
            <w:hideMark/>
          </w:tcPr>
          <w:p w14:paraId="24AFC276" w14:textId="3489DD2A"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CHEMBL5183632</w:t>
            </w:r>
          </w:p>
        </w:tc>
        <w:tc>
          <w:tcPr>
            <w:tcW w:w="1330" w:type="dxa"/>
            <w:noWrap/>
            <w:vAlign w:val="bottom"/>
            <w:hideMark/>
          </w:tcPr>
          <w:p w14:paraId="05C3F021"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0.125</w:t>
            </w:r>
          </w:p>
        </w:tc>
        <w:tc>
          <w:tcPr>
            <w:tcW w:w="960" w:type="dxa"/>
            <w:noWrap/>
            <w:vAlign w:val="bottom"/>
            <w:hideMark/>
          </w:tcPr>
          <w:p w14:paraId="48DFCB80" w14:textId="7CD5BB7B"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4C8EB91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1A5FFEDA" w14:textId="1FFFBE98" w:rsidR="00CA3A28" w:rsidRPr="00367563" w:rsidRDefault="00C9256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{"citationID":"kMECLiFl","properties":{"unsorted":false,"formattedCitation":"\\super 63\\nosupersub{}","plainCitation":"63","noteIndex":0},"citationItems":[{"id":1354,"uris":["http://zotero.org/users/7234110/items/XZRLK5FS"],"itemData":{"id":1354,"type":"article-journal","abstract":"A macrocyclic peptide scaffold with well-established structure–property relationship is desirable for tackling undruggable targets. Here, we adopted a natural macrocycle, cyclosporin O (CsO) and its derivatives (CP1–3), and evaluated the impact of conformation on membrane permeability, cyclophilin A (CypA) binding, and the pharmacokinetic (PK) profile. In nonpolar media, CsO showed a similar conformation to cyclosporin A (CsA), a well-known chameleonic macrocycle, but less chameleonic behavior in a polar environment. The weak chameleonicity of CsO resulted in decreased membrane permeability; however, the more rigid conformation of CsO was not detrimental to its PK profile. CsO exhibited a higher plasma concentration than CsA, which resulted from minimal CypA binding and lower accumulation in red blood cells and moderate oral bioavailability (F = 12%). Our study aids understanding of CsO, a macrocyclic peptide that is less explored than CsA but with greater potential for diversity generation and rational design.","container-title":"Journal of Medicinal Chemistry","DOI":"10.1021/acs.jmedchem.1c00211","ISSN":"0022-2623","issue":"12","journalAbbreviation":"J. Med. Chem.","page":"8272-8286","publisher":"American Chemical Society","source":"ACS Publications","title":"Interplay among Conformation, Intramolecular Hydrogen Bonds, and Chameleonicity in the Membrane Permeability and Cyclophilin A Binding of Macrocyclic Peptide Cyclosporin O Derivatives","volume":"64","author":[{"family":"Lee","given":"Dongjae"},{"family":"Lee","given":"Sungjin"},{"family":"Choi","given":"Jieun"},{"family":"Song","given":"Yoo-Kyung"},{"family":"Kim","given":"Min Ju"},{"family":"Shin","given":"Dae-Seop"},{"family":"Bae","given":"Myung Ae"},{"family":"Kim","given":"Yong-Chul"},{"family":"Park","given":"Chin-Ju"},{"family":"Lee","given":"Kyeong-Ryoon"},{"family":"Choi","given":"Jun-Ho"},{"family":"Seo","given":"Jiwon"}],"issued":{"date-parts":[["2021",6,24]]}}}],"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C92566">
              <w:rPr>
                <w:rFonts w:ascii="Aptos Narrow" w:hAnsi="Aptos Narrow" w:cs="Times New Roman"/>
                <w:kern w:val="0"/>
                <w:sz w:val="22"/>
                <w:vertAlign w:val="superscript"/>
              </w:rPr>
              <w:t>63</w:t>
            </w:r>
            <w:r>
              <w:rPr>
                <w:rFonts w:ascii="Aptos Narrow" w:eastAsia="Times New Roman" w:hAnsi="Aptos Narrow" w:cs="Times New Roman"/>
                <w:color w:val="000000"/>
                <w:kern w:val="0"/>
                <w:sz w:val="22"/>
                <w:szCs w:val="22"/>
                <w14:ligatures w14:val="none"/>
              </w:rPr>
              <w:fldChar w:fldCharType="end"/>
            </w:r>
          </w:p>
        </w:tc>
      </w:tr>
      <w:tr w:rsidR="00CA3A28" w:rsidRPr="00367563" w14:paraId="5A988B29" w14:textId="77777777" w:rsidTr="00CA3A28">
        <w:trPr>
          <w:trHeight w:val="288"/>
        </w:trPr>
        <w:tc>
          <w:tcPr>
            <w:tcW w:w="2695" w:type="dxa"/>
            <w:noWrap/>
            <w:vAlign w:val="bottom"/>
            <w:hideMark/>
          </w:tcPr>
          <w:p w14:paraId="4EC491C6"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E2074</w:t>
            </w:r>
          </w:p>
        </w:tc>
        <w:tc>
          <w:tcPr>
            <w:tcW w:w="1330" w:type="dxa"/>
            <w:noWrap/>
            <w:vAlign w:val="bottom"/>
            <w:hideMark/>
          </w:tcPr>
          <w:p w14:paraId="661935C4"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0.075</w:t>
            </w:r>
          </w:p>
        </w:tc>
        <w:tc>
          <w:tcPr>
            <w:tcW w:w="960" w:type="dxa"/>
            <w:noWrap/>
            <w:vAlign w:val="bottom"/>
            <w:hideMark/>
          </w:tcPr>
          <w:p w14:paraId="70307C10"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0F14662E"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1CA0A9A3" w14:textId="297DC9BA"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{"citationID":"4rCAk0I1","properties":{"unsorted":false,"formattedCitation":"\\super 8\\nosupersub{}","plainCitation":"8","noteIndex":0},"citationItems":[{"id":1233,"uris":["http://zotero.org/users/7234110/items/BHQ3KXRN"],"itemData":{"id":1233,"type":"webpage","title":"Species Difference in the Mechanism of Nonlinear Pharmacokinetics of E2074, a Novel Sodium Channel Inhibitor, in Rats, Dogs, and Monkeys - Drug Metabolism and Disposition","URL":"https://dmd.aspetjournals.org/article/S0090-9556(24)11579-6/abstract","accessed":{"date-parts":[["2026",6,9]]}}}],"schema":"https://github.com/citation-style-language/schema/raw/master/csl-citation.json"}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B41D8">
              <w:rPr>
                <w:rFonts w:ascii="Aptos Narrow" w:hAnsi="Aptos Narrow" w:cs="Times New Roman"/>
                <w:kern w:val="0"/>
                <w:sz w:val="22"/>
                <w:vertAlign w:val="superscript"/>
              </w:rPr>
              <w:t>8</w:t>
            </w:r>
            <w:r>
              <w:rPr>
                <w:rFonts w:ascii="Aptos Narrow" w:eastAsia="Times New Roman" w:hAnsi="Aptos Narrow" w:cs="Times New Roman"/>
                <w:color w:val="000000"/>
                <w:kern w:val="0"/>
                <w:sz w:val="22"/>
                <w:szCs w:val="22"/>
                <w14:ligatures w14:val="none"/>
              </w:rPr>
              <w:fldChar w:fldCharType="end"/>
            </w:r>
          </w:p>
        </w:tc>
      </w:tr>
      <w:tr w:rsidR="00CA3A28" w:rsidRPr="00367563" w14:paraId="0B37B1E2" w14:textId="77777777" w:rsidTr="00CA3A28">
        <w:trPr>
          <w:trHeight w:val="288"/>
        </w:trPr>
        <w:tc>
          <w:tcPr>
            <w:tcW w:w="2695" w:type="dxa"/>
            <w:noWrap/>
            <w:vAlign w:val="bottom"/>
            <w:hideMark/>
          </w:tcPr>
          <w:p w14:paraId="291F7F89" w14:textId="322CFACD"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Erlotinib</w:t>
            </w:r>
          </w:p>
        </w:tc>
        <w:tc>
          <w:tcPr>
            <w:tcW w:w="1330" w:type="dxa"/>
            <w:noWrap/>
            <w:vAlign w:val="bottom"/>
            <w:hideMark/>
          </w:tcPr>
          <w:p w14:paraId="386C63DE"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0.25</w:t>
            </w:r>
          </w:p>
        </w:tc>
        <w:tc>
          <w:tcPr>
            <w:tcW w:w="960" w:type="dxa"/>
            <w:noWrap/>
            <w:vAlign w:val="bottom"/>
            <w:hideMark/>
          </w:tcPr>
          <w:p w14:paraId="313FFED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7F21152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3334CA0A" w14:textId="449D70D8" w:rsidR="00CA3A28" w:rsidRPr="00367563" w:rsidRDefault="00B8309A"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{"citationID":"ciqcvO3F","properties":{"unsorted":false,"formattedCitation":"\\super 64\\nosupersub{}","plainCitation":"64","noteIndex":0},"citationItems":[{"id":1251,"uris":["http://zotero.org/users/7234110/items/USXY5F9I"],"itemData":{"id":1251,"type":"article-journal","abstract":"Administration of BAS 100, a novel mechanism-based CYP3A4 inhibitor isolated from grapefruit juice, resulted in a 2.1-fold increase in erlotinib exposure following oral administration to wild-type and humanised CYP3A4 transgenic mice. This study illustrates the potential of BAS 100 to increase the low and variable oral bioavailability of erlotinib in cancer patients.","container-title":"British Journal of Cancer","DOI":"10.1038/sj.bjc.6604353","ISSN":"1532-1827","issue":"10","journalAbbreviation":"Br J Cancer","language":"en","license":"2008 The Author(s)","page":"1630-1632","publisher":"Nature Publishing Group","source":"www.nature.com","title":"Modulation of erlotinib pharmacokinetics in mice by a novel cytochrome P450 3A4 inhibitor, BAS 100","volume":"98","author":[{"family":"Smith","given":"N. F."},{"family":"Baker","given":"S. D."},{"family":"Gonzalez","given":"F. J."},{"family":"Harris","given":"J. W."},{"family":"Figg","given":"W. D."},{"family":"Sparreboom","given":"A."}],"issued":{"date-parts":[["2008",5]]}}}],"schema":"https://github.com/citation-style-language/schema/raw/master/csl-citation.json"}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64</w:t>
            </w:r>
            <w:r>
              <w:rPr>
                <w:rFonts w:ascii="Aptos Narrow" w:eastAsia="Times New Roman" w:hAnsi="Aptos Narrow" w:cs="Times New Roman"/>
                <w:color w:val="000000"/>
                <w:kern w:val="0"/>
                <w:sz w:val="22"/>
                <w:szCs w:val="22"/>
                <w14:ligatures w14:val="none"/>
              </w:rPr>
              <w:fldChar w:fldCharType="end"/>
            </w:r>
          </w:p>
        </w:tc>
      </w:tr>
      <w:tr w:rsidR="00CA3A28" w:rsidRPr="00367563" w14:paraId="575FE37E" w14:textId="77777777" w:rsidTr="00CA3A28">
        <w:trPr>
          <w:trHeight w:val="288"/>
        </w:trPr>
        <w:tc>
          <w:tcPr>
            <w:tcW w:w="2695" w:type="dxa"/>
            <w:noWrap/>
            <w:vAlign w:val="bottom"/>
            <w:hideMark/>
          </w:tcPr>
          <w:p w14:paraId="72AFF32E" w14:textId="0F675AAA"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Everolimus</w:t>
            </w:r>
          </w:p>
        </w:tc>
        <w:tc>
          <w:tcPr>
            <w:tcW w:w="1330" w:type="dxa"/>
            <w:noWrap/>
            <w:vAlign w:val="bottom"/>
            <w:hideMark/>
          </w:tcPr>
          <w:p w14:paraId="631121DF"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1.375</w:t>
            </w:r>
          </w:p>
        </w:tc>
        <w:tc>
          <w:tcPr>
            <w:tcW w:w="960" w:type="dxa"/>
            <w:noWrap/>
            <w:vAlign w:val="bottom"/>
            <w:hideMark/>
          </w:tcPr>
          <w:p w14:paraId="234D531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68793C1F"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0E0455E5" w14:textId="0B687DB7" w:rsidR="00CA3A28" w:rsidRPr="00367563" w:rsidRDefault="00ED4B9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{"citationID":"jyu6Zmcb","properties":{"unsorted":false,"formattedCitation":"\\super 65\\nosupersub{}","plainCitation":"65","noteIndex":0},"citationItems":[{"id":1256,"uris":["http://zotero.org/users/7234110/items/33YVNBKK"],"itemData":{"id":1256,"type":"article-journal","abstract":"Purpose\nEverolimus is a mammalian target of rapamycin (mTOR) inhibitor approved as an immunosuppressant and for second-line therapy of hepatocellular carcinoma (HCC) and renal cell carcinoma (RCC). Sorafenib is a multikinase inhibitor used as first-line therapy in HCC and RCC. This study assessed the pharmacokinetics (PK) of everolimus and sorafenib alone and in combination in plasma and tissues, developed physiologically based pharmacokinetic (PBPK) models in mice, and assessed the possibility of PK drug interactions.\n\nMethods\nSingle and multiple oral doses of everolimus and sorafenib were administered alone and in combination in immunocompetent male mice and to severe combined immune-deficient (SCID) mice bearing low-passage, patient-derived pancreatic adenocarcinoma in seven different studies. Plasma and tissue samples including tumor were collected over a 24-h period and analyzed by liquid chromatography-tandem mass spectrometry (LC–MS/MS). Distribution of everolimus and sorafenib to the brain, muscle, adipose, lungs, kidneys, pancreas, spleen, liver, GI, and tumor was modeled as perfusion rate-limited, and all data from the diverse studies were fitted simultaneously using a population approach.\n\nResults\nPBPK models were developed for everolimus and sorafenib. PBPK analysis showed that the two drugs in combination had the same PK as each drug given alone. A twofold increase in sorafenib dose increased tumor exposure tenfold, thus suggesting involvement of transporters in tumor deposition of sorafenib.\n\nConclusions\nThe developed PBPK models suggested the absence of PK interaction between the two drugs in mice. These studies provide the basis for pharmacodynamic evaluation of these drugs in patient-derived primary pancreatic adenocarcinomas explants.","container-title":"Cancer chemotherapy and pharmacology","DOI":"10.1007/s00280-013-2116-y","ISSN":"0344-5704","issue":"5","journalAbbreviation":"Cancer Chemother Pharmacol","page":"1219-1229","PMID":"23455451","PMCID":"PMC3755750","source":"PubMed Central","title":"Physiologically based pharmacokinetic models for everolimus and sorafenib in mice","volume":"71","author":[{"family":"Pawaskar","given":"Dipti K."},{"family":"Straubinger","given":"Robert M."},{"family":"Fetterly","given":"Gerald J."},{"family":"Hylander","given":"Bonnie H."},{"family":"Repasky","given":"Elizabeth A."},{"family":"Ma","given":"Wen W."},{"family":"Jusko","given":"William J."}],"issued":{"date-parts":[["2013",5]]}}}],"schema":"https://github.com/citation-style-language/schema/raw/master/csl-citation.json"}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65</w:t>
            </w:r>
            <w:r>
              <w:rPr>
                <w:rFonts w:ascii="Aptos Narrow" w:eastAsia="Times New Roman" w:hAnsi="Aptos Narrow" w:cs="Times New Roman"/>
                <w:color w:val="000000"/>
                <w:kern w:val="0"/>
                <w:sz w:val="22"/>
                <w:szCs w:val="22"/>
                <w14:ligatures w14:val="none"/>
              </w:rPr>
              <w:fldChar w:fldCharType="end"/>
            </w:r>
          </w:p>
        </w:tc>
      </w:tr>
      <w:tr w:rsidR="00CA3A28" w:rsidRPr="00367563" w14:paraId="318F0B5B" w14:textId="77777777" w:rsidTr="00CA3A28">
        <w:trPr>
          <w:trHeight w:val="288"/>
        </w:trPr>
        <w:tc>
          <w:tcPr>
            <w:tcW w:w="2695" w:type="dxa"/>
            <w:noWrap/>
            <w:vAlign w:val="bottom"/>
            <w:hideMark/>
          </w:tcPr>
          <w:p w14:paraId="14A7468C" w14:textId="2D6DD2A8"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Linezolid</w:t>
            </w:r>
          </w:p>
        </w:tc>
        <w:tc>
          <w:tcPr>
            <w:tcW w:w="1330" w:type="dxa"/>
            <w:noWrap/>
            <w:vAlign w:val="bottom"/>
            <w:hideMark/>
          </w:tcPr>
          <w:p w14:paraId="704A204E"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0.05</w:t>
            </w:r>
          </w:p>
        </w:tc>
        <w:tc>
          <w:tcPr>
            <w:tcW w:w="960" w:type="dxa"/>
            <w:noWrap/>
            <w:vAlign w:val="bottom"/>
            <w:hideMark/>
          </w:tcPr>
          <w:p w14:paraId="66C63A0F" w14:textId="73A18113"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5DAE36A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7F7473E5" w14:textId="51A413E5" w:rsidR="00CA3A28" w:rsidRPr="00367563" w:rsidRDefault="00FF2A9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{"citationID":"meHOHXWL","properties":{"unsorted":false,"formattedCitation":"\\super 66\\nosupersub{}","plainCitation":"66","noteIndex":0},"citationItems":[{"id":1339,"uris":["http://zotero.org/users/7234110/items/YBJNCZD3"],"itemData":{"id":1339,"type":"webpage","title":"In Vivo Activity of the Pyrrolopyrazolyl-Substituted Oxazolidinone RWJ-416457 | Antimicrobial Agents and Chemotherapy","URL":"https://journals.asm.org/doi/10.1128/aac.00833-08","accessed":{"date-parts":[["2026",6,30]]}}}],"schema":"https://github.com/citation-style-language/schema/raw/master/csl-citation.json"}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66</w:t>
            </w:r>
            <w:r>
              <w:rPr>
                <w:rFonts w:ascii="Aptos Narrow" w:eastAsia="Times New Roman" w:hAnsi="Aptos Narrow" w:cs="Times New Roman"/>
                <w:color w:val="000000"/>
                <w:kern w:val="0"/>
                <w:sz w:val="22"/>
                <w:szCs w:val="22"/>
                <w14:ligatures w14:val="none"/>
              </w:rPr>
              <w:fldChar w:fldCharType="end"/>
            </w:r>
          </w:p>
        </w:tc>
      </w:tr>
      <w:tr w:rsidR="00CA3A28" w:rsidRPr="00367563" w14:paraId="0F632225" w14:textId="77777777" w:rsidTr="00CA3A28">
        <w:trPr>
          <w:trHeight w:val="288"/>
        </w:trPr>
        <w:tc>
          <w:tcPr>
            <w:tcW w:w="2695" w:type="dxa"/>
            <w:noWrap/>
            <w:vAlign w:val="bottom"/>
            <w:hideMark/>
          </w:tcPr>
          <w:p w14:paraId="57B382F1" w14:textId="069435D0"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Nimustine</w:t>
            </w:r>
            <w:proofErr w:type="spellEnd"/>
          </w:p>
        </w:tc>
        <w:tc>
          <w:tcPr>
            <w:tcW w:w="1330" w:type="dxa"/>
            <w:noWrap/>
            <w:vAlign w:val="bottom"/>
            <w:hideMark/>
          </w:tcPr>
          <w:p w14:paraId="1CB32C1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w:t>
            </w:r>
          </w:p>
        </w:tc>
        <w:tc>
          <w:tcPr>
            <w:tcW w:w="960" w:type="dxa"/>
            <w:noWrap/>
            <w:vAlign w:val="bottom"/>
            <w:hideMark/>
          </w:tcPr>
          <w:p w14:paraId="20AE842F" w14:textId="0CC6B625"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6211CA2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5F851428" w14:textId="47EE7511" w:rsidR="00CA3A28" w:rsidRPr="00367563" w:rsidRDefault="00B8309A"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876D34">
              <w:rPr>
                <w:rFonts w:ascii="Aptos Narrow" w:eastAsia="Times New Roman" w:hAnsi="Aptos Narrow" w:cs="Times New Roman"/>
                <w:color w:val="000000"/>
                <w:kern w:val="0"/>
                <w:sz w:val="22"/>
                <w:szCs w:val="22"/>
                <w14:ligatures w14:val="none"/>
              </w:rPr>
              <w:instrText xml:space="preserve"> ADDIN ZOTERO_ITEM CSL_CITATION {"citationID":"XE5IeZc3","properties":{"unsorted":false,"formattedCitation":"\\super 12\\nosupersub{}","plainCitation":"12","noteIndex":0},"citationItems":[{"id":1254,"uris":["http://zotero.org/users/7234110/items/AATMU2HT"],"itemData":{"id":1254,"type":"article-journal","abstract":"Plasma concentration-time profiles of nimustine hydrochloride, 1-[(4-amino-2-methyl-5-pyrimidinyl)methyl]-3-(2-chloroethyl)-3-nitrosour ea hydrochloride (ACNU), in the mouse, rat, rabbit, and dog were determined by high-performance liquid chromatographic analysis. The pharmacokinetic parameters for these four animal species and previously reported clinical data were analyzed for investigation of interspecies correlation. Log-log plots of body weight (W; kg) vs total plasma clearance (CLtot,p; ml/min) and steady-state distribution volume (Vd,ss; l) for the four animal species were linear, with high correlation coefficients (r 0.996 for both parameters), despite the fact that the nonrenal clearance was greater than 97% in these species. Linear regression on the plots excluding human data yielded allometric equations (CLtot,p = 50.6 W0.957; Vd, ss = 1.29 W1.03) that were extrapolated to predict ACNU pharmacokinetic parameters in humans. For both parameters, however, there were 3-fold differences between the predicted and observed parametric values. To investigate these discrepancies, we measured serum protein binding of ACNU in these animal species and in humans. The values of CLtot,p and Vd,ss were converted into those of CLutot,p and Vd,uss, which correspond to the parameters for unbound ACNU. In this case, correlation coefficients of the log-log plots excluding human data (CLutot,p = 71.7 W0.891; Vd,uss = 1.82 W0.966) were also high (r greater than or equal to 0.991). The extrapolated values vs those observed in a 70-kg human were the following: CLutot,p, 3,160 vs 2,290 ml/min; Vd,uss, 110 vs 106 l. Thus, the animal data were successfully extrapolated to yield better predictions of human pharmacokinetic parameters if the analysis was based on the unbound plasma concentration of ACNU. In addition, the predicted plasma concentration-time profile for humans also showed good agreement with the observed ones. These results suggest the importance of measuring unbound fractions of drugs for more accurate prediction of human pharmacokinetic parameters by extrapolation of animal data to the human situation.","container-title":"Cancer Chemotherapy and Pharmacology","DOI":"10.1007/BF00689271","ISSN":"0344-5704","issue":"1","journalAbbreviation":"Cancer Chemother Pharmacol","language":"eng","page":"20-26","PMID":"2245489","source":"PubMed","title":"Prediction of ACNU plasma concentration-time profiles in humans by animal scale-up","volume":"27","author":[{"family":"Mitsuhashi","given":"Y."},{"family":"Sugiyama","given":"Y."},{"family":"Ozawa","given":"S."},{"family":"Nitanai","given":"T."},{"family":"Sasahara","given":"K."},{"family":"Nakamura","given":"K."},{"family":"Tanaka","given":"M."},{"family":"Nishimura","given":"T."},{"family":"Inaba","given":"M."},{"family":"Kobayashi","given":"T."}],"issued":{"date-parts":[["1990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876D34" w:rsidRPr="00876D34">
              <w:rPr>
                <w:rFonts w:ascii="Aptos Narrow" w:hAnsi="Aptos Narrow" w:cs="Times New Roman"/>
                <w:kern w:val="0"/>
                <w:sz w:val="22"/>
                <w:vertAlign w:val="superscript"/>
              </w:rPr>
              <w:t>12</w:t>
            </w:r>
            <w:r>
              <w:rPr>
                <w:rFonts w:ascii="Aptos Narrow" w:eastAsia="Times New Roman" w:hAnsi="Aptos Narrow" w:cs="Times New Roman"/>
                <w:color w:val="000000"/>
                <w:kern w:val="0"/>
                <w:sz w:val="22"/>
                <w:szCs w:val="22"/>
                <w14:ligatures w14:val="none"/>
              </w:rPr>
              <w:fldChar w:fldCharType="end"/>
            </w:r>
          </w:p>
        </w:tc>
      </w:tr>
      <w:tr w:rsidR="00CA3A28" w:rsidRPr="00367563" w14:paraId="2A26C96B" w14:textId="77777777" w:rsidTr="00CA3A28">
        <w:trPr>
          <w:trHeight w:val="288"/>
        </w:trPr>
        <w:tc>
          <w:tcPr>
            <w:tcW w:w="2695" w:type="dxa"/>
            <w:noWrap/>
            <w:vAlign w:val="bottom"/>
            <w:hideMark/>
          </w:tcPr>
          <w:p w14:paraId="69219039"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Palbociclib (PD-0332991)</w:t>
            </w:r>
          </w:p>
        </w:tc>
        <w:tc>
          <w:tcPr>
            <w:tcW w:w="1330" w:type="dxa"/>
            <w:noWrap/>
            <w:vAlign w:val="bottom"/>
            <w:hideMark/>
          </w:tcPr>
          <w:p w14:paraId="47A6D00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0.265</w:t>
            </w:r>
          </w:p>
        </w:tc>
        <w:tc>
          <w:tcPr>
            <w:tcW w:w="960" w:type="dxa"/>
            <w:noWrap/>
            <w:vAlign w:val="bottom"/>
            <w:hideMark/>
          </w:tcPr>
          <w:p w14:paraId="65882111"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326978A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13471CC1" w14:textId="4342B973" w:rsidR="00CA3A28" w:rsidRPr="00367563" w:rsidRDefault="0027356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{"citationID":"MtIiLlKd","properties":{"unsorted":false,"formattedCitation":"\\super 62\\nosupersub{}","plainCitation":"62","noteIndex":0},"citationItems":[{"id":1258,"uris":["http://zotero.org/users/7234110/items/LR72D4CX"],"itemData":{"id":1258,"type":"article-journal","abstract":"Background: Initial pharmacokinetic (PK) studies of discovery compounds are conducted in mice to demonstrate exposure prior to conducting efficacy studies. PK information obtained from a single mouse by serial blood microsampling, dried blood spot collection and analyses using microbore (1 mm internal diameter column) LC–MS/MS is presented. Ex vivo blood to plasma concentration ratios (BPRs) from mouse PK studies were compared with in vitro BPRs for 15 compounds. Results: Two compounds were orally dosed and blood was collected at time points via serial blood sampling. The calculated PK parameters (AUC, Tmax and Cmax) were comparable across liquid blood, dried blood spot and plasma matrices. The BPR results from both methods were comparable. Conclusion: Serial blood microsampling has led to reduced animal and compound usage with improved PK data. Ex vivo BPR is suitable in a discovery setting. Microbore LC–MS/MS is well suited in instances where sample volume is limited, and enables faster analyses, reduced solvent use, and less frequent MS source cleaning.","container-title":"Bioanalysis","DOI":"10.4155/bio.12.85","ISSN":"1757-6180","issue":"9","note":"_eprint: https://doi.org/10.4155/bio.12.85","page":"1077-1095","PMID":"22612688","publisher":"Taylor &amp; Francis","source":"Taylor and Francis+NEJM","title":"Discovery Pharmacokinetic Studies in Mice Using Serial Microsampling, Dried Blood Spots And Microbore Lc–MS/MS","volume":"4","author":[{"family":"Rahavendran","given":"Sadayappan V"},{"family":"Vekich","given":"Sylvia"},{"family":"Skor","given":"Heather"},{"family":"Batugo","given":"Minerva"},{"family":"Nguyen","given":"Leslie"},{"family":"Shetty","given":"Bhasker"},{"family":"Shen","given":"Zhongzhou"}],"issued":{"date-parts":[["2012",5,1]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62</w:t>
            </w:r>
            <w:r>
              <w:rPr>
                <w:rFonts w:ascii="Aptos Narrow" w:eastAsia="Times New Roman" w:hAnsi="Aptos Narrow" w:cs="Times New Roman"/>
                <w:color w:val="000000"/>
                <w:kern w:val="0"/>
                <w:sz w:val="22"/>
                <w:szCs w:val="22"/>
                <w14:ligatures w14:val="none"/>
              </w:rPr>
              <w:fldChar w:fldCharType="end"/>
            </w:r>
          </w:p>
        </w:tc>
      </w:tr>
      <w:tr w:rsidR="00CA3A28" w:rsidRPr="00367563" w14:paraId="656A1F46" w14:textId="77777777" w:rsidTr="00CA3A28">
        <w:trPr>
          <w:trHeight w:val="288"/>
        </w:trPr>
        <w:tc>
          <w:tcPr>
            <w:tcW w:w="2695" w:type="dxa"/>
            <w:noWrap/>
            <w:vAlign w:val="bottom"/>
            <w:hideMark/>
          </w:tcPr>
          <w:p w14:paraId="2D09D547"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Pro-BA</w:t>
            </w:r>
          </w:p>
        </w:tc>
        <w:tc>
          <w:tcPr>
            <w:tcW w:w="1330" w:type="dxa"/>
            <w:noWrap/>
            <w:vAlign w:val="bottom"/>
            <w:hideMark/>
          </w:tcPr>
          <w:p w14:paraId="6D47E29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0.25</w:t>
            </w:r>
          </w:p>
        </w:tc>
        <w:tc>
          <w:tcPr>
            <w:tcW w:w="960" w:type="dxa"/>
            <w:noWrap/>
            <w:vAlign w:val="bottom"/>
            <w:hideMark/>
          </w:tcPr>
          <w:p w14:paraId="79CD17A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4C11E059"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64D89F74" w14:textId="39D1984C" w:rsidR="00CA3A28" w:rsidRPr="00367563" w:rsidRDefault="00FF2A9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{"citationID":"fVWor6hJ","properties":{"unsorted":false,"formattedCitation":"\\super 67\\nosupersub{}","plainCitation":"67","noteIndex":0},"citationItems":[{"id":1343,"uris":["http://zotero.org/users/7234110/items/L6AWPJU4"],"itemData":{"id":1343,"type":"webpage","title":"Linker-free PROTACs efficiently induce the degradation of oncoproteins | Nature Communications","URL":"https://www.nature.com/articles/s41467-025-60107-7","accessed":{"date-parts":[["2026",6,30]]}}}],"schema":"https://github.com/citation-style-language/schema/raw/master/csl-citation.json"}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67</w:t>
            </w:r>
            <w:r>
              <w:rPr>
                <w:rFonts w:ascii="Aptos Narrow" w:eastAsia="Times New Roman" w:hAnsi="Aptos Narrow" w:cs="Times New Roman"/>
                <w:color w:val="000000"/>
                <w:kern w:val="0"/>
                <w:sz w:val="22"/>
                <w:szCs w:val="22"/>
                <w14:ligatures w14:val="none"/>
              </w:rPr>
              <w:fldChar w:fldCharType="end"/>
            </w:r>
          </w:p>
        </w:tc>
      </w:tr>
      <w:tr w:rsidR="00CA3A28" w:rsidRPr="00367563" w14:paraId="66AF6154" w14:textId="77777777" w:rsidTr="00CA3A28">
        <w:trPr>
          <w:trHeight w:val="288"/>
        </w:trPr>
        <w:tc>
          <w:tcPr>
            <w:tcW w:w="2695" w:type="dxa"/>
            <w:noWrap/>
            <w:vAlign w:val="bottom"/>
            <w:hideMark/>
          </w:tcPr>
          <w:p w14:paraId="333E9D1E"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Pro-BA</w:t>
            </w:r>
          </w:p>
        </w:tc>
        <w:tc>
          <w:tcPr>
            <w:tcW w:w="1330" w:type="dxa"/>
            <w:noWrap/>
            <w:vAlign w:val="bottom"/>
            <w:hideMark/>
          </w:tcPr>
          <w:p w14:paraId="041E55D4"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0.05</w:t>
            </w:r>
          </w:p>
        </w:tc>
        <w:tc>
          <w:tcPr>
            <w:tcW w:w="960" w:type="dxa"/>
            <w:noWrap/>
            <w:vAlign w:val="bottom"/>
            <w:hideMark/>
          </w:tcPr>
          <w:p w14:paraId="1ACF55E6" w14:textId="2E8C7C58"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1F1F0EA8"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0581FC0E" w14:textId="76A01556" w:rsidR="00CA3A28" w:rsidRPr="00367563" w:rsidRDefault="00FF2A9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{"citationID":"1WXehE3s","properties":{"unsorted":false,"formattedCitation":"\\super 67\\nosupersub{}","plainCitation":"67","noteIndex":0},"citationItems":[{"id":1343,"uris":["http://zotero.org/users/7234110/items/L6AWPJU4"],"itemData":{"id":1343,"type":"webpage","title":"Linker-free PROTACs efficiently induce the degradation of oncoproteins | Nature Communications","URL":"https://www.nature.com/articles/s41467-025-60107-7","accessed":{"date-parts":[["2026",6,30]]}}}],"schema":"https://github.com/citation-style-language/schema/raw/master/csl-citation.json"}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67</w:t>
            </w:r>
            <w:r>
              <w:rPr>
                <w:rFonts w:ascii="Aptos Narrow" w:eastAsia="Times New Roman" w:hAnsi="Aptos Narrow" w:cs="Times New Roman"/>
                <w:color w:val="000000"/>
                <w:kern w:val="0"/>
                <w:sz w:val="22"/>
                <w:szCs w:val="22"/>
                <w14:ligatures w14:val="none"/>
              </w:rPr>
              <w:fldChar w:fldCharType="end"/>
            </w:r>
          </w:p>
        </w:tc>
      </w:tr>
      <w:tr w:rsidR="00CA3A28" w:rsidRPr="00367563" w14:paraId="34CC20C9" w14:textId="77777777" w:rsidTr="00CA3A28">
        <w:trPr>
          <w:trHeight w:val="288"/>
        </w:trPr>
        <w:tc>
          <w:tcPr>
            <w:tcW w:w="2695" w:type="dxa"/>
            <w:noWrap/>
            <w:vAlign w:val="bottom"/>
            <w:hideMark/>
          </w:tcPr>
          <w:p w14:paraId="7135AEDA"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RWJ-416457</w:t>
            </w:r>
          </w:p>
        </w:tc>
        <w:tc>
          <w:tcPr>
            <w:tcW w:w="1330" w:type="dxa"/>
            <w:noWrap/>
            <w:vAlign w:val="bottom"/>
            <w:hideMark/>
          </w:tcPr>
          <w:p w14:paraId="3381CB25"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0.25</w:t>
            </w:r>
          </w:p>
        </w:tc>
        <w:tc>
          <w:tcPr>
            <w:tcW w:w="960" w:type="dxa"/>
            <w:noWrap/>
            <w:vAlign w:val="bottom"/>
            <w:hideMark/>
          </w:tcPr>
          <w:p w14:paraId="155B1E4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63A5BA2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67E41A26" w14:textId="6E105DE9" w:rsidR="00CA3A28" w:rsidRPr="00367563" w:rsidRDefault="00FF2A9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{"citationID":"ObTd0qJG","properties":{"unsorted":false,"formattedCitation":"\\super 66\\nosupersub{}","plainCitation":"66","noteIndex":0},"citationItems":[{"id":1339,"uris":["http://zotero.org/users/7234110/items/YBJNCZD3"],"itemData":{"id":1339,"type":"webpage","title":"In Vivo Activity of the Pyrrolopyrazolyl-Substituted Oxazolidinone RWJ-416457 | Antimicrobial Agents and Chemotherapy","URL":"https://journals.asm.org/doi/10.1128/aac.00833-08","accessed":{"date-parts":[["2026",6,30]]}}}],"schema":"https://github.com/citation-style-language/schema/raw/master/csl-citation.json"}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66</w:t>
            </w:r>
            <w:r>
              <w:rPr>
                <w:rFonts w:ascii="Aptos Narrow" w:eastAsia="Times New Roman" w:hAnsi="Aptos Narrow" w:cs="Times New Roman"/>
                <w:color w:val="000000"/>
                <w:kern w:val="0"/>
                <w:sz w:val="22"/>
                <w:szCs w:val="22"/>
                <w14:ligatures w14:val="none"/>
              </w:rPr>
              <w:fldChar w:fldCharType="end"/>
            </w:r>
          </w:p>
        </w:tc>
      </w:tr>
      <w:tr w:rsidR="00CA3A28" w:rsidRPr="00367563" w14:paraId="5191E5E0" w14:textId="77777777" w:rsidTr="00CA3A28">
        <w:trPr>
          <w:trHeight w:val="288"/>
        </w:trPr>
        <w:tc>
          <w:tcPr>
            <w:tcW w:w="2695" w:type="dxa"/>
            <w:noWrap/>
            <w:vAlign w:val="bottom"/>
            <w:hideMark/>
          </w:tcPr>
          <w:p w14:paraId="161297F6"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RWJ-416457</w:t>
            </w:r>
          </w:p>
        </w:tc>
        <w:tc>
          <w:tcPr>
            <w:tcW w:w="1330" w:type="dxa"/>
            <w:noWrap/>
            <w:vAlign w:val="bottom"/>
            <w:hideMark/>
          </w:tcPr>
          <w:p w14:paraId="625C8325"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0.05</w:t>
            </w:r>
          </w:p>
        </w:tc>
        <w:tc>
          <w:tcPr>
            <w:tcW w:w="960" w:type="dxa"/>
            <w:noWrap/>
            <w:vAlign w:val="bottom"/>
            <w:hideMark/>
          </w:tcPr>
          <w:p w14:paraId="122006EC" w14:textId="15C57AEC"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71B6557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7AF985E0" w14:textId="16A7CC8D" w:rsidR="00CA3A28" w:rsidRPr="00367563" w:rsidRDefault="00FF2A9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{"citationID":"pR7VTrLm","properties":{"unsorted":false,"formattedCitation":"\\super 66\\nosupersub{}","plainCitation":"66","noteIndex":0},"citationItems":[{"id":1339,"uris":["http://zotero.org/users/7234110/items/YBJNCZD3"],"itemData":{"id":1339,"type":"webpage","title":"In Vivo Activity of the Pyrrolopyrazolyl-Substituted Oxazolidinone RWJ-416457 | Antimicrobial Agents and Chemotherapy","URL":"https://journals.asm.org/doi/10.1128/aac.00833-08","accessed":{"date-parts":[["2026",6,30]]}}}],"schema":"https://github.com/citation-style-language/schema/raw/master/csl-citation.json"}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66</w:t>
            </w:r>
            <w:r>
              <w:rPr>
                <w:rFonts w:ascii="Aptos Narrow" w:eastAsia="Times New Roman" w:hAnsi="Aptos Narrow" w:cs="Times New Roman"/>
                <w:color w:val="000000"/>
                <w:kern w:val="0"/>
                <w:sz w:val="22"/>
                <w:szCs w:val="22"/>
                <w14:ligatures w14:val="none"/>
              </w:rPr>
              <w:fldChar w:fldCharType="end"/>
            </w:r>
          </w:p>
        </w:tc>
      </w:tr>
      <w:tr w:rsidR="00CA3A28" w:rsidRPr="00367563" w14:paraId="304C1C4B" w14:textId="77777777" w:rsidTr="00CA3A28">
        <w:trPr>
          <w:trHeight w:val="288"/>
        </w:trPr>
        <w:tc>
          <w:tcPr>
            <w:tcW w:w="2695" w:type="dxa"/>
            <w:noWrap/>
            <w:vAlign w:val="bottom"/>
            <w:hideMark/>
          </w:tcPr>
          <w:p w14:paraId="652C93D2" w14:textId="1E71677A"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Sorafenib</w:t>
            </w:r>
          </w:p>
        </w:tc>
        <w:tc>
          <w:tcPr>
            <w:tcW w:w="1330" w:type="dxa"/>
            <w:noWrap/>
            <w:vAlign w:val="bottom"/>
            <w:hideMark/>
          </w:tcPr>
          <w:p w14:paraId="7A2FCA2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0.25</w:t>
            </w:r>
          </w:p>
        </w:tc>
        <w:tc>
          <w:tcPr>
            <w:tcW w:w="960" w:type="dxa"/>
            <w:noWrap/>
            <w:vAlign w:val="bottom"/>
            <w:hideMark/>
          </w:tcPr>
          <w:p w14:paraId="166A7B4E"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0E092A0B"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109E9F26" w14:textId="40DD19AE" w:rsidR="00CA3A28" w:rsidRPr="00367563" w:rsidRDefault="00C52F87"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{"citationID":"aTkoR0IZ","properties":{"unsorted":false,"formattedCitation":"\\super 68\\nosupersub{}","plainCitation":"68","noteIndex":0},"citationItems":[{"id":1249,"uris":["http://zotero.org/users/7234110/items/UPDQNCIJ"],"itemData":{"id":1249,"type":"article-journal","abstract":"The oral multikinase inhibitor sorafenib undergoes extensive UGT1A9</w:instrText>
            </w:r>
            <w:r w:rsidR="00C92566">
              <w:rPr>
                <w:rFonts w:ascii="Cambria Math" w:eastAsia="Times New Roman" w:hAnsi="Cambria Math" w:cs="Cambria Math"/>
                <w:color w:val="000000"/>
                <w:kern w:val="0"/>
                <w:sz w:val="22"/>
                <w:szCs w:val="22"/>
                <w14:ligatures w14:val="none"/>
              </w:rPr>
              <w:instrText>‐</w:instrText>
            </w:r>
            <w:r w:rsidR="00C92566">
              <w:rPr>
                <w:rFonts w:ascii="Aptos Narrow" w:eastAsia="Times New Roman" w:hAnsi="Aptos Narrow" w:cs="Times New Roman"/>
                <w:color w:val="000000"/>
                <w:kern w:val="0"/>
                <w:sz w:val="22"/>
                <w:szCs w:val="22"/>
                <w14:ligatures w14:val="none"/>
              </w:rPr>
              <w:instrText>mediated formation of sorafenib</w:instrText>
            </w:r>
            <w:r w:rsidR="00C92566">
              <w:rPr>
                <w:rFonts w:ascii="Cambria Math" w:eastAsia="Times New Roman" w:hAnsi="Cambria Math" w:cs="Cambria Math"/>
                <w:color w:val="000000"/>
                <w:kern w:val="0"/>
                <w:sz w:val="22"/>
                <w:szCs w:val="22"/>
                <w14:ligatures w14:val="none"/>
              </w:rPr>
              <w:instrText>‐</w:instrText>
            </w:r>
            <w:r w:rsidR="00C92566">
              <w:rPr>
                <w:rFonts w:ascii="Aptos Narrow" w:eastAsia="Times New Roman" w:hAnsi="Aptos Narrow" w:cs="Aptos Narrow"/>
                <w:color w:val="000000"/>
                <w:kern w:val="0"/>
                <w:sz w:val="22"/>
                <w:szCs w:val="22"/>
                <w14:ligatures w14:val="none"/>
              </w:rPr>
              <w:instrText>β</w:instrText>
            </w:r>
            <w:r w:rsidR="00C92566">
              <w:rPr>
                <w:rFonts w:ascii="Cambria Math" w:eastAsia="Times New Roman" w:hAnsi="Cambria Math" w:cs="Cambria Math"/>
                <w:color w:val="000000"/>
                <w:kern w:val="0"/>
                <w:sz w:val="22"/>
                <w:szCs w:val="22"/>
                <w14:ligatures w14:val="none"/>
              </w:rPr>
              <w:instrText>‐</w:instrText>
            </w:r>
            <w:r w:rsidR="00C92566">
              <w:rPr>
                <w:rFonts w:ascii="Aptos Narrow" w:eastAsia="Times New Roman" w:hAnsi="Aptos Narrow" w:cs="Times New Roman"/>
                <w:color w:val="000000"/>
                <w:kern w:val="0"/>
                <w:sz w:val="22"/>
                <w:szCs w:val="22"/>
                <w14:ligatures w14:val="none"/>
              </w:rPr>
              <w:instrText>D</w:instrText>
            </w:r>
            <w:r w:rsidR="00C92566">
              <w:rPr>
                <w:rFonts w:ascii="Cambria Math" w:eastAsia="Times New Roman" w:hAnsi="Cambria Math" w:cs="Cambria Math"/>
                <w:color w:val="000000"/>
                <w:kern w:val="0"/>
                <w:sz w:val="22"/>
                <w:szCs w:val="22"/>
                <w14:ligatures w14:val="none"/>
              </w:rPr>
              <w:instrText>‐</w:instrText>
            </w:r>
            <w:r w:rsidR="00C92566">
              <w:rPr>
                <w:rFonts w:ascii="Aptos Narrow" w:eastAsia="Times New Roman" w:hAnsi="Aptos Narrow" w:cs="Times New Roman"/>
                <w:color w:val="000000"/>
                <w:kern w:val="0"/>
                <w:sz w:val="22"/>
                <w:szCs w:val="22"/>
                <w14:ligatures w14:val="none"/>
              </w:rPr>
              <w:instrText>glucuronide (SG). Using transporter</w:instrText>
            </w:r>
            <w:r w:rsidR="00C92566">
              <w:rPr>
                <w:rFonts w:ascii="Cambria Math" w:eastAsia="Times New Roman" w:hAnsi="Cambria Math" w:cs="Cambria Math"/>
                <w:color w:val="000000"/>
                <w:kern w:val="0"/>
                <w:sz w:val="22"/>
                <w:szCs w:val="22"/>
                <w14:ligatures w14:val="none"/>
              </w:rPr>
              <w:instrText>‐</w:instrText>
            </w:r>
            <w:r w:rsidR="00C92566">
              <w:rPr>
                <w:rFonts w:ascii="Aptos Narrow" w:eastAsia="Times New Roman" w:hAnsi="Aptos Narrow" w:cs="Times New Roman"/>
                <w:color w:val="000000"/>
                <w:kern w:val="0"/>
                <w:sz w:val="22"/>
                <w:szCs w:val="22"/>
                <w14:ligatures w14:val="none"/>
              </w:rPr>
              <w:instrText>deficient mouse models, it was previously established that SG can be extruded into bile by ABCC2 or follow a liver</w:instrText>
            </w:r>
            <w:r w:rsidR="00C92566">
              <w:rPr>
                <w:rFonts w:ascii="Cambria Math" w:eastAsia="Times New Roman" w:hAnsi="Cambria Math" w:cs="Cambria Math"/>
                <w:color w:val="000000"/>
                <w:kern w:val="0"/>
                <w:sz w:val="22"/>
                <w:szCs w:val="22"/>
                <w14:ligatures w14:val="none"/>
              </w:rPr>
              <w:instrText>‐</w:instrText>
            </w:r>
            <w:r w:rsidR="00C92566">
              <w:rPr>
                <w:rFonts w:ascii="Aptos Narrow" w:eastAsia="Times New Roman" w:hAnsi="Aptos Narrow" w:cs="Times New Roman"/>
                <w:color w:val="000000"/>
                <w:kern w:val="0"/>
                <w:sz w:val="22"/>
                <w:szCs w:val="22"/>
                <w14:ligatures w14:val="none"/>
              </w:rPr>
              <w:instrText>to</w:instrText>
            </w:r>
            <w:r w:rsidR="00C92566">
              <w:rPr>
                <w:rFonts w:ascii="Cambria Math" w:eastAsia="Times New Roman" w:hAnsi="Cambria Math" w:cs="Cambria Math"/>
                <w:color w:val="000000"/>
                <w:kern w:val="0"/>
                <w:sz w:val="22"/>
                <w:szCs w:val="22"/>
                <w14:ligatures w14:val="none"/>
              </w:rPr>
              <w:instrText>‐</w:instrText>
            </w:r>
            <w:r w:rsidR="00C92566">
              <w:rPr>
                <w:rFonts w:ascii="Aptos Narrow" w:eastAsia="Times New Roman" w:hAnsi="Aptos Narrow" w:cs="Times New Roman"/>
                <w:color w:val="000000"/>
                <w:kern w:val="0"/>
                <w:sz w:val="22"/>
                <w:szCs w:val="22"/>
                <w14:ligatures w14:val="none"/>
              </w:rPr>
              <w:instrText>blood shuttling loop via ABCC3</w:instrText>
            </w:r>
            <w:r w:rsidR="00C92566">
              <w:rPr>
                <w:rFonts w:ascii="Cambria Math" w:eastAsia="Times New Roman" w:hAnsi="Cambria Math" w:cs="Cambria Math"/>
                <w:color w:val="000000"/>
                <w:kern w:val="0"/>
                <w:sz w:val="22"/>
                <w:szCs w:val="22"/>
                <w14:ligatures w14:val="none"/>
              </w:rPr>
              <w:instrText>‐</w:instrText>
            </w:r>
            <w:r w:rsidR="00C92566">
              <w:rPr>
                <w:rFonts w:ascii="Aptos Narrow" w:eastAsia="Times New Roman" w:hAnsi="Aptos Narrow" w:cs="Times New Roman"/>
                <w:color w:val="000000"/>
                <w:kern w:val="0"/>
                <w:sz w:val="22"/>
                <w:szCs w:val="22"/>
                <w14:ligatures w14:val="none"/>
              </w:rPr>
              <w:instrText>mediated efflux into the systemic circulation, and subsequent uptake in neighboring hepatocytes by OATP1B</w:instrText>
            </w:r>
            <w:r w:rsidR="00C92566">
              <w:rPr>
                <w:rFonts w:ascii="Cambria Math" w:eastAsia="Times New Roman" w:hAnsi="Cambria Math" w:cs="Cambria Math"/>
                <w:color w:val="000000"/>
                <w:kern w:val="0"/>
                <w:sz w:val="22"/>
                <w:szCs w:val="22"/>
                <w14:ligatures w14:val="none"/>
              </w:rPr>
              <w:instrText>‐</w:instrText>
            </w:r>
            <w:r w:rsidR="00C92566">
              <w:rPr>
                <w:rFonts w:ascii="Aptos Narrow" w:eastAsia="Times New Roman" w:hAnsi="Aptos Narrow" w:cs="Times New Roman"/>
                <w:color w:val="000000"/>
                <w:kern w:val="0"/>
                <w:sz w:val="22"/>
                <w:szCs w:val="22"/>
                <w14:ligatures w14:val="none"/>
              </w:rPr>
              <w:instrText>type transporters. Here we evaluated the possibility that this unusual process, called hepatocyte hopping, is also operational in humans and can be modulated through pharmacological inhibition. We found that SG transport by OATP1B1 or murine Oatp1b2 was effectively inhibited by rifampin, and that this agent can significantly increase plasma levels of SG in wildtype mice, but not in Oatp1b2</w:instrText>
            </w:r>
            <w:r w:rsidR="00C92566">
              <w:rPr>
                <w:rFonts w:ascii="Cambria Math" w:eastAsia="Times New Roman" w:hAnsi="Cambria Math" w:cs="Cambria Math"/>
                <w:color w:val="000000"/>
                <w:kern w:val="0"/>
                <w:sz w:val="22"/>
                <w:szCs w:val="22"/>
                <w14:ligatures w14:val="none"/>
              </w:rPr>
              <w:instrText>‐</w:instrText>
            </w:r>
            <w:r w:rsidR="00C92566">
              <w:rPr>
                <w:rFonts w:ascii="Aptos Narrow" w:eastAsia="Times New Roman" w:hAnsi="Aptos Narrow" w:cs="Times New Roman"/>
                <w:color w:val="000000"/>
                <w:kern w:val="0"/>
                <w:sz w:val="22"/>
                <w:szCs w:val="22"/>
                <w14:ligatures w14:val="none"/>
              </w:rPr>
              <w:instrText>deficient animals. In human subjects receiving sorafenib, rifampin acutely increased the systemic exposure to SG. Our study emphasizes the need to consider hepatic handling of xenobiotic glucuronides in the design of drug</w:instrText>
            </w:r>
            <w:r w:rsidR="00C92566">
              <w:rPr>
                <w:rFonts w:ascii="Aptos Narrow" w:eastAsia="Times New Roman" w:hAnsi="Aptos Narrow" w:cs="Aptos Narrow"/>
                <w:color w:val="000000"/>
                <w:kern w:val="0"/>
                <w:sz w:val="22"/>
                <w:szCs w:val="22"/>
                <w14:ligatures w14:val="none"/>
              </w:rPr>
              <w:instrText>–</w:instrText>
            </w:r>
            <w:r w:rsidR="00C92566">
              <w:rPr>
                <w:rFonts w:ascii="Aptos Narrow" w:eastAsia="Times New Roman" w:hAnsi="Aptos Narrow" w:cs="Times New Roman"/>
                <w:color w:val="000000"/>
                <w:kern w:val="0"/>
                <w:sz w:val="22"/>
                <w:szCs w:val="22"/>
                <w14:ligatures w14:val="none"/>
              </w:rPr>
              <w:instrText>drug interaction studies of agents that undergo extensive phase II conjugation.","container-title":"Clinical and Translational Science","DOI":"10.1111/cts.12458","ISSN":"1752-8054","issue":"4","journalAbbreviation":"Clin Transl Sci","page":"271-279","PMID":"28371445","PMCID":"PMC5504481","source":"PubMed Central","title":"Influence of OATP1B1 Function on the Disposition of Sorafenib</w:instrText>
            </w:r>
            <w:r w:rsidR="00C92566">
              <w:rPr>
                <w:rFonts w:ascii="Cambria Math" w:eastAsia="Times New Roman" w:hAnsi="Cambria Math" w:cs="Cambria Math"/>
                <w:color w:val="000000"/>
                <w:kern w:val="0"/>
                <w:sz w:val="22"/>
                <w:szCs w:val="22"/>
                <w14:ligatures w14:val="none"/>
              </w:rPr>
              <w:instrText>‐</w:instrText>
            </w:r>
            <w:r w:rsidR="00C92566">
              <w:rPr>
                <w:rFonts w:ascii="Aptos Narrow" w:eastAsia="Times New Roman" w:hAnsi="Aptos Narrow" w:cs="Aptos Narrow"/>
                <w:color w:val="000000"/>
                <w:kern w:val="0"/>
                <w:sz w:val="22"/>
                <w:szCs w:val="22"/>
                <w14:ligatures w14:val="none"/>
              </w:rPr>
              <w:instrText>β</w:instrText>
            </w:r>
            <w:r w:rsidR="00C92566">
              <w:rPr>
                <w:rFonts w:ascii="Cambria Math" w:eastAsia="Times New Roman" w:hAnsi="Cambria Math" w:cs="Cambria Math"/>
                <w:color w:val="000000"/>
                <w:kern w:val="0"/>
                <w:sz w:val="22"/>
                <w:szCs w:val="22"/>
                <w14:ligatures w14:val="none"/>
              </w:rPr>
              <w:instrText>‐</w:instrText>
            </w:r>
            <w:r w:rsidR="00C92566">
              <w:rPr>
                <w:rFonts w:ascii="Aptos Narrow" w:eastAsia="Times New Roman" w:hAnsi="Aptos Narrow" w:cs="Times New Roman"/>
                <w:color w:val="000000"/>
                <w:kern w:val="0"/>
                <w:sz w:val="22"/>
                <w:szCs w:val="22"/>
                <w14:ligatures w14:val="none"/>
              </w:rPr>
              <w:instrText>D</w:instrText>
            </w:r>
            <w:r w:rsidR="00C92566">
              <w:rPr>
                <w:rFonts w:ascii="Cambria Math" w:eastAsia="Times New Roman" w:hAnsi="Cambria Math" w:cs="Cambria Math"/>
                <w:color w:val="000000"/>
                <w:kern w:val="0"/>
                <w:sz w:val="22"/>
                <w:szCs w:val="22"/>
                <w14:ligatures w14:val="none"/>
              </w:rPr>
              <w:instrText>‐</w:instrText>
            </w:r>
            <w:r w:rsidR="00C92566">
              <w:rPr>
                <w:rFonts w:ascii="Aptos Narrow" w:eastAsia="Times New Roman" w:hAnsi="Aptos Narrow" w:cs="Times New Roman"/>
                <w:color w:val="000000"/>
                <w:kern w:val="0"/>
                <w:sz w:val="22"/>
                <w:szCs w:val="22"/>
                <w14:ligatures w14:val="none"/>
              </w:rPr>
              <w:instrText xml:space="preserve">Glucuronide","volume":"10","author":[{"family":"Bins","given":"S"},{"family":"Doorn","given":"L","non-dropping-particle":"van"},{"family":"Phelps","given":"MA"},{"family":"Gibson","given":"AA"},{"family":"Hu","given":"S"},{"family":"Li","given":"L"},{"family":"Vasilyeva","given":"A"},{"family":"Du","given":"G"},{"family":"Hamberg","given":"P"},{"family":"Eskens","given":"FALM"},{"family":"Bruijn","given":"P","non-dropping-particle":"de"},{"family":"Sparreboom","given":"A"},{"family":"Mathijssen","given":"RHJ"},{"family":"Baker","given":"SD"}],"issued":{"date-parts":[["2017",7]]}}}],"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68</w:t>
            </w:r>
            <w:r>
              <w:rPr>
                <w:rFonts w:ascii="Aptos Narrow" w:eastAsia="Times New Roman" w:hAnsi="Aptos Narrow" w:cs="Times New Roman"/>
                <w:color w:val="000000"/>
                <w:kern w:val="0"/>
                <w:sz w:val="22"/>
                <w:szCs w:val="22"/>
                <w14:ligatures w14:val="none"/>
              </w:rPr>
              <w:fldChar w:fldCharType="end"/>
            </w:r>
          </w:p>
        </w:tc>
      </w:tr>
      <w:tr w:rsidR="00CA3A28" w:rsidRPr="00367563" w14:paraId="27B9AED8" w14:textId="77777777" w:rsidTr="00CA3A28">
        <w:trPr>
          <w:trHeight w:val="288"/>
        </w:trPr>
        <w:tc>
          <w:tcPr>
            <w:tcW w:w="2695" w:type="dxa"/>
            <w:noWrap/>
            <w:vAlign w:val="bottom"/>
            <w:hideMark/>
          </w:tcPr>
          <w:p w14:paraId="72E63884" w14:textId="0C863AF3"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Sorafenib</w:t>
            </w:r>
          </w:p>
        </w:tc>
        <w:tc>
          <w:tcPr>
            <w:tcW w:w="1330" w:type="dxa"/>
            <w:noWrap/>
            <w:vAlign w:val="bottom"/>
            <w:hideMark/>
          </w:tcPr>
          <w:p w14:paraId="051326E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5.5</w:t>
            </w:r>
          </w:p>
        </w:tc>
        <w:tc>
          <w:tcPr>
            <w:tcW w:w="960" w:type="dxa"/>
            <w:noWrap/>
            <w:vAlign w:val="bottom"/>
            <w:hideMark/>
          </w:tcPr>
          <w:p w14:paraId="4AC824A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7B326E4F"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mouse</w:t>
            </w:r>
          </w:p>
        </w:tc>
        <w:tc>
          <w:tcPr>
            <w:tcW w:w="1209" w:type="dxa"/>
            <w:noWrap/>
            <w:vAlign w:val="bottom"/>
            <w:hideMark/>
          </w:tcPr>
          <w:p w14:paraId="58BEB885" w14:textId="69A3D637" w:rsidR="00CA3A28" w:rsidRPr="00367563" w:rsidRDefault="00DF228A"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{"citationID":"xX73aDxW","properties":{"unsorted":false,"formattedCitation":"\\super 65\\nosupersub{}","plainCitation":"65","noteIndex":0},"citationItems":[{"id":1256,"uris":["http://zotero.org/users/7234110/items/33YVNBKK"],"itemData":{"id":1256,"type":"article-journal","abstract":"Purpose\nEverolimus is a mammalian target of rapamycin (mTOR) inhibitor approved as an immunosuppressant and for second-line therapy of hepatocellular carcinoma (HCC) and renal cell carcinoma (RCC). Sorafenib is a multikinase inhibitor used as first-line therapy in HCC and RCC. This study assessed the pharmacokinetics (PK) of everolimus and sorafenib alone and in combination in plasma and tissues, developed physiologically based pharmacokinetic (PBPK) models in mice, and assessed the possibility of PK drug interactions.\n\nMethods\nSingle and multiple oral doses of everolimus and sorafenib were administered alone and in combination in immunocompetent male mice and to severe combined immune-deficient (SCID) mice bearing low-passage, patient-derived pancreatic adenocarcinoma in seven different studies. Plasma and tissue samples including tumor were collected over a 24-h period and analyzed by liquid chromatography-tandem mass spectrometry (LC–MS/MS). Distribution of everolimus and sorafenib to the brain, muscle, adipose, lungs, kidneys, pancreas, spleen, liver, GI, and tumor was modeled as perfusion rate-limited, and all data from the diverse studies were fitted simultaneously using a population approach.\n\nResults\nPBPK models were developed for everolimus and sorafenib. PBPK analysis showed that the two drugs in combination had the same PK as each drug given alone. A twofold increase in sorafenib dose increased tumor exposure tenfold, thus suggesting involvement of transporters in tumor deposition of sorafenib.\n\nConclusions\nThe developed PBPK models suggested the absence of PK interaction between the two drugs in mice. These studies provide the basis for pharmacodynamic evaluation of these drugs in patient-derived primary pancreatic adenocarcinomas explants.","container-title":"Cancer chemotherapy and pharmacology","DOI":"10.1007/s00280-013-2116-y","ISSN":"0344-5704","issue":"5","journalAbbreviation":"Cancer Chemother Pharmacol","page":"1219-1229","PMID":"23455451","PMCID":"PMC3755750","source":"PubMed Central","title":"Physiologically based pharmacokinetic models for everolimus and sorafenib in mice","volume":"71","author":[{"family":"Pawaskar","given":"Dipti K."},{"family":"Straubinger","given":"Robert M."},{"family":"Fetterly","given":"Gerald J."},{"family":"Hylander","given":"Bonnie H."},{"family":"Repasky","given":"Elizabeth A."},{"family":"Ma","given":"Wen W."},{"family":"Jusko","given":"William J."}],"issued":{"date-parts":[["2013",5]]}}}],"schema":"https://github.com/citation-style-language/schema/raw/master/csl-citation.json"}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65</w:t>
            </w:r>
            <w:r>
              <w:rPr>
                <w:rFonts w:ascii="Aptos Narrow" w:eastAsia="Times New Roman" w:hAnsi="Aptos Narrow" w:cs="Times New Roman"/>
                <w:color w:val="000000"/>
                <w:kern w:val="0"/>
                <w:sz w:val="22"/>
                <w:szCs w:val="22"/>
                <w14:ligatures w14:val="none"/>
              </w:rPr>
              <w:fldChar w:fldCharType="end"/>
            </w:r>
          </w:p>
        </w:tc>
      </w:tr>
      <w:tr w:rsidR="00CA3A28" w:rsidRPr="0067523C" w14:paraId="2FBF4A6D" w14:textId="77777777" w:rsidTr="00CA3A28">
        <w:trPr>
          <w:trHeight w:val="288"/>
        </w:trPr>
        <w:tc>
          <w:tcPr>
            <w:tcW w:w="2695" w:type="dxa"/>
            <w:noWrap/>
            <w:vAlign w:val="bottom"/>
            <w:hideMark/>
          </w:tcPr>
          <w:p w14:paraId="197556DC"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32</w:t>
            </w:r>
          </w:p>
        </w:tc>
        <w:tc>
          <w:tcPr>
            <w:tcW w:w="1330" w:type="dxa"/>
            <w:noWrap/>
            <w:vAlign w:val="bottom"/>
            <w:hideMark/>
          </w:tcPr>
          <w:p w14:paraId="4591E6D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5</w:t>
            </w:r>
          </w:p>
        </w:tc>
        <w:tc>
          <w:tcPr>
            <w:tcW w:w="960" w:type="dxa"/>
            <w:noWrap/>
            <w:vAlign w:val="bottom"/>
            <w:hideMark/>
          </w:tcPr>
          <w:p w14:paraId="09520421"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2A750BAE"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674DD3B2" w14:textId="20305E4F"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{"citationID":"3UiaolXF","properties":{"unsorted":false,"formattedCitation":"\\super 1\\nosupersub{}","plainCitation":"1","noteIndex":0},"citationItems":[{"id":1236,"uris":["http://zotero.org/users/7234110/items/4GGEP4P7"],"itemData":{"id":1236,"type":"article-journal","abstract":"New therapies are needed for the treatment of toxoplasmosis, which is a disease caused by the protozoan parasite Toxoplasma gondii. To this end, we previously developed a potent and selective inhibitor (compound 1) of Toxoplasma gondii calcium-dependent protein kinase 1 (TgCDPK1) that possesses antitoxoplasmosis activity in vitro and in vivo. Unfortunately, 1 has potent human ether-a-go-go-related gene (hERG) inhibitory activity, associated with long Q–T syndrome, and consequently presents a cardiotoxicity risk. Here, we describe the identification of an optimized TgCDPK1 inhibitor 32, which does not have a hERG liability and possesses a favorable pharmacokinetic profile in small and large animals. 32 is CNS-penetrant and highly effective in acute and latent mouse models of T. gondii infection, significantly reducing the amount of parasite in the brain, spleen, and peritoneal fluid and reducing brain cysts by &gt;85%. These properties make 32 a promising lead for the development of a new antitoxoplasmosis therapy.","container-title":"Journal of Medicinal Chemistry","DOI":"10.1021/acs.jmedchem.6b00760","ISSN":"0022-2623","issue":"13","journalAbbreviation":"J. Med. Chem.","page":"6531-6546","publisher":"American Chemical Society","source":"ACS Publications","title":"Development of an Orally Available and Central Nervous System (CNS) Penetrant Toxoplasma gondii Calcium-Dependent Protein Kinase 1 (TgCDPK1) Inhibitor with Minimal Human Ether-a-go-go-Related Gene (hERG) Activity for the Treatment of Toxoplasmosis","volume":"59","author":[{"family":"Vidadala","given":"Rama Subba Rao"},{"family":"Rivas","given":"Kasey L."},{"family":"Ojo","given":"Kayode K."},{"family":"Hulverson","given":"Matthew A."},{"family":"Zambriski","given":"Jennifer A."},{"family":"Bruzual","given":"Igor"},{"family":"Schultz","given":"Tracey L."},{"family":"Huang","given":"Wenlin"},{"family":"Zhang","given":"Zhongsheng"},{"family":"Scheele","given":"Suzanne"},{"family":"DeRocher","given":"Amy E."},{"family":"Choi","given":"Ryan"},{"family":"Barrett","given":"Lynn K."},{"family":"Siddaramaiah","given":"Latha Kallur"},{"family":"Hol","given":"Wim G. J."},{"family":"Fan","given":"Erkang"},{"family":"Merritt","given":"Ethan A."},{"family":"Parsons","given":"Marilyn"},{"family":"Freiberg","given":"Gail"},{"family":"Marsh","given":"Kennan"},{"family":"Kempf","given":"Dale J."},{"family":"Carruthers","given":"Vern B."},{"family":"Isoherranen","given":"Nina"},{"family":"Doggett","given":"J. Stone"},{"family":"Van Voorhis","given":"Wesley C."},{"family":"Maly","given":"Dustin J."}],"issued":{"date-parts":[["2016",7,14]]}}}],"schema":"https://github.com/citation-style-language/schema/raw/master/csl-citation.json"}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67523C">
              <w:rPr>
                <w:rFonts w:ascii="Aptos Narrow" w:hAnsi="Aptos Narrow" w:cs="Times New Roman"/>
                <w:kern w:val="0"/>
                <w:sz w:val="22"/>
                <w:vertAlign w:val="superscript"/>
                <w:lang w:val="fr-FR"/>
              </w:rPr>
              <w:t>1</w:t>
            </w:r>
            <w:r>
              <w:rPr>
                <w:rFonts w:ascii="Aptos Narrow" w:eastAsia="Times New Roman" w:hAnsi="Aptos Narrow" w:cs="Times New Roman"/>
                <w:color w:val="000000"/>
                <w:kern w:val="0"/>
                <w:sz w:val="22"/>
                <w:szCs w:val="22"/>
                <w14:ligatures w14:val="none"/>
              </w:rPr>
              <w:fldChar w:fldCharType="end"/>
            </w:r>
          </w:p>
        </w:tc>
      </w:tr>
      <w:tr w:rsidR="00CA3A28" w:rsidRPr="0067523C" w14:paraId="2FC60577" w14:textId="77777777" w:rsidTr="00CA3A28">
        <w:trPr>
          <w:trHeight w:val="288"/>
        </w:trPr>
        <w:tc>
          <w:tcPr>
            <w:tcW w:w="2695" w:type="dxa"/>
            <w:noWrap/>
            <w:vAlign w:val="bottom"/>
            <w:hideMark/>
          </w:tcPr>
          <w:p w14:paraId="58970D9D" w14:textId="77777777" w:rsidR="00CA3A28" w:rsidRPr="0067523C" w:rsidRDefault="00CA3A28" w:rsidP="00CA3A28">
            <w:pPr>
              <w:spacing w:after="0" w:line="240" w:lineRule="auto"/>
              <w:rPr>
                <w:rFonts w:ascii="Aptos Narrow" w:eastAsia="Times New Roman" w:hAnsi="Aptos Narrow" w:cs="Times New Roman"/>
                <w:color w:val="000000"/>
                <w:kern w:val="0"/>
                <w:sz w:val="22"/>
                <w:szCs w:val="22"/>
                <w:lang w:val="fr-FR"/>
                <w14:ligatures w14:val="none"/>
              </w:rPr>
            </w:pPr>
            <w:r w:rsidRPr="0067523C">
              <w:rPr>
                <w:rFonts w:ascii="Aptos Narrow" w:eastAsia="Times New Roman" w:hAnsi="Aptos Narrow" w:cs="Times New Roman"/>
                <w:color w:val="000000"/>
                <w:kern w:val="0"/>
                <w:sz w:val="22"/>
                <w:szCs w:val="22"/>
                <w:lang w:val="fr-FR"/>
                <w14:ligatures w14:val="none"/>
              </w:rPr>
              <w:t>32</w:t>
            </w:r>
          </w:p>
        </w:tc>
        <w:tc>
          <w:tcPr>
            <w:tcW w:w="1330" w:type="dxa"/>
            <w:noWrap/>
            <w:vAlign w:val="bottom"/>
            <w:hideMark/>
          </w:tcPr>
          <w:p w14:paraId="35F22DF5"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r w:rsidRPr="0067523C">
              <w:rPr>
                <w:rFonts w:ascii="Aptos Narrow" w:eastAsia="Times New Roman" w:hAnsi="Aptos Narrow" w:cs="Times New Roman"/>
                <w:color w:val="000000"/>
                <w:kern w:val="0"/>
                <w:sz w:val="22"/>
                <w:szCs w:val="22"/>
                <w:lang w:val="fr-FR"/>
                <w14:ligatures w14:val="none"/>
              </w:rPr>
              <w:t>1.25</w:t>
            </w:r>
          </w:p>
        </w:tc>
        <w:tc>
          <w:tcPr>
            <w:tcW w:w="960" w:type="dxa"/>
            <w:noWrap/>
            <w:vAlign w:val="bottom"/>
            <w:hideMark/>
          </w:tcPr>
          <w:p w14:paraId="26D9D564" w14:textId="07C279B2" w:rsidR="00CA3A28" w:rsidRPr="0067523C" w:rsidRDefault="00FC471F" w:rsidP="00CA3A28">
            <w:pPr>
              <w:spacing w:after="0" w:line="240" w:lineRule="auto"/>
              <w:jc w:val="center"/>
              <w:rPr>
                <w:rFonts w:ascii="Aptos Narrow" w:eastAsia="Times New Roman" w:hAnsi="Aptos Narrow" w:cs="Times New Roman"/>
                <w:color w:val="000000"/>
                <w:kern w:val="0"/>
                <w:sz w:val="22"/>
                <w:szCs w:val="22"/>
                <w:lang w:val="fr-FR"/>
                <w14:ligatures w14:val="none"/>
              </w:rPr>
            </w:pPr>
            <w:r>
              <w:rPr>
                <w:rFonts w:ascii="Aptos Narrow" w:eastAsia="Times New Roman" w:hAnsi="Aptos Narrow" w:cs="Times New Roman"/>
                <w:color w:val="000000"/>
                <w:kern w:val="0"/>
                <w:sz w:val="22"/>
                <w:szCs w:val="22"/>
                <w:lang w:val="fr-FR"/>
                <w14:ligatures w14:val="none"/>
              </w:rPr>
              <w:t>IV</w:t>
            </w:r>
          </w:p>
        </w:tc>
        <w:tc>
          <w:tcPr>
            <w:tcW w:w="1147" w:type="dxa"/>
            <w:noWrap/>
            <w:vAlign w:val="bottom"/>
            <w:hideMark/>
          </w:tcPr>
          <w:p w14:paraId="0DDC1873"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proofErr w:type="gramStart"/>
            <w:r w:rsidRPr="0067523C">
              <w:rPr>
                <w:rFonts w:ascii="Aptos Narrow" w:eastAsia="Times New Roman" w:hAnsi="Aptos Narrow" w:cs="Times New Roman"/>
                <w:color w:val="000000"/>
                <w:kern w:val="0"/>
                <w:sz w:val="22"/>
                <w:szCs w:val="22"/>
                <w:lang w:val="fr-FR"/>
                <w14:ligatures w14:val="none"/>
              </w:rPr>
              <w:t>rat</w:t>
            </w:r>
            <w:proofErr w:type="gramEnd"/>
          </w:p>
        </w:tc>
        <w:tc>
          <w:tcPr>
            <w:tcW w:w="1209" w:type="dxa"/>
            <w:noWrap/>
            <w:vAlign w:val="bottom"/>
            <w:hideMark/>
          </w:tcPr>
          <w:p w14:paraId="4FA2B351" w14:textId="00B39715"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{"citationID":"whZhON5n","properties":{"unsorted":false,"formattedCitation":"\\super 1\\nosupersub{}","plainCitation":"1","noteIndex":0},"citationItems":[{"id":1236,"uris":["http://zotero.org/users/7234110/items/4GGEP4P7"],"itemData":{"id":1236,"type":"article-journal","abstract":"New therapies are needed for the treatment of toxoplasmosis, which is a disease caused by the protozoan parasite Toxoplasma gondii. To this end, we previously developed a potent and selective inhibitor (compound 1) of Toxoplasma gondii calcium-dependent protein kinase 1 (TgCDPK1) that possesses antitoxoplasmosis activity in vitro and in vivo. Unfortunately, 1 has potent human ether-a-go-go-related gene (hERG) inhibitory activity, associated with long Q–T syndrome, and consequently presents a cardiotoxicity risk. Here, we describe the identification of an optimized TgCDPK1 inhibitor 32, which does not have a hERG liability and possesses a favorable pharmacokinetic profile in small and large animals. 32 is CNS-penetrant and highly effective in acute and latent mouse models of T. gondii infection, significantly reducing the amount of parasite in the brain, spleen, and peritoneal fluid and reducing brain cysts by &gt;85%. These properties make 32 a promising lead for the development of a new antitoxoplasmosis therapy.","container-title":"Journal of Medicinal Chemistry","DOI":"10.1021/acs.jmedchem.6b00760","ISSN":"0022-2623","issue":"13","journalAbbreviation":"J. Med. Chem.","page":"6531-6546","publisher":"American Chemical Society","source":"ACS Publications","title":"Development of an Orally Available and Central Nervous System (CNS) Penetrant Toxoplasma gondii Calcium-Dependent Protein Kinase 1 (TgCDPK1) Inhibitor with Minimal Human Ether-a-go-go-Related Gene (hERG) Activity for the Treatment of Toxoplasmosis","volume":"59","author":[{"family":"Vidadala","given":"Rama Subba Rao"},{"family":"Rivas","given":"Kasey L."},{"family":"Ojo","given":"Kayode K."},{"family":"Hulverson","given":"Matthew A."},{"family":"Zambriski","given":"Jennifer A."},{"family":"Bruzual","given":"Igor"},{"family":"Schultz","given":"Tracey L."},{"family":"Huang","given":"Wenlin"},{"family":"Zhang","given":"Zhongsheng"},{"family":"Scheele","given":"Suzanne"},{"family":"DeRocher","given":"Amy E."},{"family":"Choi","given":"Ryan"},{"family":"Barrett","given":"Lynn K."},{"family":"Siddaramaiah","given":"Latha Kallur"},{"family":"Hol","given":"Wim G. J."},{"family":"Fan","given":"Erkang"},{"family":"Merritt","given":"Ethan A."},{"family":"Parsons","given":"Marilyn"},{"family":"Freiberg","given":"Gail"},{"family":"Marsh","given":"Kennan"},{"family":"Kempf","given":"Dale J."},{"family":"Carruthers","given":"Vern B."},{"family":"Isoherranen","given":"Nina"},{"family":"Doggett","given":"J. Stone"},{"family":"Van Voorhis","given":"Wesley C."},{"family":"Maly","given":"Dustin J."}],"issued":{"date-parts":[["2016",7,14]]}}}],"schema":"https://github.com/citation-style-language/schema/raw/master/csl-citation.json"}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D20272">
              <w:rPr>
                <w:rFonts w:ascii="Aptos Narrow" w:hAnsi="Aptos Narrow" w:cs="Times New Roman"/>
                <w:kern w:val="0"/>
                <w:sz w:val="22"/>
                <w:vertAlign w:val="superscript"/>
              </w:rPr>
              <w:t>1</w:t>
            </w:r>
            <w:r>
              <w:rPr>
                <w:rFonts w:ascii="Aptos Narrow" w:eastAsia="Times New Roman" w:hAnsi="Aptos Narrow" w:cs="Times New Roman"/>
                <w:color w:val="000000"/>
                <w:kern w:val="0"/>
                <w:sz w:val="22"/>
                <w:szCs w:val="22"/>
                <w14:ligatures w14:val="none"/>
              </w:rPr>
              <w:fldChar w:fldCharType="end"/>
            </w:r>
          </w:p>
        </w:tc>
      </w:tr>
      <w:tr w:rsidR="00CA3A28" w:rsidRPr="0067523C" w14:paraId="5240B55B" w14:textId="77777777" w:rsidTr="00CA3A28">
        <w:trPr>
          <w:trHeight w:val="288"/>
        </w:trPr>
        <w:tc>
          <w:tcPr>
            <w:tcW w:w="2695" w:type="dxa"/>
            <w:noWrap/>
            <w:vAlign w:val="bottom"/>
            <w:hideMark/>
          </w:tcPr>
          <w:p w14:paraId="5ACC744E" w14:textId="77777777" w:rsidR="00CA3A28" w:rsidRPr="0067523C" w:rsidRDefault="00CA3A28" w:rsidP="00CA3A28">
            <w:pPr>
              <w:spacing w:after="0" w:line="240" w:lineRule="auto"/>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33</w:t>
            </w:r>
          </w:p>
        </w:tc>
        <w:tc>
          <w:tcPr>
            <w:tcW w:w="1330" w:type="dxa"/>
            <w:noWrap/>
            <w:vAlign w:val="bottom"/>
            <w:hideMark/>
          </w:tcPr>
          <w:p w14:paraId="7096B883"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1.25</w:t>
            </w:r>
          </w:p>
        </w:tc>
        <w:tc>
          <w:tcPr>
            <w:tcW w:w="960" w:type="dxa"/>
            <w:noWrap/>
            <w:vAlign w:val="bottom"/>
            <w:hideMark/>
          </w:tcPr>
          <w:p w14:paraId="6131742C"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41429C1E"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336C0676" w14:textId="2D38572F"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{"citationID":"Chczm7I3","properties":{"unsorted":false,"formattedCitation":"\\super 1\\nosupersub{}","plainCitation":"1","noteIndex":0},"citationItems":[{"id":1236,"uris":["http://zotero.org/users/7234110/items/4GGEP4P7"],"itemData":{"id":1236,"type":"article-journal","abstract":"New therapies are needed for the treatment of toxoplasmosis, which is a disease caused by the protozoan parasite Toxoplasma gondii. To this end, we previously developed a potent and selective inhibitor (compound 1) of Toxoplasma gondii calcium-dependent protein kinase 1 (TgCDPK1) that possesses antitoxoplasmosis activity in vitro and in vivo. Unfortunately, 1 has potent human ether-a-go-go-related gene (hERG) inhibitory activity, associated with long Q–T syndrome, and consequently presents a cardiotoxicity risk. Here, we describe the identification of an optimized TgCDPK1 inhibitor 32, which does not have a hERG liability and possesses a favorable pharmacokinetic profile in small and large animals. 32 is CNS-penetrant and highly effective in acute and latent mouse models of T. gondii infection, significantly reducing the amount of parasite in the brain, spleen, and peritoneal fluid and reducing brain cysts by &gt;85%. These properties make 32 a promising lead for the development of a new antitoxoplasmosis therapy.","container-title":"Journal of Medicinal Chemistry","DOI":"10.1021/acs.jmedchem.6b00760","ISSN":"0022-2623","issue":"13","journalAbbreviation":"J. Med. Chem.","page":"6531-6546","publisher":"American Chemical Society","source":"ACS Publications","title":"Development of an Orally Available and Central Nervous System (CNS) Penetrant Toxoplasma gondii Calcium-Dependent Protein Kinase 1 (TgCDPK1) Inhibitor with Minimal Human Ether-a-go-go-Related Gene (hERG) Activity for the Treatment of Toxoplasmosis","volume":"59","author":[{"family":"Vidadala","given":"Rama Subba Rao"},{"family":"Rivas","given":"Kasey L."},{"family":"Ojo","given":"Kayode K."},{"family":"Hulverson","given":"Matthew A."},{"family":"Zambriski","given":"Jennifer A."},{"family":"Bruzual","given":"Igor"},{"family":"Schultz","given":"Tracey L."},{"family":"Huang","given":"Wenlin"},{"family":"Zhang","given":"Zhongsheng"},{"family":"Scheele","given":"Suzanne"},{"family":"DeRocher","given":"Amy E."},{"family":"Choi","given":"Ryan"},{"family":"Barrett","given":"Lynn K."},{"family":"Siddaramaiah","given":"Latha Kallur"},{"family":"Hol","given":"Wim G. J."},{"family":"Fan","given":"Erkang"},{"family":"Merritt","given":"Ethan A."},{"family":"Parsons","given":"Marilyn"},{"family":"Freiberg","given":"Gail"},{"family":"Marsh","given":"Kennan"},{"family":"Kempf","given":"Dale J."},{"family":"Carruthers","given":"Vern B."},{"family":"Isoherranen","given":"Nina"},{"family":"Doggett","given":"J. Stone"},{"family":"Van Voorhis","given":"Wesley C."},{"family":"Maly","given":"Dustin J."}],"issued":{"date-parts":[["2016",7,14]]}}}],"schema":"https://github.com/citation-style-language/schema/raw/master/csl-citation.json"}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D20272">
              <w:rPr>
                <w:rFonts w:ascii="Aptos Narrow" w:hAnsi="Aptos Narrow" w:cs="Times New Roman"/>
                <w:kern w:val="0"/>
                <w:sz w:val="22"/>
                <w:vertAlign w:val="superscript"/>
              </w:rPr>
              <w:t>1</w:t>
            </w:r>
            <w:r>
              <w:rPr>
                <w:rFonts w:ascii="Aptos Narrow" w:eastAsia="Times New Roman" w:hAnsi="Aptos Narrow" w:cs="Times New Roman"/>
                <w:color w:val="000000"/>
                <w:kern w:val="0"/>
                <w:sz w:val="22"/>
                <w:szCs w:val="22"/>
                <w14:ligatures w14:val="none"/>
              </w:rPr>
              <w:fldChar w:fldCharType="end"/>
            </w:r>
          </w:p>
        </w:tc>
      </w:tr>
      <w:tr w:rsidR="00CA3A28" w:rsidRPr="00FD74E3" w14:paraId="492B6D25" w14:textId="77777777" w:rsidTr="00CA3A28">
        <w:trPr>
          <w:trHeight w:val="288"/>
        </w:trPr>
        <w:tc>
          <w:tcPr>
            <w:tcW w:w="2695" w:type="dxa"/>
            <w:noWrap/>
            <w:vAlign w:val="bottom"/>
            <w:hideMark/>
          </w:tcPr>
          <w:p w14:paraId="177A51C2" w14:textId="77777777" w:rsidR="00CA3A28" w:rsidRPr="0067523C" w:rsidRDefault="00CA3A28" w:rsidP="00CA3A28">
            <w:pPr>
              <w:spacing w:after="0" w:line="240" w:lineRule="auto"/>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lastRenderedPageBreak/>
              <w:t>33</w:t>
            </w:r>
          </w:p>
        </w:tc>
        <w:tc>
          <w:tcPr>
            <w:tcW w:w="1330" w:type="dxa"/>
            <w:noWrap/>
            <w:vAlign w:val="bottom"/>
            <w:hideMark/>
          </w:tcPr>
          <w:p w14:paraId="4A9F2FF4"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1.25</w:t>
            </w:r>
          </w:p>
        </w:tc>
        <w:tc>
          <w:tcPr>
            <w:tcW w:w="960" w:type="dxa"/>
            <w:noWrap/>
            <w:vAlign w:val="bottom"/>
            <w:hideMark/>
          </w:tcPr>
          <w:p w14:paraId="57FF917C" w14:textId="459455FF" w:rsidR="00CA3A28" w:rsidRPr="0067523C"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027D26D4"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16475242" w14:textId="13EB7090" w:rsidR="00CA3A28" w:rsidRPr="000B41D8"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{"citationID":"n2XivgYo","properties":{"unsorted":false,"formattedCitation":"\\super 1\\nosupersub{}","plainCitation":"1","noteIndex":0},"citationItems":[{"id":1236,"uris":["http://zotero.org/users/7234110/items/4GGEP4P7"],"itemData":{"id":1236,"type":"article-journal","abstract":"New therapies are needed for the treatment of toxoplasmosis, which is a disease caused by the protozoan parasite Toxoplasma gondii. To this end, we previously developed a potent and selective inhibitor (compound 1) of Toxoplasma gondii calcium-dependent protein kinase 1 (TgCDPK1) that possesses antitoxoplasmosis activity in vitro and in vivo. Unfortunately, 1 has potent human ether-a-go-go-related gene (hERG) inhibitory activity, associated with long Q–T syndrome, and consequently presents a cardiotoxicity risk. Here, we describe the identification of an optimized TgCDPK1 inhibitor 32, which does not have a hERG liability and possesses a favorable pharmacokinetic profile in small and large animals. 32 is CNS-penetrant and highly effective in acute and latent mouse models of T. gondii infection, significantly reducing the amount of parasite in the brain, spleen, and peritoneal fluid and reducing brain cysts by &gt;85%. These properties make 32 a promising lead for the development of a new antitoxoplasmosis therapy.","container-title":"Journal of Medicinal Chemistry","DOI":"10.1021/acs.jmedchem.6b00760","ISSN":"0022-2623","issue":"13","journalAbbreviation":"J. Med. Chem.","page":"6531-6546","publisher":"A</w:instrText>
            </w:r>
            <w:r w:rsidRPr="000B41D8">
              <w:rPr>
                <w:rFonts w:ascii="Aptos Narrow" w:eastAsia="Times New Roman" w:hAnsi="Aptos Narrow" w:cs="Times New Roman"/>
                <w:color w:val="000000"/>
                <w:kern w:val="0"/>
                <w:sz w:val="22"/>
                <w:szCs w:val="22"/>
                <w:lang w:val="fr-FR"/>
                <w14:ligatures w14:val="none"/>
              </w:rPr>
              <w:instrText xml:space="preserve">merican Chemical Society","source":"ACS Publications","title":"Development of an Orally Available and Central Nervous System (CNS) Penetrant Toxoplasma gondii Calcium-Dependent Protein Kinase 1 (TgCDPK1) Inhibitor with Minimal Human Ether-a-go-go-Related Gene (hERG) Activity for the Treatment of Toxoplasmosis","volume":"59","author":[{"family":"Vidadala","given":"Rama Subba Rao"},{"family":"Rivas","given":"Kasey L."},{"family":"Ojo","given":"Kayode K."},{"family":"Hulverson","given":"Matthew A."},{"family":"Zambriski","given":"Jennifer A."},{"family":"Bruzual","given":"Igor"},{"family":"Schultz","given":"Tracey L."},{"family":"Huang","given":"Wenlin"},{"family":"Zhang","given":"Zhongsheng"},{"family":"Scheele","given":"Suzanne"},{"family":"DeRocher","given":"Amy E."},{"family":"Choi","given":"Ryan"},{"family":"Barrett","given":"Lynn K."},{"family":"Siddaramaiah","given":"Latha Kallur"},{"family":"Hol","given":"Wim G. J."},{"family":"Fan","given":"Erkang"},{"family":"Merritt","given":"Ethan A."},{"family":"Parsons","given":"Marilyn"},{"family":"Freiberg","given":"Gail"},{"family":"Marsh","given":"Kennan"},{"family":"Kempf","given":"Dale J."},{"family":"Carruthers","given":"Vern B."},{"family":"Isoherranen","given":"Nina"},{"family":"Doggett","given":"J. Stone"},{"family":"Van Voorhis","given":"Wesley C."},{"family":"Maly","given":"Dustin J."}],"issued":{"date-parts":[["2016",7,14]]}}}],"schema":"https://github.com/citation-style-language/schema/raw/master/csl-citation.json"}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B41D8">
              <w:rPr>
                <w:rFonts w:ascii="Aptos Narrow" w:hAnsi="Aptos Narrow" w:cs="Times New Roman"/>
                <w:kern w:val="0"/>
                <w:sz w:val="22"/>
                <w:vertAlign w:val="superscript"/>
                <w:lang w:val="fr-FR"/>
              </w:rPr>
              <w:t>1</w:t>
            </w:r>
            <w:r>
              <w:rPr>
                <w:rFonts w:ascii="Aptos Narrow" w:eastAsia="Times New Roman" w:hAnsi="Aptos Narrow" w:cs="Times New Roman"/>
                <w:color w:val="000000"/>
                <w:kern w:val="0"/>
                <w:sz w:val="22"/>
                <w:szCs w:val="22"/>
                <w14:ligatures w14:val="none"/>
              </w:rPr>
              <w:fldChar w:fldCharType="end"/>
            </w:r>
          </w:p>
        </w:tc>
      </w:tr>
      <w:tr w:rsidR="00CA3A28" w:rsidRPr="00FD74E3" w14:paraId="630F8AD6" w14:textId="77777777" w:rsidTr="00CA3A28">
        <w:trPr>
          <w:trHeight w:val="288"/>
        </w:trPr>
        <w:tc>
          <w:tcPr>
            <w:tcW w:w="2695" w:type="dxa"/>
            <w:noWrap/>
            <w:vAlign w:val="bottom"/>
            <w:hideMark/>
          </w:tcPr>
          <w:p w14:paraId="2206F3A5" w14:textId="77777777" w:rsidR="00CA3A28" w:rsidRPr="000B41D8" w:rsidRDefault="00CA3A28" w:rsidP="00CA3A28">
            <w:pPr>
              <w:spacing w:after="0" w:line="240" w:lineRule="auto"/>
              <w:rPr>
                <w:rFonts w:ascii="Aptos Narrow" w:eastAsia="Times New Roman" w:hAnsi="Aptos Narrow" w:cs="Times New Roman"/>
                <w:color w:val="000000"/>
                <w:kern w:val="0"/>
                <w:sz w:val="22"/>
                <w:szCs w:val="22"/>
                <w:lang w:val="fr-FR"/>
                <w14:ligatures w14:val="none"/>
              </w:rPr>
            </w:pPr>
            <w:r w:rsidRPr="000B41D8">
              <w:rPr>
                <w:rFonts w:ascii="Aptos Narrow" w:eastAsia="Times New Roman" w:hAnsi="Aptos Narrow" w:cs="Times New Roman"/>
                <w:color w:val="000000"/>
                <w:kern w:val="0"/>
                <w:sz w:val="22"/>
                <w:szCs w:val="22"/>
                <w:lang w:val="fr-FR"/>
                <w14:ligatures w14:val="none"/>
              </w:rPr>
              <w:t>43</w:t>
            </w:r>
          </w:p>
        </w:tc>
        <w:tc>
          <w:tcPr>
            <w:tcW w:w="1330" w:type="dxa"/>
            <w:noWrap/>
            <w:vAlign w:val="bottom"/>
            <w:hideMark/>
          </w:tcPr>
          <w:p w14:paraId="7FBDB430" w14:textId="77777777" w:rsidR="00CA3A28" w:rsidRPr="000B41D8"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r w:rsidRPr="000B41D8">
              <w:rPr>
                <w:rFonts w:ascii="Aptos Narrow" w:eastAsia="Times New Roman" w:hAnsi="Aptos Narrow" w:cs="Times New Roman"/>
                <w:color w:val="000000"/>
                <w:kern w:val="0"/>
                <w:sz w:val="22"/>
                <w:szCs w:val="22"/>
                <w:lang w:val="fr-FR"/>
                <w14:ligatures w14:val="none"/>
              </w:rPr>
              <w:t>2.5</w:t>
            </w:r>
          </w:p>
        </w:tc>
        <w:tc>
          <w:tcPr>
            <w:tcW w:w="960" w:type="dxa"/>
            <w:noWrap/>
            <w:vAlign w:val="bottom"/>
            <w:hideMark/>
          </w:tcPr>
          <w:p w14:paraId="2BB69EEF" w14:textId="77777777" w:rsidR="00CA3A28" w:rsidRPr="000B41D8"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r w:rsidRPr="000B41D8">
              <w:rPr>
                <w:rFonts w:ascii="Aptos Narrow" w:eastAsia="Times New Roman" w:hAnsi="Aptos Narrow" w:cs="Times New Roman"/>
                <w:color w:val="000000"/>
                <w:kern w:val="0"/>
                <w:sz w:val="22"/>
                <w:szCs w:val="22"/>
                <w:lang w:val="fr-FR"/>
                <w14:ligatures w14:val="none"/>
              </w:rPr>
              <w:t>IRS</w:t>
            </w:r>
          </w:p>
        </w:tc>
        <w:tc>
          <w:tcPr>
            <w:tcW w:w="1147" w:type="dxa"/>
            <w:noWrap/>
            <w:vAlign w:val="bottom"/>
            <w:hideMark/>
          </w:tcPr>
          <w:p w14:paraId="17FBF64B" w14:textId="77777777" w:rsidR="00CA3A28" w:rsidRPr="000B41D8"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proofErr w:type="gramStart"/>
            <w:r w:rsidRPr="000B41D8">
              <w:rPr>
                <w:rFonts w:ascii="Aptos Narrow" w:eastAsia="Times New Roman" w:hAnsi="Aptos Narrow" w:cs="Times New Roman"/>
                <w:color w:val="000000"/>
                <w:kern w:val="0"/>
                <w:sz w:val="22"/>
                <w:szCs w:val="22"/>
                <w:lang w:val="fr-FR"/>
                <w14:ligatures w14:val="none"/>
              </w:rPr>
              <w:t>rat</w:t>
            </w:r>
            <w:proofErr w:type="gramEnd"/>
          </w:p>
        </w:tc>
        <w:tc>
          <w:tcPr>
            <w:tcW w:w="1209" w:type="dxa"/>
            <w:noWrap/>
            <w:vAlign w:val="bottom"/>
            <w:hideMark/>
          </w:tcPr>
          <w:p w14:paraId="382448F4" w14:textId="5F63FC7E" w:rsidR="00CA3A28" w:rsidRPr="000B41D8" w:rsidRDefault="008838F6" w:rsidP="00CA3A28">
            <w:pPr>
              <w:spacing w:after="0" w:line="240" w:lineRule="auto"/>
              <w:jc w:val="center"/>
              <w:rPr>
                <w:rFonts w:ascii="Aptos Narrow" w:eastAsia="Times New Roman" w:hAnsi="Aptos Narrow" w:cs="Times New Roman"/>
                <w:color w:val="000000"/>
                <w:kern w:val="0"/>
                <w:sz w:val="22"/>
                <w:szCs w:val="22"/>
                <w:lang w:val="fr-FR"/>
                <w14:ligatures w14:val="none"/>
              </w:rPr>
            </w:pPr>
            <w:r>
              <w:rPr>
                <w:rFonts w:ascii="Aptos Narrow" w:eastAsia="Times New Roman" w:hAnsi="Aptos Narrow" w:cs="Times New Roman"/>
                <w:color w:val="000000"/>
                <w:kern w:val="0"/>
                <w:sz w:val="22"/>
                <w:szCs w:val="22"/>
                <w:lang w:val="fr-FR"/>
                <w14:ligatures w14:val="none"/>
              </w:rPr>
              <w:fldChar w:fldCharType="begin"/>
            </w:r>
            <w:r w:rsidR="00C92566">
              <w:rPr>
                <w:rFonts w:ascii="Aptos Narrow" w:eastAsia="Times New Roman" w:hAnsi="Aptos Narrow" w:cs="Times New Roman"/>
                <w:color w:val="000000"/>
                <w:kern w:val="0"/>
                <w:sz w:val="22"/>
                <w:szCs w:val="22"/>
                <w:lang w:val="fr-FR"/>
                <w14:ligatures w14:val="none"/>
              </w:rPr>
              <w:instrText xml:space="preserve"> ADDIN ZOTERO_ITEM CSL_CITATION {"citationID":"UXD0FoQs","properties":{"unsorted":false,"formattedCitation":"\\super 69\\nosupersub{}","plainCitation":"69","noteIndex":0},"citationItems":[{"id":1348,"uris":["http://zotero.org/users/7234110/items/RCNTF77Z"],"itemData":{"id":1348,"type":"article-journal","abstract":"Cyclic peptides can bind challenging disease targets with high affinity and specificity, offering enormous opportunities for addressing unmet medical needs. However, as with biological drugs, most cyclic peptides cannot be applied orally because they are rapidly digested and/or display low absorption in the gastrointestinal tract, hampering their development as therapeutics. In this study, we developed a combinatorial synthesis and screening approach based on sequential cyclization and one-pot peptide acylation and screening, with the possibility of simultaneously interrogating activity and permeability. In a proof of concept, we synthesized a library of 8,448 cyclic peptides and screened them against the disease target thrombin. Our workflow allowed multiple iterative cycles of library synthesis and yielded cyclic peptides with nanomolar affinities, high stabilities and an oral bioavailability (%F) as high as 18% in rats. This method for generating orally available peptides is general and provides a promising push toward unlocking the full potential of peptides as therapeutics.","container-title":"Nature Chemical Biology","DOI":"10.1038/s41589-023-01496-y","ISSN":"1552-4469","issue":"5","journalAbbreviation":"Nat Chem Biol","language":"en","license":"2023 The Author(s)","page":"624-633","publisher":"Nature Publishing Group","source":"www.nature.com","title":"De novo development of small cyclic peptides that are orally bioavailable","volume":"20","author":[{"family":"Merz","given":"Manuel L."},{"family":"Habeshian","given":"Sevan"},{"family":"Li","given":"Bo"},{"family":"David","given":"Jean-Alexandre G. L."},{"family":"Nielsen","given":"Alexander L."},{"family":"Ji","given":"Xinjian"},{"family":"Il Khwildy","given":"Khaled"},{"family":"Duany Benitez","given":"Maury M."},{"family":"Phothirath","given":"Phoukham"},{"family":"Heinis","given":"Christian"}],"issued":{"date-parts":[["2024",5]]}}}],"schema":"https://github.com/citation-style-language/schema/raw/master/csl-citation.json"} </w:instrText>
            </w:r>
            <w:r>
              <w:rPr>
                <w:rFonts w:ascii="Aptos Narrow" w:eastAsia="Times New Roman" w:hAnsi="Aptos Narrow" w:cs="Times New Roman"/>
                <w:color w:val="000000"/>
                <w:kern w:val="0"/>
                <w:sz w:val="22"/>
                <w:szCs w:val="22"/>
                <w:lang w:val="fr-FR"/>
                <w14:ligatures w14:val="none"/>
              </w:rPr>
              <w:fldChar w:fldCharType="separate"/>
            </w:r>
            <w:r w:rsidR="00C92566" w:rsidRPr="00C92566">
              <w:rPr>
                <w:rFonts w:ascii="Aptos Narrow" w:hAnsi="Aptos Narrow" w:cs="Times New Roman"/>
                <w:kern w:val="0"/>
                <w:sz w:val="22"/>
                <w:vertAlign w:val="superscript"/>
              </w:rPr>
              <w:t>69</w:t>
            </w:r>
            <w:r>
              <w:rPr>
                <w:rFonts w:ascii="Aptos Narrow" w:eastAsia="Times New Roman" w:hAnsi="Aptos Narrow" w:cs="Times New Roman"/>
                <w:color w:val="000000"/>
                <w:kern w:val="0"/>
                <w:sz w:val="22"/>
                <w:szCs w:val="22"/>
                <w:lang w:val="fr-FR"/>
                <w14:ligatures w14:val="none"/>
              </w:rPr>
              <w:fldChar w:fldCharType="end"/>
            </w:r>
          </w:p>
        </w:tc>
      </w:tr>
      <w:tr w:rsidR="00CA3A28" w:rsidRPr="00FD74E3" w14:paraId="12FEB681" w14:textId="77777777" w:rsidTr="00CA3A28">
        <w:trPr>
          <w:trHeight w:val="288"/>
        </w:trPr>
        <w:tc>
          <w:tcPr>
            <w:tcW w:w="2695" w:type="dxa"/>
            <w:noWrap/>
            <w:vAlign w:val="bottom"/>
            <w:hideMark/>
          </w:tcPr>
          <w:p w14:paraId="664E178B" w14:textId="77777777" w:rsidR="00CA3A28" w:rsidRPr="000B41D8" w:rsidRDefault="00CA3A28" w:rsidP="00CA3A28">
            <w:pPr>
              <w:spacing w:after="0" w:line="240" w:lineRule="auto"/>
              <w:rPr>
                <w:rFonts w:ascii="Aptos Narrow" w:eastAsia="Times New Roman" w:hAnsi="Aptos Narrow" w:cs="Times New Roman"/>
                <w:color w:val="000000"/>
                <w:kern w:val="0"/>
                <w:sz w:val="22"/>
                <w:szCs w:val="22"/>
                <w:lang w:val="fr-FR"/>
                <w14:ligatures w14:val="none"/>
              </w:rPr>
            </w:pPr>
            <w:r w:rsidRPr="000B41D8">
              <w:rPr>
                <w:rFonts w:ascii="Aptos Narrow" w:eastAsia="Times New Roman" w:hAnsi="Aptos Narrow" w:cs="Times New Roman"/>
                <w:color w:val="000000"/>
                <w:kern w:val="0"/>
                <w:sz w:val="22"/>
                <w:szCs w:val="22"/>
                <w:lang w:val="fr-FR"/>
                <w14:ligatures w14:val="none"/>
              </w:rPr>
              <w:t>43</w:t>
            </w:r>
          </w:p>
        </w:tc>
        <w:tc>
          <w:tcPr>
            <w:tcW w:w="1330" w:type="dxa"/>
            <w:noWrap/>
            <w:vAlign w:val="bottom"/>
            <w:hideMark/>
          </w:tcPr>
          <w:p w14:paraId="5CEA2D99" w14:textId="77777777" w:rsidR="00CA3A28" w:rsidRPr="000B41D8"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r w:rsidRPr="000B41D8">
              <w:rPr>
                <w:rFonts w:ascii="Aptos Narrow" w:eastAsia="Times New Roman" w:hAnsi="Aptos Narrow" w:cs="Times New Roman"/>
                <w:color w:val="000000"/>
                <w:kern w:val="0"/>
                <w:sz w:val="22"/>
                <w:szCs w:val="22"/>
                <w:lang w:val="fr-FR"/>
                <w14:ligatures w14:val="none"/>
              </w:rPr>
              <w:t>0.25</w:t>
            </w:r>
          </w:p>
        </w:tc>
        <w:tc>
          <w:tcPr>
            <w:tcW w:w="960" w:type="dxa"/>
            <w:noWrap/>
            <w:vAlign w:val="bottom"/>
            <w:hideMark/>
          </w:tcPr>
          <w:p w14:paraId="1EE43B53" w14:textId="1FFBCA3A" w:rsidR="00CA3A28" w:rsidRPr="000B41D8" w:rsidRDefault="00FC471F" w:rsidP="00CA3A28">
            <w:pPr>
              <w:spacing w:after="0" w:line="240" w:lineRule="auto"/>
              <w:jc w:val="center"/>
              <w:rPr>
                <w:rFonts w:ascii="Aptos Narrow" w:eastAsia="Times New Roman" w:hAnsi="Aptos Narrow" w:cs="Times New Roman"/>
                <w:color w:val="000000"/>
                <w:kern w:val="0"/>
                <w:sz w:val="22"/>
                <w:szCs w:val="22"/>
                <w:lang w:val="fr-FR"/>
                <w14:ligatures w14:val="none"/>
              </w:rPr>
            </w:pPr>
            <w:r>
              <w:rPr>
                <w:rFonts w:ascii="Aptos Narrow" w:eastAsia="Times New Roman" w:hAnsi="Aptos Narrow" w:cs="Times New Roman"/>
                <w:color w:val="000000"/>
                <w:kern w:val="0"/>
                <w:sz w:val="22"/>
                <w:szCs w:val="22"/>
                <w:lang w:val="fr-FR"/>
                <w14:ligatures w14:val="none"/>
              </w:rPr>
              <w:t>IV</w:t>
            </w:r>
          </w:p>
        </w:tc>
        <w:tc>
          <w:tcPr>
            <w:tcW w:w="1147" w:type="dxa"/>
            <w:noWrap/>
            <w:vAlign w:val="bottom"/>
            <w:hideMark/>
          </w:tcPr>
          <w:p w14:paraId="34C4927B" w14:textId="77777777" w:rsidR="00CA3A28" w:rsidRPr="000B41D8"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proofErr w:type="gramStart"/>
            <w:r w:rsidRPr="000B41D8">
              <w:rPr>
                <w:rFonts w:ascii="Aptos Narrow" w:eastAsia="Times New Roman" w:hAnsi="Aptos Narrow" w:cs="Times New Roman"/>
                <w:color w:val="000000"/>
                <w:kern w:val="0"/>
                <w:sz w:val="22"/>
                <w:szCs w:val="22"/>
                <w:lang w:val="fr-FR"/>
                <w14:ligatures w14:val="none"/>
              </w:rPr>
              <w:t>rat</w:t>
            </w:r>
            <w:proofErr w:type="gramEnd"/>
          </w:p>
        </w:tc>
        <w:tc>
          <w:tcPr>
            <w:tcW w:w="1209" w:type="dxa"/>
            <w:noWrap/>
            <w:vAlign w:val="bottom"/>
            <w:hideMark/>
          </w:tcPr>
          <w:p w14:paraId="74343C6A" w14:textId="75E088C9" w:rsidR="00CA3A28" w:rsidRPr="000B41D8" w:rsidRDefault="008838F6" w:rsidP="00CA3A28">
            <w:pPr>
              <w:spacing w:after="0" w:line="240" w:lineRule="auto"/>
              <w:jc w:val="center"/>
              <w:rPr>
                <w:rFonts w:ascii="Aptos Narrow" w:eastAsia="Times New Roman" w:hAnsi="Aptos Narrow" w:cs="Times New Roman"/>
                <w:color w:val="000000"/>
                <w:kern w:val="0"/>
                <w:sz w:val="22"/>
                <w:szCs w:val="22"/>
                <w:lang w:val="fr-FR"/>
                <w14:ligatures w14:val="none"/>
              </w:rPr>
            </w:pPr>
            <w:r>
              <w:rPr>
                <w:rFonts w:ascii="Aptos Narrow" w:eastAsia="Times New Roman" w:hAnsi="Aptos Narrow" w:cs="Times New Roman"/>
                <w:color w:val="000000"/>
                <w:kern w:val="0"/>
                <w:sz w:val="22"/>
                <w:szCs w:val="22"/>
                <w:lang w:val="fr-FR"/>
                <w14:ligatures w14:val="none"/>
              </w:rPr>
              <w:fldChar w:fldCharType="begin"/>
            </w:r>
            <w:r w:rsidR="00C92566">
              <w:rPr>
                <w:rFonts w:ascii="Aptos Narrow" w:eastAsia="Times New Roman" w:hAnsi="Aptos Narrow" w:cs="Times New Roman"/>
                <w:color w:val="000000"/>
                <w:kern w:val="0"/>
                <w:sz w:val="22"/>
                <w:szCs w:val="22"/>
                <w:lang w:val="fr-FR"/>
                <w14:ligatures w14:val="none"/>
              </w:rPr>
              <w:instrText xml:space="preserve"> ADDIN ZOTERO_ITEM CSL_CITATION {"citationID":"PuL05vG2","properties":{"unsorted":false,"formattedCitation":"\\super 69\\nosupersub{}","plainCitation":"69","noteIndex":0},"citationItems":[{"id":1348,"uris":["http://zotero.org/users/7234110/items/RCNTF77Z"],"itemData":{"id":1348,"type":"article-journal","abstract":"Cyclic peptides can bind challenging disease targets with high affinity and specificity, offering enormous opportunities for addressing unmet medical needs. However, as with biological drugs, most cyclic peptides cannot be applied orally because they are rapidly digested and/or display low absorption in the gastrointestinal tract, hampering their development as therapeutics. In this study, we developed a combinatorial synthesis and screening approach based on sequential cyclization and one-pot peptide acylation and screening, with the possibility of simultaneously interrogating activity and permeability. In a proof of concept, we synthesized a library of 8,448 cyclic peptides and screened them against the disease target thrombin. Our workflow allowed multiple iterative cycles of library synthesis and yielded cyclic peptides with nanomolar affinities, high stabilities and an oral bioavailability (%F) as high as 18% in rats. This method for generating orally available peptides is general and provides a promising push toward unlocking the full potential of peptides as therapeutics.","container-title":"Nature Chemical Biology","DOI":"10.1038/s41589-023-01496-y","ISSN":"1552-4469","issue":"5","journalAbbreviation":"Nat Chem Biol","language":"en","license":"2023 The Author(s)","page":"624-633","publisher":"Nature Publishing Group","source":"www.nature.com","title":"De novo development of small cyclic peptides that are orally bioavailable","volume":"20","author":[{"family":"Merz","given":"Manuel L."},{"family":"Habeshian","given":"Sevan"},{"family":"Li","given":"Bo"},{"family":"David","given":"Jean-Alexandre G. L."},{"family":"Nielsen","given":"Alexander L."},{"family":"Ji","given":"Xinjian"},{"family":"Il Khwildy","given":"Khaled"},{"family":"Duany Benitez","given":"Maury M."},{"family":"Phothirath","given":"Phoukham"},{"family":"Heinis","given":"Christian"}],"issued":{"date-parts":[["2024",5]]}}}],"schema":"https://github.com/citation-style-language/schema/raw/master/csl-citation.json"} </w:instrText>
            </w:r>
            <w:r>
              <w:rPr>
                <w:rFonts w:ascii="Aptos Narrow" w:eastAsia="Times New Roman" w:hAnsi="Aptos Narrow" w:cs="Times New Roman"/>
                <w:color w:val="000000"/>
                <w:kern w:val="0"/>
                <w:sz w:val="22"/>
                <w:szCs w:val="22"/>
                <w:lang w:val="fr-FR"/>
                <w14:ligatures w14:val="none"/>
              </w:rPr>
              <w:fldChar w:fldCharType="separate"/>
            </w:r>
            <w:r w:rsidR="00C92566" w:rsidRPr="00C92566">
              <w:rPr>
                <w:rFonts w:ascii="Aptos Narrow" w:hAnsi="Aptos Narrow" w:cs="Times New Roman"/>
                <w:kern w:val="0"/>
                <w:sz w:val="22"/>
                <w:vertAlign w:val="superscript"/>
              </w:rPr>
              <w:t>69</w:t>
            </w:r>
            <w:r>
              <w:rPr>
                <w:rFonts w:ascii="Aptos Narrow" w:eastAsia="Times New Roman" w:hAnsi="Aptos Narrow" w:cs="Times New Roman"/>
                <w:color w:val="000000"/>
                <w:kern w:val="0"/>
                <w:sz w:val="22"/>
                <w:szCs w:val="22"/>
                <w:lang w:val="fr-FR"/>
                <w14:ligatures w14:val="none"/>
              </w:rPr>
              <w:fldChar w:fldCharType="end"/>
            </w:r>
          </w:p>
        </w:tc>
      </w:tr>
      <w:tr w:rsidR="00CA3A28" w:rsidRPr="00FD74E3" w14:paraId="785194BF" w14:textId="77777777" w:rsidTr="00CA3A28">
        <w:trPr>
          <w:trHeight w:val="288"/>
        </w:trPr>
        <w:tc>
          <w:tcPr>
            <w:tcW w:w="2695" w:type="dxa"/>
            <w:noWrap/>
            <w:vAlign w:val="bottom"/>
            <w:hideMark/>
          </w:tcPr>
          <w:p w14:paraId="50AC406A" w14:textId="77777777" w:rsidR="00CA3A28" w:rsidRPr="000B41D8" w:rsidRDefault="00CA3A28" w:rsidP="00CA3A28">
            <w:pPr>
              <w:spacing w:after="0" w:line="240" w:lineRule="auto"/>
              <w:rPr>
                <w:rFonts w:ascii="Aptos Narrow" w:eastAsia="Times New Roman" w:hAnsi="Aptos Narrow" w:cs="Times New Roman"/>
                <w:color w:val="000000"/>
                <w:kern w:val="0"/>
                <w:sz w:val="22"/>
                <w:szCs w:val="22"/>
                <w:lang w:val="fr-FR"/>
                <w14:ligatures w14:val="none"/>
              </w:rPr>
            </w:pPr>
            <w:r w:rsidRPr="000B41D8">
              <w:rPr>
                <w:rFonts w:ascii="Aptos Narrow" w:eastAsia="Times New Roman" w:hAnsi="Aptos Narrow" w:cs="Times New Roman"/>
                <w:color w:val="000000"/>
                <w:kern w:val="0"/>
                <w:sz w:val="22"/>
                <w:szCs w:val="22"/>
                <w:lang w:val="fr-FR"/>
                <w14:ligatures w14:val="none"/>
              </w:rPr>
              <w:t>46</w:t>
            </w:r>
          </w:p>
        </w:tc>
        <w:tc>
          <w:tcPr>
            <w:tcW w:w="1330" w:type="dxa"/>
            <w:noWrap/>
            <w:vAlign w:val="bottom"/>
            <w:hideMark/>
          </w:tcPr>
          <w:p w14:paraId="7B2FFC45" w14:textId="77777777" w:rsidR="00CA3A28" w:rsidRPr="000B41D8"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r w:rsidRPr="000B41D8">
              <w:rPr>
                <w:rFonts w:ascii="Aptos Narrow" w:eastAsia="Times New Roman" w:hAnsi="Aptos Narrow" w:cs="Times New Roman"/>
                <w:color w:val="000000"/>
                <w:kern w:val="0"/>
                <w:sz w:val="22"/>
                <w:szCs w:val="22"/>
                <w:lang w:val="fr-FR"/>
                <w14:ligatures w14:val="none"/>
              </w:rPr>
              <w:t>2.5</w:t>
            </w:r>
          </w:p>
        </w:tc>
        <w:tc>
          <w:tcPr>
            <w:tcW w:w="960" w:type="dxa"/>
            <w:noWrap/>
            <w:vAlign w:val="bottom"/>
            <w:hideMark/>
          </w:tcPr>
          <w:p w14:paraId="7AEDD421" w14:textId="77777777" w:rsidR="00CA3A28" w:rsidRPr="000B41D8"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r w:rsidRPr="000B41D8">
              <w:rPr>
                <w:rFonts w:ascii="Aptos Narrow" w:eastAsia="Times New Roman" w:hAnsi="Aptos Narrow" w:cs="Times New Roman"/>
                <w:color w:val="000000"/>
                <w:kern w:val="0"/>
                <w:sz w:val="22"/>
                <w:szCs w:val="22"/>
                <w:lang w:val="fr-FR"/>
                <w14:ligatures w14:val="none"/>
              </w:rPr>
              <w:t>IRS</w:t>
            </w:r>
          </w:p>
        </w:tc>
        <w:tc>
          <w:tcPr>
            <w:tcW w:w="1147" w:type="dxa"/>
            <w:noWrap/>
            <w:vAlign w:val="bottom"/>
            <w:hideMark/>
          </w:tcPr>
          <w:p w14:paraId="10EFF9F1" w14:textId="77777777" w:rsidR="00CA3A28" w:rsidRPr="000B41D8"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proofErr w:type="gramStart"/>
            <w:r w:rsidRPr="000B41D8">
              <w:rPr>
                <w:rFonts w:ascii="Aptos Narrow" w:eastAsia="Times New Roman" w:hAnsi="Aptos Narrow" w:cs="Times New Roman"/>
                <w:color w:val="000000"/>
                <w:kern w:val="0"/>
                <w:sz w:val="22"/>
                <w:szCs w:val="22"/>
                <w:lang w:val="fr-FR"/>
                <w14:ligatures w14:val="none"/>
              </w:rPr>
              <w:t>rat</w:t>
            </w:r>
            <w:proofErr w:type="gramEnd"/>
          </w:p>
        </w:tc>
        <w:tc>
          <w:tcPr>
            <w:tcW w:w="1209" w:type="dxa"/>
            <w:noWrap/>
            <w:vAlign w:val="bottom"/>
            <w:hideMark/>
          </w:tcPr>
          <w:p w14:paraId="61544114" w14:textId="6392E456" w:rsidR="00CA3A28" w:rsidRPr="000B41D8" w:rsidRDefault="008838F6" w:rsidP="00CA3A28">
            <w:pPr>
              <w:spacing w:after="0" w:line="240" w:lineRule="auto"/>
              <w:jc w:val="center"/>
              <w:rPr>
                <w:rFonts w:ascii="Aptos Narrow" w:eastAsia="Times New Roman" w:hAnsi="Aptos Narrow" w:cs="Times New Roman"/>
                <w:color w:val="000000"/>
                <w:kern w:val="0"/>
                <w:sz w:val="22"/>
                <w:szCs w:val="22"/>
                <w:lang w:val="fr-FR"/>
                <w14:ligatures w14:val="none"/>
              </w:rPr>
            </w:pPr>
            <w:r>
              <w:rPr>
                <w:rFonts w:ascii="Aptos Narrow" w:eastAsia="Times New Roman" w:hAnsi="Aptos Narrow" w:cs="Times New Roman"/>
                <w:color w:val="000000"/>
                <w:kern w:val="0"/>
                <w:sz w:val="22"/>
                <w:szCs w:val="22"/>
                <w:lang w:val="fr-FR"/>
                <w14:ligatures w14:val="none"/>
              </w:rPr>
              <w:fldChar w:fldCharType="begin"/>
            </w:r>
            <w:r w:rsidR="00C92566">
              <w:rPr>
                <w:rFonts w:ascii="Aptos Narrow" w:eastAsia="Times New Roman" w:hAnsi="Aptos Narrow" w:cs="Times New Roman"/>
                <w:color w:val="000000"/>
                <w:kern w:val="0"/>
                <w:sz w:val="22"/>
                <w:szCs w:val="22"/>
                <w:lang w:val="fr-FR"/>
                <w14:ligatures w14:val="none"/>
              </w:rPr>
              <w:instrText xml:space="preserve"> ADDIN ZOTERO_ITEM CSL_CITATION {"citationID":"oThCe8rM","properties":{"unsorted":false,"formattedCitation":"\\super 69\\nosupersub{}","plainCitation":"69","noteIndex":0},"citationItems":[{"id":1348,"uris":["http://zotero.org/users/7234110/items/RCNTF77Z"],"itemData":{"id":1348,"type":"article-journal","abstract":"Cyclic peptides can bind challenging disease targets with high affinity and specificity, offering enormous opportunities for addressing unmet medical needs. However, as with biological drugs, most cyclic peptides cannot be applied orally because they are rapidly digested and/or display low absorption in the gastrointestinal tract, hampering their development as therapeutics. In this study, we developed a combinatorial synthesis and screening approach based on sequential cyclization and one-pot peptide acylation and screening, with the possibility of simultaneously interrogating activity and permeability. In a proof of concept, we synthesized a library of 8,448 cyclic peptides and screened them against the disease target thrombin. Our workflow allowed multiple iterative cycles of library synthesis and yielded cyclic peptides with nanomolar affinities, high stabilities and an oral bioavailability (%F) as high as 18% in rats. This method for generating orally available peptides is general and provides a promising push toward unlocking the full potential of peptides as therapeutics.","container-title":"Nature Chemical Biology","DOI":"10.1038/s41589-023-01496-y","ISSN":"1552-4469","issue":"5","journalAbbreviation":"Nat Chem Biol","language":"en","license":"2023 The Author(s)","page":"624-633","publisher":"Nature Publishing Group","source":"www.nature.com","title":"De novo development of small cyclic peptides that are orally bioavailable","volume":"20","author":[{"family":"Merz","given":"Manuel L."},{"family":"Habeshian","given":"Sevan"},{"family":"Li","given":"Bo"},{"family":"David","given":"Jean-Alexandre G. L."},{"family":"Nielsen","given":"Alexander L."},{"family":"Ji","given":"Xinjian"},{"family":"Il Khwildy","given":"Khaled"},{"family":"Duany Benitez","given":"Maury M."},{"family":"Phothirath","given":"Phoukham"},{"family":"Heinis","given":"Christian"}],"issued":{"date-parts":[["2024",5]]}}}],"schema":"https://github.com/citation-style-language/schema/raw/master/csl-citation.json"} </w:instrText>
            </w:r>
            <w:r>
              <w:rPr>
                <w:rFonts w:ascii="Aptos Narrow" w:eastAsia="Times New Roman" w:hAnsi="Aptos Narrow" w:cs="Times New Roman"/>
                <w:color w:val="000000"/>
                <w:kern w:val="0"/>
                <w:sz w:val="22"/>
                <w:szCs w:val="22"/>
                <w:lang w:val="fr-FR"/>
                <w14:ligatures w14:val="none"/>
              </w:rPr>
              <w:fldChar w:fldCharType="separate"/>
            </w:r>
            <w:r w:rsidR="00C92566" w:rsidRPr="00C92566">
              <w:rPr>
                <w:rFonts w:ascii="Aptos Narrow" w:hAnsi="Aptos Narrow" w:cs="Times New Roman"/>
                <w:kern w:val="0"/>
                <w:sz w:val="22"/>
                <w:vertAlign w:val="superscript"/>
              </w:rPr>
              <w:t>69</w:t>
            </w:r>
            <w:r>
              <w:rPr>
                <w:rFonts w:ascii="Aptos Narrow" w:eastAsia="Times New Roman" w:hAnsi="Aptos Narrow" w:cs="Times New Roman"/>
                <w:color w:val="000000"/>
                <w:kern w:val="0"/>
                <w:sz w:val="22"/>
                <w:szCs w:val="22"/>
                <w:lang w:val="fr-FR"/>
                <w14:ligatures w14:val="none"/>
              </w:rPr>
              <w:fldChar w:fldCharType="end"/>
            </w:r>
          </w:p>
        </w:tc>
      </w:tr>
      <w:tr w:rsidR="00CA3A28" w:rsidRPr="00FD74E3" w14:paraId="29D8A7B4" w14:textId="77777777" w:rsidTr="00CA3A28">
        <w:trPr>
          <w:trHeight w:val="288"/>
        </w:trPr>
        <w:tc>
          <w:tcPr>
            <w:tcW w:w="2695" w:type="dxa"/>
            <w:noWrap/>
            <w:vAlign w:val="bottom"/>
            <w:hideMark/>
          </w:tcPr>
          <w:p w14:paraId="6CC46695" w14:textId="77777777" w:rsidR="00CA3A28" w:rsidRPr="000B41D8" w:rsidRDefault="00CA3A28" w:rsidP="00CA3A28">
            <w:pPr>
              <w:spacing w:after="0" w:line="240" w:lineRule="auto"/>
              <w:rPr>
                <w:rFonts w:ascii="Aptos Narrow" w:eastAsia="Times New Roman" w:hAnsi="Aptos Narrow" w:cs="Times New Roman"/>
                <w:color w:val="000000"/>
                <w:kern w:val="0"/>
                <w:sz w:val="22"/>
                <w:szCs w:val="22"/>
                <w:lang w:val="fr-FR"/>
                <w14:ligatures w14:val="none"/>
              </w:rPr>
            </w:pPr>
            <w:r w:rsidRPr="000B41D8">
              <w:rPr>
                <w:rFonts w:ascii="Aptos Narrow" w:eastAsia="Times New Roman" w:hAnsi="Aptos Narrow" w:cs="Times New Roman"/>
                <w:color w:val="000000"/>
                <w:kern w:val="0"/>
                <w:sz w:val="22"/>
                <w:szCs w:val="22"/>
                <w:lang w:val="fr-FR"/>
                <w14:ligatures w14:val="none"/>
              </w:rPr>
              <w:t>46</w:t>
            </w:r>
          </w:p>
        </w:tc>
        <w:tc>
          <w:tcPr>
            <w:tcW w:w="1330" w:type="dxa"/>
            <w:noWrap/>
            <w:vAlign w:val="bottom"/>
            <w:hideMark/>
          </w:tcPr>
          <w:p w14:paraId="45A0646E" w14:textId="77777777" w:rsidR="00CA3A28" w:rsidRPr="000B41D8"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r w:rsidRPr="000B41D8">
              <w:rPr>
                <w:rFonts w:ascii="Aptos Narrow" w:eastAsia="Times New Roman" w:hAnsi="Aptos Narrow" w:cs="Times New Roman"/>
                <w:color w:val="000000"/>
                <w:kern w:val="0"/>
                <w:sz w:val="22"/>
                <w:szCs w:val="22"/>
                <w:lang w:val="fr-FR"/>
                <w14:ligatures w14:val="none"/>
              </w:rPr>
              <w:t>0.25</w:t>
            </w:r>
          </w:p>
        </w:tc>
        <w:tc>
          <w:tcPr>
            <w:tcW w:w="960" w:type="dxa"/>
            <w:noWrap/>
            <w:vAlign w:val="bottom"/>
            <w:hideMark/>
          </w:tcPr>
          <w:p w14:paraId="3539A501" w14:textId="59726DEA" w:rsidR="00CA3A28" w:rsidRPr="000B41D8" w:rsidRDefault="00FC471F" w:rsidP="00CA3A28">
            <w:pPr>
              <w:spacing w:after="0" w:line="240" w:lineRule="auto"/>
              <w:jc w:val="center"/>
              <w:rPr>
                <w:rFonts w:ascii="Aptos Narrow" w:eastAsia="Times New Roman" w:hAnsi="Aptos Narrow" w:cs="Times New Roman"/>
                <w:color w:val="000000"/>
                <w:kern w:val="0"/>
                <w:sz w:val="22"/>
                <w:szCs w:val="22"/>
                <w:lang w:val="fr-FR"/>
                <w14:ligatures w14:val="none"/>
              </w:rPr>
            </w:pPr>
            <w:r>
              <w:rPr>
                <w:rFonts w:ascii="Aptos Narrow" w:eastAsia="Times New Roman" w:hAnsi="Aptos Narrow" w:cs="Times New Roman"/>
                <w:color w:val="000000"/>
                <w:kern w:val="0"/>
                <w:sz w:val="22"/>
                <w:szCs w:val="22"/>
                <w:lang w:val="fr-FR"/>
                <w14:ligatures w14:val="none"/>
              </w:rPr>
              <w:t>IV</w:t>
            </w:r>
          </w:p>
        </w:tc>
        <w:tc>
          <w:tcPr>
            <w:tcW w:w="1147" w:type="dxa"/>
            <w:noWrap/>
            <w:vAlign w:val="bottom"/>
            <w:hideMark/>
          </w:tcPr>
          <w:p w14:paraId="7F7BF76B" w14:textId="77777777" w:rsidR="00CA3A28" w:rsidRPr="000B41D8"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proofErr w:type="gramStart"/>
            <w:r w:rsidRPr="000B41D8">
              <w:rPr>
                <w:rFonts w:ascii="Aptos Narrow" w:eastAsia="Times New Roman" w:hAnsi="Aptos Narrow" w:cs="Times New Roman"/>
                <w:color w:val="000000"/>
                <w:kern w:val="0"/>
                <w:sz w:val="22"/>
                <w:szCs w:val="22"/>
                <w:lang w:val="fr-FR"/>
                <w14:ligatures w14:val="none"/>
              </w:rPr>
              <w:t>rat</w:t>
            </w:r>
            <w:proofErr w:type="gramEnd"/>
          </w:p>
        </w:tc>
        <w:tc>
          <w:tcPr>
            <w:tcW w:w="1209" w:type="dxa"/>
            <w:noWrap/>
            <w:vAlign w:val="bottom"/>
            <w:hideMark/>
          </w:tcPr>
          <w:p w14:paraId="51CFBED4" w14:textId="0CE4DF50" w:rsidR="00CA3A28" w:rsidRPr="000B41D8" w:rsidRDefault="008838F6" w:rsidP="00CA3A28">
            <w:pPr>
              <w:spacing w:after="0" w:line="240" w:lineRule="auto"/>
              <w:jc w:val="center"/>
              <w:rPr>
                <w:rFonts w:ascii="Aptos Narrow" w:eastAsia="Times New Roman" w:hAnsi="Aptos Narrow" w:cs="Times New Roman"/>
                <w:color w:val="000000"/>
                <w:kern w:val="0"/>
                <w:sz w:val="22"/>
                <w:szCs w:val="22"/>
                <w:lang w:val="fr-FR"/>
                <w14:ligatures w14:val="none"/>
              </w:rPr>
            </w:pPr>
            <w:r>
              <w:rPr>
                <w:rFonts w:ascii="Aptos Narrow" w:eastAsia="Times New Roman" w:hAnsi="Aptos Narrow" w:cs="Times New Roman"/>
                <w:color w:val="000000"/>
                <w:kern w:val="0"/>
                <w:sz w:val="22"/>
                <w:szCs w:val="22"/>
                <w:lang w:val="fr-FR"/>
                <w14:ligatures w14:val="none"/>
              </w:rPr>
              <w:fldChar w:fldCharType="begin"/>
            </w:r>
            <w:r w:rsidR="00C92566">
              <w:rPr>
                <w:rFonts w:ascii="Aptos Narrow" w:eastAsia="Times New Roman" w:hAnsi="Aptos Narrow" w:cs="Times New Roman"/>
                <w:color w:val="000000"/>
                <w:kern w:val="0"/>
                <w:sz w:val="22"/>
                <w:szCs w:val="22"/>
                <w:lang w:val="fr-FR"/>
                <w14:ligatures w14:val="none"/>
              </w:rPr>
              <w:instrText xml:space="preserve"> ADDIN ZOTERO_ITEM CSL_CITATION {"citationID":"Bmm4AWEE","properties":{"unsorted":false,"formattedCitation":"\\super 69\\nosupersub{}","plainCitation":"69","noteIndex":0},"citationItems":[{"id":1348,"uris":["http://zotero.org/users/7234110/items/RCNTF77Z"],"itemData":{"id":1348,"type":"article-journal","abstract":"Cyclic peptides can bind challenging disease targets with high affinity and specificity, offering enormous opportunities for addressing unmet medical needs. However, as with biological drugs, most cyclic peptides cannot be applied orally because they are rapidly digested and/or display low absorption in the gastrointestinal tract, hampering their development as therapeutics. In this study, we developed a combinatorial synthesis and screening approach based on sequential cyclization and one-pot peptide acylation and screening, with the possibility of simultaneously interrogating activity and permeability. In a proof of concept, we synthesized a library of 8,448 cyclic peptides and screened them against the disease target thrombin. Our workflow allowed multiple iterative cycles of library synthesis and yielded cyclic peptides with nanomolar affinities, high stabilities and an oral bioavailability (%F) as high as 18% in rats. This method for generating orally available peptides is general and provides a promising push toward unlocking the full potential of peptides as therapeutics.","container-title":"Nature Chemical Biology","DOI":"10.1038/s41589-023-01496-y","ISSN":"1552-4469","issue":"5","journalAbbreviation":"Nat Chem Biol","language":"en","license":"2023 The Author(s)","page":"624-633","publisher":"Nature Publishing Group","source":"www.nature.com","title":"De novo development of small cyclic peptides that are orally bioavailable","volume":"20","author":[{"family":"Merz","given":"Manuel L."},{"family":"Habeshian","given":"Sevan"},{"family":"Li","given":"Bo"},{"family":"David","given":"Jean-Alexandre G. L."},{"family":"Nielsen","given":"Alexander L."},{"family":"Ji","given":"Xinjian"},{"family":"Il Khwildy","given":"Khaled"},{"family":"Duany Benitez","given":"Maury M."},{"family":"Phothirath","given":"Phoukham"},{"family":"Heinis","given":"Christian"}],"issued":{"date-parts":[["2024",5]]}}}],"schema":"https://github.com/citation-style-language/schema/raw/master/csl-citation.json"} </w:instrText>
            </w:r>
            <w:r>
              <w:rPr>
                <w:rFonts w:ascii="Aptos Narrow" w:eastAsia="Times New Roman" w:hAnsi="Aptos Narrow" w:cs="Times New Roman"/>
                <w:color w:val="000000"/>
                <w:kern w:val="0"/>
                <w:sz w:val="22"/>
                <w:szCs w:val="22"/>
                <w:lang w:val="fr-FR"/>
                <w14:ligatures w14:val="none"/>
              </w:rPr>
              <w:fldChar w:fldCharType="separate"/>
            </w:r>
            <w:r w:rsidR="00C92566" w:rsidRPr="00C92566">
              <w:rPr>
                <w:rFonts w:ascii="Aptos Narrow" w:hAnsi="Aptos Narrow" w:cs="Times New Roman"/>
                <w:kern w:val="0"/>
                <w:sz w:val="22"/>
                <w:vertAlign w:val="superscript"/>
              </w:rPr>
              <w:t>69</w:t>
            </w:r>
            <w:r>
              <w:rPr>
                <w:rFonts w:ascii="Aptos Narrow" w:eastAsia="Times New Roman" w:hAnsi="Aptos Narrow" w:cs="Times New Roman"/>
                <w:color w:val="000000"/>
                <w:kern w:val="0"/>
                <w:sz w:val="22"/>
                <w:szCs w:val="22"/>
                <w:lang w:val="fr-FR"/>
                <w14:ligatures w14:val="none"/>
              </w:rPr>
              <w:fldChar w:fldCharType="end"/>
            </w:r>
          </w:p>
        </w:tc>
      </w:tr>
      <w:tr w:rsidR="00CA3A28" w:rsidRPr="00FD74E3" w14:paraId="3A14E7B5" w14:textId="77777777" w:rsidTr="00CA3A28">
        <w:trPr>
          <w:trHeight w:val="288"/>
        </w:trPr>
        <w:tc>
          <w:tcPr>
            <w:tcW w:w="2695" w:type="dxa"/>
            <w:noWrap/>
            <w:vAlign w:val="bottom"/>
            <w:hideMark/>
          </w:tcPr>
          <w:p w14:paraId="77A67250" w14:textId="77777777" w:rsidR="00CA3A28" w:rsidRPr="000B41D8" w:rsidRDefault="00CA3A28" w:rsidP="00CA3A28">
            <w:pPr>
              <w:spacing w:after="0" w:line="240" w:lineRule="auto"/>
              <w:rPr>
                <w:rFonts w:ascii="Aptos Narrow" w:eastAsia="Times New Roman" w:hAnsi="Aptos Narrow" w:cs="Times New Roman"/>
                <w:color w:val="000000"/>
                <w:kern w:val="0"/>
                <w:sz w:val="22"/>
                <w:szCs w:val="22"/>
                <w:lang w:val="fr-FR"/>
                <w14:ligatures w14:val="none"/>
              </w:rPr>
            </w:pPr>
            <w:r w:rsidRPr="000B41D8">
              <w:rPr>
                <w:rFonts w:ascii="Aptos Narrow" w:eastAsia="Times New Roman" w:hAnsi="Aptos Narrow" w:cs="Times New Roman"/>
                <w:color w:val="000000"/>
                <w:kern w:val="0"/>
                <w:sz w:val="22"/>
                <w:szCs w:val="22"/>
                <w:lang w:val="fr-FR"/>
                <w14:ligatures w14:val="none"/>
              </w:rPr>
              <w:t>11n</w:t>
            </w:r>
          </w:p>
        </w:tc>
        <w:tc>
          <w:tcPr>
            <w:tcW w:w="1330" w:type="dxa"/>
            <w:noWrap/>
            <w:vAlign w:val="bottom"/>
            <w:hideMark/>
          </w:tcPr>
          <w:p w14:paraId="477C63AB" w14:textId="77777777" w:rsidR="00CA3A28" w:rsidRPr="000B41D8"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r w:rsidRPr="000B41D8">
              <w:rPr>
                <w:rFonts w:ascii="Aptos Narrow" w:eastAsia="Times New Roman" w:hAnsi="Aptos Narrow" w:cs="Times New Roman"/>
                <w:color w:val="000000"/>
                <w:kern w:val="0"/>
                <w:sz w:val="22"/>
                <w:szCs w:val="22"/>
                <w:lang w:val="fr-FR"/>
                <w14:ligatures w14:val="none"/>
              </w:rPr>
              <w:t>1.25</w:t>
            </w:r>
          </w:p>
        </w:tc>
        <w:tc>
          <w:tcPr>
            <w:tcW w:w="960" w:type="dxa"/>
            <w:noWrap/>
            <w:vAlign w:val="bottom"/>
            <w:hideMark/>
          </w:tcPr>
          <w:p w14:paraId="0A0873A9" w14:textId="2037924B" w:rsidR="00CA3A28" w:rsidRPr="000B41D8" w:rsidRDefault="00FC471F" w:rsidP="00CA3A28">
            <w:pPr>
              <w:spacing w:after="0" w:line="240" w:lineRule="auto"/>
              <w:jc w:val="center"/>
              <w:rPr>
                <w:rFonts w:ascii="Aptos Narrow" w:eastAsia="Times New Roman" w:hAnsi="Aptos Narrow" w:cs="Times New Roman"/>
                <w:color w:val="000000"/>
                <w:kern w:val="0"/>
                <w:sz w:val="22"/>
                <w:szCs w:val="22"/>
                <w:lang w:val="fr-FR"/>
                <w14:ligatures w14:val="none"/>
              </w:rPr>
            </w:pPr>
            <w:r>
              <w:rPr>
                <w:rFonts w:ascii="Aptos Narrow" w:eastAsia="Times New Roman" w:hAnsi="Aptos Narrow" w:cs="Times New Roman"/>
                <w:color w:val="000000"/>
                <w:kern w:val="0"/>
                <w:sz w:val="22"/>
                <w:szCs w:val="22"/>
                <w:lang w:val="fr-FR"/>
                <w14:ligatures w14:val="none"/>
              </w:rPr>
              <w:t>IV</w:t>
            </w:r>
          </w:p>
        </w:tc>
        <w:tc>
          <w:tcPr>
            <w:tcW w:w="1147" w:type="dxa"/>
            <w:noWrap/>
            <w:vAlign w:val="bottom"/>
            <w:hideMark/>
          </w:tcPr>
          <w:p w14:paraId="0149DA63" w14:textId="77777777" w:rsidR="00CA3A28" w:rsidRPr="000B41D8"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proofErr w:type="gramStart"/>
            <w:r w:rsidRPr="000B41D8">
              <w:rPr>
                <w:rFonts w:ascii="Aptos Narrow" w:eastAsia="Times New Roman" w:hAnsi="Aptos Narrow" w:cs="Times New Roman"/>
                <w:color w:val="000000"/>
                <w:kern w:val="0"/>
                <w:sz w:val="22"/>
                <w:szCs w:val="22"/>
                <w:lang w:val="fr-FR"/>
                <w14:ligatures w14:val="none"/>
              </w:rPr>
              <w:t>rat</w:t>
            </w:r>
            <w:proofErr w:type="gramEnd"/>
          </w:p>
        </w:tc>
        <w:tc>
          <w:tcPr>
            <w:tcW w:w="1209" w:type="dxa"/>
            <w:noWrap/>
            <w:vAlign w:val="bottom"/>
            <w:hideMark/>
          </w:tcPr>
          <w:p w14:paraId="094BC017" w14:textId="2B1B2652" w:rsidR="00CA3A28" w:rsidRPr="000B41D8" w:rsidRDefault="00FF2A98" w:rsidP="00CA3A28">
            <w:pPr>
              <w:spacing w:after="0" w:line="240" w:lineRule="auto"/>
              <w:jc w:val="center"/>
              <w:rPr>
                <w:rFonts w:ascii="Aptos Narrow" w:eastAsia="Times New Roman" w:hAnsi="Aptos Narrow" w:cs="Times New Roman"/>
                <w:color w:val="000000"/>
                <w:kern w:val="0"/>
                <w:sz w:val="22"/>
                <w:szCs w:val="22"/>
                <w:lang w:val="fr-FR"/>
                <w14:ligatures w14:val="none"/>
              </w:rPr>
            </w:pPr>
            <w:r>
              <w:rPr>
                <w:rFonts w:ascii="Aptos Narrow" w:eastAsia="Times New Roman" w:hAnsi="Aptos Narrow" w:cs="Times New Roman"/>
                <w:color w:val="000000"/>
                <w:kern w:val="0"/>
                <w:sz w:val="22"/>
                <w:szCs w:val="22"/>
                <w:lang w:val="fr-FR"/>
                <w14:ligatures w14:val="none"/>
              </w:rPr>
              <w:fldChar w:fldCharType="begin"/>
            </w:r>
            <w:r w:rsidR="00C92566">
              <w:rPr>
                <w:rFonts w:ascii="Aptos Narrow" w:eastAsia="Times New Roman" w:hAnsi="Aptos Narrow" w:cs="Times New Roman"/>
                <w:color w:val="000000"/>
                <w:kern w:val="0"/>
                <w:sz w:val="22"/>
                <w:szCs w:val="22"/>
                <w:lang w:val="fr-FR"/>
                <w14:ligatures w14:val="none"/>
              </w:rPr>
              <w:instrText xml:space="preserve"> ADDIN ZOTERO_ITEM CSL_CITATION {"citationID":"44lHD02A","properties":{"unsorted":false,"formattedCitation":"\\super 70\\nosupersub{}","plainCitation":"70","noteIndex":0},"citationItems":[{"id":1341,"uris":["http://zotero.org/users/7234110/items/46UCRBSB"],"itemData":{"id":1341,"type":"article-journal","abstract":"Aberrant expression of the phosphatase SHP2 is implicated in numerous cancers, including KRAS G12D mutation driven PDAC. Although several SHP2 inhibitors have been reported, specific inhibitors with potent efficacy are not yet available. Given the elevated autophagy in PDAC, herein, we first designed novel SHP2 degraders through autophagosome-tethering compound strategy. Among them, the preferred 11n formed hydrogen bonds with Arg 111 and Glu 250 residues of SHP2 to enhance interactions between SHP2 and LC3. 11n also possessed great efficacy and selectivity against KRAS G12D mutant cancer cells versus the wild type. Moreover, the degradation caused by 11n manipulated the signaling pathways associated with cell apoptosis, metastasis, and invasion to inhibit the tumor growth both in vitro and in vivo. These findings not only generated a useful tool for exploring the potential of targeting SHP2 degradation but also offered promising candidates to develop novel drugs based on the autophagy mechanism.","container-title":"Journal of Medicinal Chemistry","DOI":"10.1021/acs.jmedchem.4c02682","ISSN":"0022-2623","issue":"8","journalAbbreviation":"J. Med. Chem.","page":"8143-8162","publisher":"American Chemical Society","source":"ACS Publications","title":"Discovery of Novel SHP2 ATTEC Degraders against Pancreatic Ductal Adenocarcinoma Harboring KRAS(G12D) Mutations","volume":"68","author":[{"family":"Zhong","given":"Yue"},{"family":"Lu","given":"Yan"},{"family":"Li","given":"Jiahui"},{"family":"Ren","given":"Qiang"},{"family":"Fan","given":"Yiqing"},{"family":"Meng","given":"Xiqi"},{"family":"Shao","given":"Jieyu"},{"family":"Qian","given":"Hai"}],"issued":{"date-parts":[["2025",4,24]]}}}],"schema":"https://github.com/citation-style-language/schema/raw/master/csl-citation.json"} </w:instrText>
            </w:r>
            <w:r>
              <w:rPr>
                <w:rFonts w:ascii="Aptos Narrow" w:eastAsia="Times New Roman" w:hAnsi="Aptos Narrow" w:cs="Times New Roman"/>
                <w:color w:val="000000"/>
                <w:kern w:val="0"/>
                <w:sz w:val="22"/>
                <w:szCs w:val="22"/>
                <w:lang w:val="fr-FR"/>
                <w14:ligatures w14:val="none"/>
              </w:rPr>
              <w:fldChar w:fldCharType="separate"/>
            </w:r>
            <w:r w:rsidR="00C92566" w:rsidRPr="00C92566">
              <w:rPr>
                <w:rFonts w:ascii="Aptos Narrow" w:hAnsi="Aptos Narrow" w:cs="Times New Roman"/>
                <w:kern w:val="0"/>
                <w:sz w:val="22"/>
                <w:vertAlign w:val="superscript"/>
              </w:rPr>
              <w:t>70</w:t>
            </w:r>
            <w:r>
              <w:rPr>
                <w:rFonts w:ascii="Aptos Narrow" w:eastAsia="Times New Roman" w:hAnsi="Aptos Narrow" w:cs="Times New Roman"/>
                <w:color w:val="000000"/>
                <w:kern w:val="0"/>
                <w:sz w:val="22"/>
                <w:szCs w:val="22"/>
                <w:lang w:val="fr-FR"/>
                <w14:ligatures w14:val="none"/>
              </w:rPr>
              <w:fldChar w:fldCharType="end"/>
            </w:r>
          </w:p>
        </w:tc>
      </w:tr>
      <w:tr w:rsidR="00CA3A28" w:rsidRPr="00FD74E3" w14:paraId="67EBD7BB" w14:textId="77777777" w:rsidTr="00CA3A28">
        <w:trPr>
          <w:trHeight w:val="288"/>
        </w:trPr>
        <w:tc>
          <w:tcPr>
            <w:tcW w:w="2695" w:type="dxa"/>
            <w:noWrap/>
            <w:vAlign w:val="bottom"/>
            <w:hideMark/>
          </w:tcPr>
          <w:p w14:paraId="4F09D652" w14:textId="77777777" w:rsidR="00CA3A28" w:rsidRPr="000B41D8" w:rsidRDefault="00CA3A28" w:rsidP="00CA3A28">
            <w:pPr>
              <w:spacing w:after="0" w:line="240" w:lineRule="auto"/>
              <w:rPr>
                <w:rFonts w:ascii="Aptos Narrow" w:eastAsia="Times New Roman" w:hAnsi="Aptos Narrow" w:cs="Times New Roman"/>
                <w:color w:val="000000"/>
                <w:kern w:val="0"/>
                <w:sz w:val="22"/>
                <w:szCs w:val="22"/>
                <w:lang w:val="fr-FR"/>
                <w14:ligatures w14:val="none"/>
              </w:rPr>
            </w:pPr>
            <w:r w:rsidRPr="000B41D8">
              <w:rPr>
                <w:rFonts w:ascii="Aptos Narrow" w:eastAsia="Times New Roman" w:hAnsi="Aptos Narrow" w:cs="Times New Roman"/>
                <w:color w:val="000000"/>
                <w:kern w:val="0"/>
                <w:sz w:val="22"/>
                <w:szCs w:val="22"/>
                <w:lang w:val="fr-FR"/>
                <w14:ligatures w14:val="none"/>
              </w:rPr>
              <w:t>16d</w:t>
            </w:r>
          </w:p>
        </w:tc>
        <w:tc>
          <w:tcPr>
            <w:tcW w:w="1330" w:type="dxa"/>
            <w:noWrap/>
            <w:vAlign w:val="bottom"/>
            <w:hideMark/>
          </w:tcPr>
          <w:p w14:paraId="476FD591" w14:textId="77777777" w:rsidR="00CA3A28" w:rsidRPr="000B41D8"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r w:rsidRPr="000B41D8">
              <w:rPr>
                <w:rFonts w:ascii="Aptos Narrow" w:eastAsia="Times New Roman" w:hAnsi="Aptos Narrow" w:cs="Times New Roman"/>
                <w:color w:val="000000"/>
                <w:kern w:val="0"/>
                <w:sz w:val="22"/>
                <w:szCs w:val="22"/>
                <w:lang w:val="fr-FR"/>
                <w14:ligatures w14:val="none"/>
              </w:rPr>
              <w:t>0.7</w:t>
            </w:r>
          </w:p>
        </w:tc>
        <w:tc>
          <w:tcPr>
            <w:tcW w:w="960" w:type="dxa"/>
            <w:noWrap/>
            <w:vAlign w:val="bottom"/>
            <w:hideMark/>
          </w:tcPr>
          <w:p w14:paraId="2860E3FC" w14:textId="77777777" w:rsidR="00CA3A28" w:rsidRPr="000B41D8"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r w:rsidRPr="000B41D8">
              <w:rPr>
                <w:rFonts w:ascii="Aptos Narrow" w:eastAsia="Times New Roman" w:hAnsi="Aptos Narrow" w:cs="Times New Roman"/>
                <w:color w:val="000000"/>
                <w:kern w:val="0"/>
                <w:sz w:val="22"/>
                <w:szCs w:val="22"/>
                <w:lang w:val="fr-FR"/>
                <w14:ligatures w14:val="none"/>
              </w:rPr>
              <w:t>IRS</w:t>
            </w:r>
          </w:p>
        </w:tc>
        <w:tc>
          <w:tcPr>
            <w:tcW w:w="1147" w:type="dxa"/>
            <w:noWrap/>
            <w:vAlign w:val="bottom"/>
            <w:hideMark/>
          </w:tcPr>
          <w:p w14:paraId="2816F8E4" w14:textId="77777777" w:rsidR="00CA3A28" w:rsidRPr="000B41D8"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proofErr w:type="gramStart"/>
            <w:r w:rsidRPr="000B41D8">
              <w:rPr>
                <w:rFonts w:ascii="Aptos Narrow" w:eastAsia="Times New Roman" w:hAnsi="Aptos Narrow" w:cs="Times New Roman"/>
                <w:color w:val="000000"/>
                <w:kern w:val="0"/>
                <w:sz w:val="22"/>
                <w:szCs w:val="22"/>
                <w:lang w:val="fr-FR"/>
                <w14:ligatures w14:val="none"/>
              </w:rPr>
              <w:t>rat</w:t>
            </w:r>
            <w:proofErr w:type="gramEnd"/>
          </w:p>
        </w:tc>
        <w:tc>
          <w:tcPr>
            <w:tcW w:w="1209" w:type="dxa"/>
            <w:noWrap/>
            <w:vAlign w:val="bottom"/>
            <w:hideMark/>
          </w:tcPr>
          <w:p w14:paraId="1456FB1A" w14:textId="5251410E" w:rsidR="00CA3A28" w:rsidRPr="000B41D8" w:rsidRDefault="00C92566" w:rsidP="00CA3A28">
            <w:pPr>
              <w:spacing w:after="0" w:line="240" w:lineRule="auto"/>
              <w:jc w:val="center"/>
              <w:rPr>
                <w:rFonts w:ascii="Aptos Narrow" w:eastAsia="Times New Roman" w:hAnsi="Aptos Narrow" w:cs="Times New Roman"/>
                <w:color w:val="000000"/>
                <w:kern w:val="0"/>
                <w:sz w:val="22"/>
                <w:szCs w:val="22"/>
                <w:lang w:val="fr-FR"/>
                <w14:ligatures w14:val="none"/>
              </w:rPr>
            </w:pPr>
            <w:r>
              <w:rPr>
                <w:rFonts w:ascii="Aptos Narrow" w:eastAsia="Times New Roman" w:hAnsi="Aptos Narrow" w:cs="Times New Roman"/>
                <w:color w:val="000000"/>
                <w:kern w:val="0"/>
                <w:sz w:val="22"/>
                <w:szCs w:val="22"/>
                <w:lang w:val="fr-FR"/>
                <w14:ligatures w14:val="none"/>
              </w:rPr>
              <w:fldChar w:fldCharType="begin"/>
            </w:r>
            <w:r>
              <w:rPr>
                <w:rFonts w:ascii="Aptos Narrow" w:eastAsia="Times New Roman" w:hAnsi="Aptos Narrow" w:cs="Times New Roman"/>
                <w:color w:val="000000"/>
                <w:kern w:val="0"/>
                <w:sz w:val="22"/>
                <w:szCs w:val="22"/>
                <w:lang w:val="fr-FR"/>
                <w14:ligatures w14:val="none"/>
              </w:rPr>
              <w:instrText xml:space="preserve"> ADDIN ZOTERO_ITEM CSL_CITATION {"citationID":"D2WNZOzo","properties":{"unsorted":false,"formattedCitation":"\\super 71\\nosupersub{}","plainCitation":"71","noteIndex":0},"citationItems":[{"id":1355,"uris":["http://zotero.org/users/7234110/items/4SFR9P87"],"itemData":{"id":1355,"type":"article-journal","abstract":"Muscle atrophy and cachexia are common comorbidities among patients suffering from cancer, chronic obstructive pulmonary disease, and several other chronic diseases. The peptide hormone ghrelin exerts pleiotropic effects including the stimulation of growth hormone secretion and subsequent increase of insulin-like growth factor-1 levels, an important mediator of muscle growth and repair. Ghrelin also acts on inflammation, appetite, and adipogenesis and therefore has been considered a promising therapeutic target for catabolic conditions. We previously reported on the synthesis and properties of an indane based series of ghrelin receptor full agonists which led to a sustained increase of insulin-like growth factor-1 in a dog pharmacodynamic study. Herein we report on the identification of a series of pyrrolidine or piperidine based full agonists and attempted optimization to give compounds with profiles suitable for progression as clinical candidates.","container-title":"Journal of Medicinal Chemistry","DOI":"10.1021/acs.jmedchem.0c00828","ISSN":"0022-2623","issue":"17","journalAbbreviation":"J. Med. Chem.","page":"9705-9730","publisher":"American Chemical Society","source":"ACS Publications","title":"Identification and Optimization of Pyrrolidine Derivatives as Highly Potent Ghrelin Receptor Full Agonists","volume":"63","author":[{"family":"Cooper","given":"Martin"},{"family":"Llinas","given":"Antonio"},{"family":"Hansen","given":"Peter"},{"family":"Caffrey","given":"Moya"},{"family":"Ray","given":"Asim"},{"family":"Sjödin","given":"Stina"},{"family":"Shamovsky","given":"Igor"},{"family":"Wada","given":"Hiroki"},{"family":"Jellesmark Jensen","given":"Tina"},{"family":"Sivars","given":"Ulf"},{"family":"Hultin","given":"Leif"},{"family":"Andersson","given":"Ulf"},{"family":"Lundqvist","given":"Sara"},{"family":"Gedda","given":"Karin"},{"family":"Jinton","given":"Lisa"},{"family":"Krutrök","given":"Nina"},{"family":"Lewis","given":"Richard"},{"family":"Jansson","given":"Paul"},{"family":"Gardelli","given":"Cristina"}],"issued":{"date-parts":[["2020",9,10]]}}}],"schema":"https://github.com/citation-style-language/schema/raw/master/csl-citation.json"} </w:instrText>
            </w:r>
            <w:r>
              <w:rPr>
                <w:rFonts w:ascii="Aptos Narrow" w:eastAsia="Times New Roman" w:hAnsi="Aptos Narrow" w:cs="Times New Roman"/>
                <w:color w:val="000000"/>
                <w:kern w:val="0"/>
                <w:sz w:val="22"/>
                <w:szCs w:val="22"/>
                <w:lang w:val="fr-FR"/>
                <w14:ligatures w14:val="none"/>
              </w:rPr>
              <w:fldChar w:fldCharType="separate"/>
            </w:r>
            <w:r w:rsidRPr="00C92566">
              <w:rPr>
                <w:rFonts w:ascii="Aptos Narrow" w:hAnsi="Aptos Narrow" w:cs="Times New Roman"/>
                <w:kern w:val="0"/>
                <w:sz w:val="22"/>
                <w:vertAlign w:val="superscript"/>
              </w:rPr>
              <w:t>71</w:t>
            </w:r>
            <w:r>
              <w:rPr>
                <w:rFonts w:ascii="Aptos Narrow" w:eastAsia="Times New Roman" w:hAnsi="Aptos Narrow" w:cs="Times New Roman"/>
                <w:color w:val="000000"/>
                <w:kern w:val="0"/>
                <w:sz w:val="22"/>
                <w:szCs w:val="22"/>
                <w:lang w:val="fr-FR"/>
                <w14:ligatures w14:val="none"/>
              </w:rPr>
              <w:fldChar w:fldCharType="end"/>
            </w:r>
          </w:p>
        </w:tc>
      </w:tr>
      <w:tr w:rsidR="00CA3A28" w:rsidRPr="00FD74E3" w14:paraId="43FFAEE2" w14:textId="77777777" w:rsidTr="00CA3A28">
        <w:trPr>
          <w:trHeight w:val="288"/>
        </w:trPr>
        <w:tc>
          <w:tcPr>
            <w:tcW w:w="2695" w:type="dxa"/>
            <w:noWrap/>
            <w:vAlign w:val="bottom"/>
            <w:hideMark/>
          </w:tcPr>
          <w:p w14:paraId="5DBFFF1E" w14:textId="77777777" w:rsidR="00CA3A28" w:rsidRPr="000B41D8" w:rsidRDefault="00CA3A28" w:rsidP="00CA3A28">
            <w:pPr>
              <w:spacing w:after="0" w:line="240" w:lineRule="auto"/>
              <w:rPr>
                <w:rFonts w:ascii="Aptos Narrow" w:eastAsia="Times New Roman" w:hAnsi="Aptos Narrow" w:cs="Times New Roman"/>
                <w:color w:val="000000"/>
                <w:kern w:val="0"/>
                <w:sz w:val="22"/>
                <w:szCs w:val="22"/>
                <w:lang w:val="fr-FR"/>
                <w14:ligatures w14:val="none"/>
              </w:rPr>
            </w:pPr>
            <w:r w:rsidRPr="000B41D8">
              <w:rPr>
                <w:rFonts w:ascii="Aptos Narrow" w:eastAsia="Times New Roman" w:hAnsi="Aptos Narrow" w:cs="Times New Roman"/>
                <w:color w:val="000000"/>
                <w:kern w:val="0"/>
                <w:sz w:val="22"/>
                <w:szCs w:val="22"/>
                <w:lang w:val="fr-FR"/>
                <w14:ligatures w14:val="none"/>
              </w:rPr>
              <w:t>16d</w:t>
            </w:r>
          </w:p>
        </w:tc>
        <w:tc>
          <w:tcPr>
            <w:tcW w:w="1330" w:type="dxa"/>
            <w:noWrap/>
            <w:vAlign w:val="bottom"/>
            <w:hideMark/>
          </w:tcPr>
          <w:p w14:paraId="29AB081A" w14:textId="77777777" w:rsidR="00CA3A28" w:rsidRPr="000B41D8"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r w:rsidRPr="000B41D8">
              <w:rPr>
                <w:rFonts w:ascii="Aptos Narrow" w:eastAsia="Times New Roman" w:hAnsi="Aptos Narrow" w:cs="Times New Roman"/>
                <w:color w:val="000000"/>
                <w:kern w:val="0"/>
                <w:sz w:val="22"/>
                <w:szCs w:val="22"/>
                <w:lang w:val="fr-FR"/>
                <w14:ligatures w14:val="none"/>
              </w:rPr>
              <w:t>0.25</w:t>
            </w:r>
          </w:p>
        </w:tc>
        <w:tc>
          <w:tcPr>
            <w:tcW w:w="960" w:type="dxa"/>
            <w:noWrap/>
            <w:vAlign w:val="bottom"/>
            <w:hideMark/>
          </w:tcPr>
          <w:p w14:paraId="21629DFF" w14:textId="40AFBF56" w:rsidR="00CA3A28" w:rsidRPr="000B41D8" w:rsidRDefault="00FC471F" w:rsidP="00CA3A28">
            <w:pPr>
              <w:spacing w:after="0" w:line="240" w:lineRule="auto"/>
              <w:jc w:val="center"/>
              <w:rPr>
                <w:rFonts w:ascii="Aptos Narrow" w:eastAsia="Times New Roman" w:hAnsi="Aptos Narrow" w:cs="Times New Roman"/>
                <w:color w:val="000000"/>
                <w:kern w:val="0"/>
                <w:sz w:val="22"/>
                <w:szCs w:val="22"/>
                <w:lang w:val="fr-FR"/>
                <w14:ligatures w14:val="none"/>
              </w:rPr>
            </w:pPr>
            <w:r>
              <w:rPr>
                <w:rFonts w:ascii="Aptos Narrow" w:eastAsia="Times New Roman" w:hAnsi="Aptos Narrow" w:cs="Times New Roman"/>
                <w:color w:val="000000"/>
                <w:kern w:val="0"/>
                <w:sz w:val="22"/>
                <w:szCs w:val="22"/>
                <w:lang w:val="fr-FR"/>
                <w14:ligatures w14:val="none"/>
              </w:rPr>
              <w:t>IV</w:t>
            </w:r>
          </w:p>
        </w:tc>
        <w:tc>
          <w:tcPr>
            <w:tcW w:w="1147" w:type="dxa"/>
            <w:noWrap/>
            <w:vAlign w:val="bottom"/>
            <w:hideMark/>
          </w:tcPr>
          <w:p w14:paraId="5F53FD3A" w14:textId="77777777" w:rsidR="00CA3A28" w:rsidRPr="000B41D8"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proofErr w:type="gramStart"/>
            <w:r w:rsidRPr="000B41D8">
              <w:rPr>
                <w:rFonts w:ascii="Aptos Narrow" w:eastAsia="Times New Roman" w:hAnsi="Aptos Narrow" w:cs="Times New Roman"/>
                <w:color w:val="000000"/>
                <w:kern w:val="0"/>
                <w:sz w:val="22"/>
                <w:szCs w:val="22"/>
                <w:lang w:val="fr-FR"/>
                <w14:ligatures w14:val="none"/>
              </w:rPr>
              <w:t>rat</w:t>
            </w:r>
            <w:proofErr w:type="gramEnd"/>
          </w:p>
        </w:tc>
        <w:tc>
          <w:tcPr>
            <w:tcW w:w="1209" w:type="dxa"/>
            <w:noWrap/>
            <w:vAlign w:val="bottom"/>
            <w:hideMark/>
          </w:tcPr>
          <w:p w14:paraId="34267FC0" w14:textId="33110EB8" w:rsidR="00CA3A28" w:rsidRPr="000B41D8" w:rsidRDefault="00C92566" w:rsidP="00CA3A28">
            <w:pPr>
              <w:spacing w:after="0" w:line="240" w:lineRule="auto"/>
              <w:jc w:val="center"/>
              <w:rPr>
                <w:rFonts w:ascii="Aptos Narrow" w:eastAsia="Times New Roman" w:hAnsi="Aptos Narrow" w:cs="Times New Roman"/>
                <w:color w:val="000000"/>
                <w:kern w:val="0"/>
                <w:sz w:val="22"/>
                <w:szCs w:val="22"/>
                <w:lang w:val="fr-FR"/>
                <w14:ligatures w14:val="none"/>
              </w:rPr>
            </w:pPr>
            <w:r>
              <w:rPr>
                <w:rFonts w:ascii="Aptos Narrow" w:eastAsia="Times New Roman" w:hAnsi="Aptos Narrow" w:cs="Times New Roman"/>
                <w:color w:val="000000"/>
                <w:kern w:val="0"/>
                <w:sz w:val="22"/>
                <w:szCs w:val="22"/>
                <w:lang w:val="fr-FR"/>
                <w14:ligatures w14:val="none"/>
              </w:rPr>
              <w:fldChar w:fldCharType="begin"/>
            </w:r>
            <w:r w:rsidR="00B548C7">
              <w:rPr>
                <w:rFonts w:ascii="Aptos Narrow" w:eastAsia="Times New Roman" w:hAnsi="Aptos Narrow" w:cs="Times New Roman"/>
                <w:color w:val="000000"/>
                <w:kern w:val="0"/>
                <w:sz w:val="22"/>
                <w:szCs w:val="22"/>
                <w:lang w:val="fr-FR"/>
                <w14:ligatures w14:val="none"/>
              </w:rPr>
              <w:instrText xml:space="preserve"> ADDIN ZOTERO_ITEM CSL_CITATION {"citationID":"Ro3TVJSR","properties":{"unsorted":false,"formattedCitation":"\\super 71\\nosupersub{}","plainCitation":"71","noteIndex":0},"citationItems":[{"id":1355,"uris":["http://zotero.org/users/7234110/items/4SFR9P87"],"itemData":{"id":1355,"type":"article-journal","abstract":"Muscle atrophy and cachexia are common comorbidities among patients suffering from cancer, chronic obstructive pulmonary disease, and several other chronic diseases. The peptide hormone ghrelin exerts pleiotropic effects including the stimulation of growth hormone secretion and subsequent increase of insulin-like growth factor-1 levels, an important mediator of muscle growth and repair. Ghrelin also acts on inflammation, appetite, and adipogenesis and therefore has been considered a promising therapeutic target for catabolic conditions. We previously reported on the synthesis and properties of an indane based series of ghrelin receptor full agonists which led to a sustained increase of insulin-like growth factor-1 in a dog pharmacodynamic study. Herein we report on the identification of a series of pyrrolidine or piperidine based full agonists and attempted optimization to give compounds with profiles suitable for progression as clinical candidates.","container-title":"Journal of Medicinal Chemistry","DOI":"10.1021/acs.jmedchem.0c00828","ISSN":"0022-2623","issue":"17","journalAbbreviation":"J. Med. Chem.","page":"9705-9730","publisher":"American Chemical Society","source":"ACS Publications","title":"Identification and Optimization of Pyrrolidine Derivatives as Highly Potent Ghrelin Receptor Full Agonists","volume":"63","author":[{"family":"Cooper","given":"Martin"},{"family":"Llinas","given":"Antonio"},{"family":"Hansen","given":"Peter"},{"family":"Caffrey","given":"Moya"},{"family":"Ray","given":"Asim"},{"family":"Sjödin","given":"Stina"},{"family":"Shamovsky","given":"Igor"},{"family":"Wada","given":"Hiroki"},{"family":"Jellesmark Jensen","given":"Tina"},{"family":"Sivars","given":"Ulf"},{"family":"Hultin","given":"Leif"},{"family":"Andersson","given":"Ulf"},{"family":"Lundqvist","given":"Sara"},{"family":"Gedda","given":"Karin"},{"family":"Jinton","given":"Lisa"},{"family":"Krutrök","given":"Nina"},{"family":"Lewis","given":"Richard"},{"family":"Jansson","given":"Paul"},{"family":"Gardelli","given":"Cristina"}],"issued":{"date-parts":[["2020",9,10]]}}}],"schema":"https://github.com/citation-style-language/schema/raw/master/csl-citation.json"} </w:instrText>
            </w:r>
            <w:r>
              <w:rPr>
                <w:rFonts w:ascii="Aptos Narrow" w:eastAsia="Times New Roman" w:hAnsi="Aptos Narrow" w:cs="Times New Roman"/>
                <w:color w:val="000000"/>
                <w:kern w:val="0"/>
                <w:sz w:val="22"/>
                <w:szCs w:val="22"/>
                <w:lang w:val="fr-FR"/>
                <w14:ligatures w14:val="none"/>
              </w:rPr>
              <w:fldChar w:fldCharType="separate"/>
            </w:r>
            <w:r w:rsidRPr="00C92566">
              <w:rPr>
                <w:rFonts w:ascii="Aptos Narrow" w:hAnsi="Aptos Narrow" w:cs="Times New Roman"/>
                <w:kern w:val="0"/>
                <w:sz w:val="22"/>
                <w:vertAlign w:val="superscript"/>
              </w:rPr>
              <w:t>71</w:t>
            </w:r>
            <w:r>
              <w:rPr>
                <w:rFonts w:ascii="Aptos Narrow" w:eastAsia="Times New Roman" w:hAnsi="Aptos Narrow" w:cs="Times New Roman"/>
                <w:color w:val="000000"/>
                <w:kern w:val="0"/>
                <w:sz w:val="22"/>
                <w:szCs w:val="22"/>
                <w:lang w:val="fr-FR"/>
                <w14:ligatures w14:val="none"/>
              </w:rPr>
              <w:fldChar w:fldCharType="end"/>
            </w:r>
          </w:p>
        </w:tc>
      </w:tr>
      <w:tr w:rsidR="00CA3A28" w:rsidRPr="0067523C" w14:paraId="18095060" w14:textId="77777777" w:rsidTr="00CA3A28">
        <w:trPr>
          <w:trHeight w:val="288"/>
        </w:trPr>
        <w:tc>
          <w:tcPr>
            <w:tcW w:w="2695" w:type="dxa"/>
            <w:noWrap/>
            <w:vAlign w:val="bottom"/>
            <w:hideMark/>
          </w:tcPr>
          <w:p w14:paraId="42E4EE8A" w14:textId="77777777" w:rsidR="00CA3A28" w:rsidRPr="000B41D8" w:rsidRDefault="00CA3A28" w:rsidP="00CA3A28">
            <w:pPr>
              <w:spacing w:after="0" w:line="240" w:lineRule="auto"/>
              <w:rPr>
                <w:rFonts w:ascii="Aptos Narrow" w:eastAsia="Times New Roman" w:hAnsi="Aptos Narrow" w:cs="Times New Roman"/>
                <w:color w:val="000000"/>
                <w:kern w:val="0"/>
                <w:sz w:val="22"/>
                <w:szCs w:val="22"/>
                <w:lang w:val="fr-FR"/>
                <w14:ligatures w14:val="none"/>
              </w:rPr>
            </w:pPr>
            <w:r w:rsidRPr="000B41D8">
              <w:rPr>
                <w:rFonts w:ascii="Aptos Narrow" w:eastAsia="Times New Roman" w:hAnsi="Aptos Narrow" w:cs="Times New Roman"/>
                <w:color w:val="000000"/>
                <w:kern w:val="0"/>
                <w:sz w:val="22"/>
                <w:szCs w:val="22"/>
                <w:lang w:val="fr-FR"/>
                <w14:ligatures w14:val="none"/>
              </w:rPr>
              <w:t>8a</w:t>
            </w:r>
          </w:p>
        </w:tc>
        <w:tc>
          <w:tcPr>
            <w:tcW w:w="1330" w:type="dxa"/>
            <w:noWrap/>
            <w:vAlign w:val="bottom"/>
            <w:hideMark/>
          </w:tcPr>
          <w:p w14:paraId="63A00730" w14:textId="77777777" w:rsidR="00CA3A28" w:rsidRPr="000B41D8"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r w:rsidRPr="000B41D8">
              <w:rPr>
                <w:rFonts w:ascii="Aptos Narrow" w:eastAsia="Times New Roman" w:hAnsi="Aptos Narrow" w:cs="Times New Roman"/>
                <w:color w:val="000000"/>
                <w:kern w:val="0"/>
                <w:sz w:val="22"/>
                <w:szCs w:val="22"/>
                <w:lang w:val="fr-FR"/>
                <w14:ligatures w14:val="none"/>
              </w:rPr>
              <w:t>5</w:t>
            </w:r>
          </w:p>
        </w:tc>
        <w:tc>
          <w:tcPr>
            <w:tcW w:w="960" w:type="dxa"/>
            <w:noWrap/>
            <w:vAlign w:val="bottom"/>
            <w:hideMark/>
          </w:tcPr>
          <w:p w14:paraId="0D409B3A" w14:textId="77777777" w:rsidR="00CA3A28" w:rsidRPr="000B41D8"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r w:rsidRPr="000B41D8">
              <w:rPr>
                <w:rFonts w:ascii="Aptos Narrow" w:eastAsia="Times New Roman" w:hAnsi="Aptos Narrow" w:cs="Times New Roman"/>
                <w:color w:val="000000"/>
                <w:kern w:val="0"/>
                <w:sz w:val="22"/>
                <w:szCs w:val="22"/>
                <w:lang w:val="fr-FR"/>
                <w14:ligatures w14:val="none"/>
              </w:rPr>
              <w:t>IRS</w:t>
            </w:r>
          </w:p>
        </w:tc>
        <w:tc>
          <w:tcPr>
            <w:tcW w:w="1147" w:type="dxa"/>
            <w:noWrap/>
            <w:vAlign w:val="bottom"/>
            <w:hideMark/>
          </w:tcPr>
          <w:p w14:paraId="028FAAEF" w14:textId="77777777" w:rsidR="00CA3A28" w:rsidRPr="000B41D8" w:rsidRDefault="00CA3A28" w:rsidP="00CA3A28">
            <w:pPr>
              <w:spacing w:after="0" w:line="240" w:lineRule="auto"/>
              <w:jc w:val="center"/>
              <w:rPr>
                <w:rFonts w:ascii="Aptos Narrow" w:eastAsia="Times New Roman" w:hAnsi="Aptos Narrow" w:cs="Times New Roman"/>
                <w:color w:val="000000"/>
                <w:kern w:val="0"/>
                <w:sz w:val="22"/>
                <w:szCs w:val="22"/>
                <w:lang w:val="fr-FR"/>
                <w14:ligatures w14:val="none"/>
              </w:rPr>
            </w:pPr>
            <w:proofErr w:type="gramStart"/>
            <w:r w:rsidRPr="000B41D8">
              <w:rPr>
                <w:rFonts w:ascii="Aptos Narrow" w:eastAsia="Times New Roman" w:hAnsi="Aptos Narrow" w:cs="Times New Roman"/>
                <w:color w:val="000000"/>
                <w:kern w:val="0"/>
                <w:sz w:val="22"/>
                <w:szCs w:val="22"/>
                <w:lang w:val="fr-FR"/>
                <w14:ligatures w14:val="none"/>
              </w:rPr>
              <w:t>rat</w:t>
            </w:r>
            <w:proofErr w:type="gramEnd"/>
          </w:p>
        </w:tc>
        <w:tc>
          <w:tcPr>
            <w:tcW w:w="1209" w:type="dxa"/>
            <w:noWrap/>
            <w:vAlign w:val="bottom"/>
            <w:hideMark/>
          </w:tcPr>
          <w:p w14:paraId="5C9D4267" w14:textId="1CA2D3AC"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lang w:val="fr-FR"/>
                <w14:ligatures w14:val="none"/>
              </w:rPr>
              <w:instrText xml:space="preserve"> ADDIN ZOTERO_ITEM CSL_CITATION {"citationID":"z53STyYp","properties":{"unsorted":false,"formattedCitation":"\\super 72\\nosupersub{}","plainCitation":"72","noteIndex":0},"citationItems":[{"id":1240,"uris":["http://zotero.org/users/7234110/items/UKVAN3WD"],"itemData":{"id":1240,"type":"article-journal","abstract":"In the pursuit of new antimalarial leads, a phenotypic screening of various commercially sourced compound libraries was undertaken by the World Health Organisation Programme for Research and Training in Tropical Diseases (WHO-TDR). We report here the detailed characterization of one of the hits from this process, TDR32750 (8a), which showed potent activity against Plasmodium falciparum K1 (EC50 </w:instrText>
            </w:r>
            <w:r w:rsidR="00C92566">
              <w:rPr>
                <w:rFonts w:ascii="Cambria Math" w:eastAsia="Times New Roman" w:hAnsi="Cambria Math" w:cs="Cambria Math"/>
                <w:color w:val="000000"/>
                <w:kern w:val="0"/>
                <w:sz w:val="22"/>
                <w:szCs w:val="22"/>
                <w:lang w:val="fr-FR"/>
                <w14:ligatures w14:val="none"/>
              </w:rPr>
              <w:instrText>∼</w:instrText>
            </w:r>
            <w:r w:rsidR="00C92566">
              <w:rPr>
                <w:rFonts w:ascii="Aptos Narrow" w:eastAsia="Times New Roman" w:hAnsi="Aptos Narrow" w:cs="Times New Roman"/>
                <w:color w:val="000000"/>
                <w:kern w:val="0"/>
                <w:sz w:val="22"/>
                <w:szCs w:val="22"/>
                <w:lang w:val="fr-FR"/>
                <w14:ligatures w14:val="none"/>
              </w:rPr>
              <w:instrText xml:space="preserve"> 9 nM), good selectivity (&gt;2000-fold) compared to a mammalian cell line (L6), and significant activity against a rodent model of malaria when administered intraperitoneally. Structure</w:instrText>
            </w:r>
            <w:r w:rsidR="00C92566">
              <w:rPr>
                <w:rFonts w:ascii="Aptos Narrow" w:eastAsia="Times New Roman" w:hAnsi="Aptos Narrow" w:cs="Aptos Narrow"/>
                <w:color w:val="000000"/>
                <w:kern w:val="0"/>
                <w:sz w:val="22"/>
                <w:szCs w:val="22"/>
                <w:lang w:val="fr-FR"/>
                <w14:ligatures w14:val="none"/>
              </w:rPr>
              <w:instrText>–</w:instrText>
            </w:r>
            <w:r w:rsidR="00C92566">
              <w:rPr>
                <w:rFonts w:ascii="Aptos Narrow" w:eastAsia="Times New Roman" w:hAnsi="Aptos Narrow" w:cs="Times New Roman"/>
                <w:color w:val="000000"/>
                <w:kern w:val="0"/>
                <w:sz w:val="22"/>
                <w:szCs w:val="22"/>
                <w:lang w:val="fr-FR"/>
                <w14:ligatures w14:val="none"/>
              </w:rPr>
              <w:instrText xml:space="preserve">activity relationship studies have indicated ways in which the molecule could be optimized. This compound represents an exciting start point for a drug discovery program for the development of a novel antimalarial.","container-title":"Journal of Medicinal Chemistry","DOI":"10.1021/jm400009c","ISSN":"0022-2623","issue":"7","journalAbbreviation":"J. Med. Chem.","page":"2975-2990","publisher":"American Chemical Society","source":"ACS Publications","title":"Discovery and Structure–Activity Relationships of Pyrrolone Antimalarials","volume":"56","author":[{"family":"Murugesan","given":"Dinakaran"},{"family":"Mital","given":"Alka"},{"family":"Kaiser","given":"Marcel"},{"family":"Shackleford","given":"David M."},{"family":"Morizzi","given":"Julia"},{"family":"Katneni","given":"Kasiram"},{"family":"Campbell","given":"Michael"},{"family":"Hudson","given":"Alan"},{"family":"Charman","given":"Susan A."},{"family":"Yeates","given":"Clive"},{"family":"Gilbert","given":"Ian H."}],"issued":{"date-parts":[["2013",4,11]]}}}],"schema":"https://github.com/citation-style-language/schema/raw/master/csl-citation.json"}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72</w:t>
            </w:r>
            <w:r>
              <w:rPr>
                <w:rFonts w:ascii="Aptos Narrow" w:eastAsia="Times New Roman" w:hAnsi="Aptos Narrow" w:cs="Times New Roman"/>
                <w:color w:val="000000"/>
                <w:kern w:val="0"/>
                <w:sz w:val="22"/>
                <w:szCs w:val="22"/>
                <w14:ligatures w14:val="none"/>
              </w:rPr>
              <w:fldChar w:fldCharType="end"/>
            </w:r>
          </w:p>
        </w:tc>
      </w:tr>
      <w:tr w:rsidR="00CA3A28" w:rsidRPr="0067523C" w14:paraId="0A7BD100" w14:textId="77777777" w:rsidTr="00CA3A28">
        <w:trPr>
          <w:trHeight w:val="288"/>
        </w:trPr>
        <w:tc>
          <w:tcPr>
            <w:tcW w:w="2695" w:type="dxa"/>
            <w:noWrap/>
            <w:vAlign w:val="bottom"/>
            <w:hideMark/>
          </w:tcPr>
          <w:p w14:paraId="385D2D05" w14:textId="77777777" w:rsidR="00CA3A28" w:rsidRPr="0067523C" w:rsidRDefault="00CA3A28" w:rsidP="00CA3A28">
            <w:pPr>
              <w:spacing w:after="0" w:line="240" w:lineRule="auto"/>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8a</w:t>
            </w:r>
          </w:p>
        </w:tc>
        <w:tc>
          <w:tcPr>
            <w:tcW w:w="1330" w:type="dxa"/>
            <w:noWrap/>
            <w:vAlign w:val="bottom"/>
            <w:hideMark/>
          </w:tcPr>
          <w:p w14:paraId="6994F0DB"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1.25</w:t>
            </w:r>
          </w:p>
        </w:tc>
        <w:tc>
          <w:tcPr>
            <w:tcW w:w="960" w:type="dxa"/>
            <w:noWrap/>
            <w:vAlign w:val="bottom"/>
            <w:hideMark/>
          </w:tcPr>
          <w:p w14:paraId="11E8EBCF" w14:textId="50A2B55C" w:rsidR="00CA3A28" w:rsidRPr="0067523C"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2FAB2D68"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54F9B404" w14:textId="000F5984"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{"citationID":"KGo29aOG","properties":{"unsorted":false,"formattedCitation":"\\super 72\\nosupersub{}","plainCitation":"72","noteIndex":0},"citationItems":[{"id":1240,"uris":["http://zotero.org/users/7234110/items/UKVAN3WD"],"itemData":{"id":1240,"type":"article-journal","abstract":"In the pursuit of new antimalarial leads, a phenotypic screening of various commercially sourced compound libraries was undertaken by the World Health Organisation Programme for Research and Training in Tropical Diseases (WHO-TDR). We report here the detailed characterization of one of the hits from this process, TDR32750 (8a), which showed potent activity against Plasmodium falciparum K1 (EC50 </w:instrText>
            </w:r>
            <w:r w:rsidR="00C92566">
              <w:rPr>
                <w:rFonts w:ascii="Cambria Math" w:eastAsia="Times New Roman" w:hAnsi="Cambria Math" w:cs="Cambria Math"/>
                <w:color w:val="000000"/>
                <w:kern w:val="0"/>
                <w:sz w:val="22"/>
                <w:szCs w:val="22"/>
                <w14:ligatures w14:val="none"/>
              </w:rPr>
              <w:instrText>∼</w:instrText>
            </w:r>
            <w:r w:rsidR="00C92566">
              <w:rPr>
                <w:rFonts w:ascii="Aptos Narrow" w:eastAsia="Times New Roman" w:hAnsi="Aptos Narrow" w:cs="Times New Roman"/>
                <w:color w:val="000000"/>
                <w:kern w:val="0"/>
                <w:sz w:val="22"/>
                <w:szCs w:val="22"/>
                <w14:ligatures w14:val="none"/>
              </w:rPr>
              <w:instrText xml:space="preserve"> 9 nM), good selectivity (&gt;2000-fold) compared to a mammalian cell line (L6), and significant activity against a rodent model of malaria when administered intraperitoneally. Structure</w:instrText>
            </w:r>
            <w:r w:rsidR="00C92566">
              <w:rPr>
                <w:rFonts w:ascii="Aptos Narrow" w:eastAsia="Times New Roman" w:hAnsi="Aptos Narrow" w:cs="Aptos Narrow"/>
                <w:color w:val="000000"/>
                <w:kern w:val="0"/>
                <w:sz w:val="22"/>
                <w:szCs w:val="22"/>
                <w14:ligatures w14:val="none"/>
              </w:rPr>
              <w:instrText>–</w:instrText>
            </w:r>
            <w:r w:rsidR="00C92566">
              <w:rPr>
                <w:rFonts w:ascii="Aptos Narrow" w:eastAsia="Times New Roman" w:hAnsi="Aptos Narrow" w:cs="Times New Roman"/>
                <w:color w:val="000000"/>
                <w:kern w:val="0"/>
                <w:sz w:val="22"/>
                <w:szCs w:val="22"/>
                <w14:ligatures w14:val="none"/>
              </w:rPr>
              <w:instrText xml:space="preserve">activity relationship studies have indicated ways in which the molecule could be optimized. This compound represents an exciting start point for a drug discovery program for the development of a novel antimalarial.","container-title":"Journal of Medicinal Chemistry","DOI":"10.1021/jm400009c","ISSN":"0022-2623","issue":"7","journalAbbreviation":"J. Med. Chem.","page":"2975-2990","publisher":"American Chemical Society","source":"ACS Publications","title":"Discovery and Structure–Activity Relationships of Pyrrolone Antimalarials","volume":"56","author":[{"family":"Murugesan","given":"Dinakaran"},{"family":"Mital","given":"Alka"},{"family":"Kaiser","given":"Marcel"},{"family":"Shackleford","given":"David M."},{"family":"Morizzi","given":"Julia"},{"family":"Katneni","given":"Kasiram"},{"family":"Campbell","given":"Michael"},{"family":"Hudson","given":"Alan"},{"family":"Charman","given":"Susan A."},{"family":"Yeates","given":"Clive"},{"family":"Gilbert","given":"Ian H."}],"issued":{"date-parts":[["2013",4,11]]}}}],"schema":"https://github.com/citation-style-language/schema/raw/master/csl-citation.json"}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72</w:t>
            </w:r>
            <w:r>
              <w:rPr>
                <w:rFonts w:ascii="Aptos Narrow" w:eastAsia="Times New Roman" w:hAnsi="Aptos Narrow" w:cs="Times New Roman"/>
                <w:color w:val="000000"/>
                <w:kern w:val="0"/>
                <w:sz w:val="22"/>
                <w:szCs w:val="22"/>
                <w14:ligatures w14:val="none"/>
              </w:rPr>
              <w:fldChar w:fldCharType="end"/>
            </w:r>
          </w:p>
        </w:tc>
      </w:tr>
      <w:tr w:rsidR="00CA3A28" w:rsidRPr="0067523C" w14:paraId="0BFFF1C0" w14:textId="77777777" w:rsidTr="00CA3A28">
        <w:trPr>
          <w:trHeight w:val="288"/>
        </w:trPr>
        <w:tc>
          <w:tcPr>
            <w:tcW w:w="2695" w:type="dxa"/>
            <w:noWrap/>
            <w:vAlign w:val="bottom"/>
            <w:hideMark/>
          </w:tcPr>
          <w:p w14:paraId="4B0DB4C8" w14:textId="77777777" w:rsidR="00CA3A28" w:rsidRPr="0067523C" w:rsidRDefault="00CA3A28" w:rsidP="00CA3A28">
            <w:pPr>
              <w:spacing w:after="0" w:line="240" w:lineRule="auto"/>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8b</w:t>
            </w:r>
          </w:p>
        </w:tc>
        <w:tc>
          <w:tcPr>
            <w:tcW w:w="1330" w:type="dxa"/>
            <w:noWrap/>
            <w:vAlign w:val="bottom"/>
            <w:hideMark/>
          </w:tcPr>
          <w:p w14:paraId="67DD36F1"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5</w:t>
            </w:r>
          </w:p>
        </w:tc>
        <w:tc>
          <w:tcPr>
            <w:tcW w:w="960" w:type="dxa"/>
            <w:noWrap/>
            <w:vAlign w:val="bottom"/>
            <w:hideMark/>
          </w:tcPr>
          <w:p w14:paraId="2C91B709"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6D2794EE"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2289654D" w14:textId="1C0F48D3"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{"citationID":"dTS3iRlO","properties":{"unsorted":false,"formattedCitation":"\\super 72\\nosupersub{}","plainCitation":"72","noteIndex":0},"citationItems":[{"id":1240,"uris":["http://zotero.org/users/7234110/items/UKVAN3WD"],"itemData":{"id":1240,"type":"article-journal","abstract":"In the pursuit of new antimalarial leads, a phenotypic screening of various commercially sourced compound libraries was undertaken by the World Health Organisation Programme for Research and Training in Tropical Diseases (WHO-TDR). We report here the detailed characterization of one of the hits from this process, TDR32750 (8a), which showed potent activity against Plasmodium falciparum K1 (EC50 </w:instrText>
            </w:r>
            <w:r w:rsidR="00C92566">
              <w:rPr>
                <w:rFonts w:ascii="Cambria Math" w:eastAsia="Times New Roman" w:hAnsi="Cambria Math" w:cs="Cambria Math"/>
                <w:color w:val="000000"/>
                <w:kern w:val="0"/>
                <w:sz w:val="22"/>
                <w:szCs w:val="22"/>
                <w14:ligatures w14:val="none"/>
              </w:rPr>
              <w:instrText>∼</w:instrText>
            </w:r>
            <w:r w:rsidR="00C92566">
              <w:rPr>
                <w:rFonts w:ascii="Aptos Narrow" w:eastAsia="Times New Roman" w:hAnsi="Aptos Narrow" w:cs="Times New Roman"/>
                <w:color w:val="000000"/>
                <w:kern w:val="0"/>
                <w:sz w:val="22"/>
                <w:szCs w:val="22"/>
                <w14:ligatures w14:val="none"/>
              </w:rPr>
              <w:instrText xml:space="preserve"> 9 nM), good selectivity (&gt;2000-fold) compared to a mammalian cell line (L6), and significant activity against a rodent model of malaria when administered intraperitoneally. Structure</w:instrText>
            </w:r>
            <w:r w:rsidR="00C92566">
              <w:rPr>
                <w:rFonts w:ascii="Aptos Narrow" w:eastAsia="Times New Roman" w:hAnsi="Aptos Narrow" w:cs="Aptos Narrow"/>
                <w:color w:val="000000"/>
                <w:kern w:val="0"/>
                <w:sz w:val="22"/>
                <w:szCs w:val="22"/>
                <w14:ligatures w14:val="none"/>
              </w:rPr>
              <w:instrText>–</w:instrText>
            </w:r>
            <w:r w:rsidR="00C92566">
              <w:rPr>
                <w:rFonts w:ascii="Aptos Narrow" w:eastAsia="Times New Roman" w:hAnsi="Aptos Narrow" w:cs="Times New Roman"/>
                <w:color w:val="000000"/>
                <w:kern w:val="0"/>
                <w:sz w:val="22"/>
                <w:szCs w:val="22"/>
                <w14:ligatures w14:val="none"/>
              </w:rPr>
              <w:instrText xml:space="preserve">activity relationship studies have indicated ways in which the molecule could be optimized. This compound represents an exciting start point for a drug discovery program for the development of a novel antimalarial.","container-title":"Journal of Medicinal Chemistry","DOI":"10.1021/jm400009c","ISSN":"0022-2623","issue":"7","journalAbbreviation":"J. Med. Chem.","page":"2975-2990","publisher":"American Chemical Society","source":"ACS Publications","title":"Discovery and Structure–Activity Relationships of Pyrrolone Antimalarials","volume":"56","author":[{"family":"Murugesan","given":"Dinakaran"},{"family":"Mital","given":"Alka"},{"family":"Kaiser","given":"Marcel"},{"family":"Shackleford","given":"David M."},{"family":"Morizzi","given":"Julia"},{"family":"Katneni","given":"Kasiram"},{"family":"Campbell","given":"Michael"},{"family":"Hudson","given":"Alan"},{"family":"Charman","given":"Susan A."},{"family":"Yeates","given":"Clive"},{"family":"Gilbert","given":"Ian H."}],"issued":{"date-parts":[["2013",4,11]]}}}],"schema":"https://github.com/citation-style-language/schema/raw/master/csl-citation.json"}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72</w:t>
            </w:r>
            <w:r>
              <w:rPr>
                <w:rFonts w:ascii="Aptos Narrow" w:eastAsia="Times New Roman" w:hAnsi="Aptos Narrow" w:cs="Times New Roman"/>
                <w:color w:val="000000"/>
                <w:kern w:val="0"/>
                <w:sz w:val="22"/>
                <w:szCs w:val="22"/>
                <w14:ligatures w14:val="none"/>
              </w:rPr>
              <w:fldChar w:fldCharType="end"/>
            </w:r>
          </w:p>
        </w:tc>
      </w:tr>
      <w:tr w:rsidR="00CA3A28" w:rsidRPr="0067523C" w14:paraId="7A2B2F7A" w14:textId="77777777" w:rsidTr="00CA3A28">
        <w:trPr>
          <w:trHeight w:val="288"/>
        </w:trPr>
        <w:tc>
          <w:tcPr>
            <w:tcW w:w="2695" w:type="dxa"/>
            <w:noWrap/>
            <w:vAlign w:val="bottom"/>
            <w:hideMark/>
          </w:tcPr>
          <w:p w14:paraId="74E9FDC2" w14:textId="77777777" w:rsidR="00CA3A28" w:rsidRPr="0067523C" w:rsidRDefault="00CA3A28" w:rsidP="00CA3A28">
            <w:pPr>
              <w:spacing w:after="0" w:line="240" w:lineRule="auto"/>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8b</w:t>
            </w:r>
          </w:p>
        </w:tc>
        <w:tc>
          <w:tcPr>
            <w:tcW w:w="1330" w:type="dxa"/>
            <w:noWrap/>
            <w:vAlign w:val="bottom"/>
            <w:hideMark/>
          </w:tcPr>
          <w:p w14:paraId="4FB8DF5B"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0.25</w:t>
            </w:r>
          </w:p>
        </w:tc>
        <w:tc>
          <w:tcPr>
            <w:tcW w:w="960" w:type="dxa"/>
            <w:noWrap/>
            <w:vAlign w:val="bottom"/>
            <w:hideMark/>
          </w:tcPr>
          <w:p w14:paraId="025D84D9" w14:textId="6481F70D" w:rsidR="00CA3A28" w:rsidRPr="0067523C"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58BE23B1"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116C1340" w14:textId="09FFD5D4"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{"citationID":"f6svFl72","properties":{"unsorted":false,"formattedCitation":"\\super 72\\nosupersub{}","plainCitation":"72","noteIndex":0},"citationItems":[{"id":1240,"uris":["http://zotero.org/users/7234110/items/UKVAN3WD"],"itemData":{"id":1240,"type":"article-journal","abstract":"In the pursuit of new antimalarial leads, a phenotypic screening of various commercially sourced compound libraries was undertaken by the World Health Organisation Programme for Research and Training in Tropical Diseases (WHO-TDR). We report here the detailed characterization of one of the hits from this process, TDR32750 (8a), which showed potent activity against Plasmodium falciparum K1 (EC50 </w:instrText>
            </w:r>
            <w:r w:rsidR="00C92566">
              <w:rPr>
                <w:rFonts w:ascii="Cambria Math" w:eastAsia="Times New Roman" w:hAnsi="Cambria Math" w:cs="Cambria Math"/>
                <w:color w:val="000000"/>
                <w:kern w:val="0"/>
                <w:sz w:val="22"/>
                <w:szCs w:val="22"/>
                <w14:ligatures w14:val="none"/>
              </w:rPr>
              <w:instrText>∼</w:instrText>
            </w:r>
            <w:r w:rsidR="00C92566">
              <w:rPr>
                <w:rFonts w:ascii="Aptos Narrow" w:eastAsia="Times New Roman" w:hAnsi="Aptos Narrow" w:cs="Times New Roman"/>
                <w:color w:val="000000"/>
                <w:kern w:val="0"/>
                <w:sz w:val="22"/>
                <w:szCs w:val="22"/>
                <w14:ligatures w14:val="none"/>
              </w:rPr>
              <w:instrText xml:space="preserve"> 9 nM), good selectivity (&gt;2000-fold) compared to a mammalian cell line (L6), and significant activity against a rodent model of malaria when administered intraperitoneally. Structure</w:instrText>
            </w:r>
            <w:r w:rsidR="00C92566">
              <w:rPr>
                <w:rFonts w:ascii="Aptos Narrow" w:eastAsia="Times New Roman" w:hAnsi="Aptos Narrow" w:cs="Aptos Narrow"/>
                <w:color w:val="000000"/>
                <w:kern w:val="0"/>
                <w:sz w:val="22"/>
                <w:szCs w:val="22"/>
                <w14:ligatures w14:val="none"/>
              </w:rPr>
              <w:instrText>–</w:instrText>
            </w:r>
            <w:r w:rsidR="00C92566">
              <w:rPr>
                <w:rFonts w:ascii="Aptos Narrow" w:eastAsia="Times New Roman" w:hAnsi="Aptos Narrow" w:cs="Times New Roman"/>
                <w:color w:val="000000"/>
                <w:kern w:val="0"/>
                <w:sz w:val="22"/>
                <w:szCs w:val="22"/>
                <w14:ligatures w14:val="none"/>
              </w:rPr>
              <w:instrText xml:space="preserve">activity relationship studies have indicated ways in which the molecule could be optimized. This compound represents an exciting start point for a drug discovery program for the development of a novel antimalarial.","container-title":"Journal of Medicinal Chemistry","DOI":"10.1021/jm400009c","ISSN":"0022-2623","issue":"7","journalAbbreviation":"J. Med. Chem.","page":"2975-2990","publisher":"American Chemical Society","source":"ACS Publications","title":"Discovery and Structure–Activity Relationships of Pyrrolone Antimalarials","volume":"56","author":[{"family":"Murugesan","given":"Dinakaran"},{"family":"Mital","given":"Alka"},{"family":"Kaiser","given":"Marcel"},{"family":"Shackleford","given":"David M."},{"family":"Morizzi","given":"Julia"},{"family":"Katneni","given":"Kasiram"},{"family":"Campbell","given":"Michael"},{"family":"Hudson","given":"Alan"},{"family":"Charman","given":"Susan A."},{"family":"Yeates","given":"Clive"},{"family":"Gilbert","given":"Ian H."}],"issued":{"date-parts":[["2013",4,11]]}}}],"schema":"https://github.com/citation-style-language/schema/raw/master/csl-citation.json"}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72</w:t>
            </w:r>
            <w:r>
              <w:rPr>
                <w:rFonts w:ascii="Aptos Narrow" w:eastAsia="Times New Roman" w:hAnsi="Aptos Narrow" w:cs="Times New Roman"/>
                <w:color w:val="000000"/>
                <w:kern w:val="0"/>
                <w:sz w:val="22"/>
                <w:szCs w:val="22"/>
                <w14:ligatures w14:val="none"/>
              </w:rPr>
              <w:fldChar w:fldCharType="end"/>
            </w:r>
          </w:p>
        </w:tc>
      </w:tr>
      <w:tr w:rsidR="00CA3A28" w:rsidRPr="0067523C" w14:paraId="303252B5" w14:textId="77777777" w:rsidTr="00CA3A28">
        <w:trPr>
          <w:trHeight w:val="288"/>
        </w:trPr>
        <w:tc>
          <w:tcPr>
            <w:tcW w:w="2695" w:type="dxa"/>
            <w:noWrap/>
            <w:vAlign w:val="bottom"/>
            <w:hideMark/>
          </w:tcPr>
          <w:p w14:paraId="65C9421F" w14:textId="77777777" w:rsidR="00CA3A28" w:rsidRPr="0067523C" w:rsidRDefault="00CA3A28" w:rsidP="00CA3A28">
            <w:pPr>
              <w:spacing w:after="0" w:line="240" w:lineRule="auto"/>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A5</w:t>
            </w:r>
          </w:p>
        </w:tc>
        <w:tc>
          <w:tcPr>
            <w:tcW w:w="1330" w:type="dxa"/>
            <w:noWrap/>
            <w:vAlign w:val="bottom"/>
            <w:hideMark/>
          </w:tcPr>
          <w:p w14:paraId="74FA8131"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2.5</w:t>
            </w:r>
          </w:p>
        </w:tc>
        <w:tc>
          <w:tcPr>
            <w:tcW w:w="960" w:type="dxa"/>
            <w:noWrap/>
            <w:vAlign w:val="bottom"/>
            <w:hideMark/>
          </w:tcPr>
          <w:p w14:paraId="493B1E26"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7C0080A0"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3A537EC0" w14:textId="12D00105" w:rsidR="00CA3A28" w:rsidRPr="0067523C" w:rsidRDefault="008E641C"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{"citationID":"RyTdPzh4","properties":{"unsorted":false,"formattedCitation":"\\super 73\\nosupersub{}","plainCitation":"73","noteIndex":0},"citationItems":[{"id":1346,"uris":["http://zotero.org/users/7234110/items/97233CTI"],"itemData":{"id":1346,"type":"article-journal","abstract":"Bruton’s tyrosine kinase proteolysis-targeting chimeras (BTK-PROTACs) have emerged as a promising approach to address the limitations of BTK inhibitors. However, conducting the rational discovery of orally bioavailable BTK-PROTACs presents significant challenges. In this study, dimensionality reduction analysis and model molecule validation were utilized to identify some key structural features for improving the oral absorption of BTK-PROTACs. The results were applied to optimize the newly discovered BTK-PROTACs B1 and B2. Compound C13 was discovered with improved oral bioavailability, high BTK degradation activity, and selectivity. It exhibited inhibitory effects against different hematologic cancer cells and attenuated the BTK-related signaling pathway. The oral administration of C13 effectively reduced BTK protein levels and suppressed tumor growth. This study led to the discovery of a new orally bioavailable BTK-PROTAC for the treatment of lymphoma, and we hope that the strategy will find wide utility.","container-title":"Journal of Medicinal Chemistry","DOI":"10.1021/acs.jmedchem.2c00324","ISSN":"0022-2623","issue":"13","journalAbbreviation":"J. Med. Chem.","page":"9096-9125","publisher":"American Chemical Society","source":"ACS Publications","title":"Structural Feature Analyzation Strategies toward Discovery of Orally Bioavailable PROTACs of Bruton’s Tyrosine Kinase for the Treatment of Lymphoma","volume":"65","author":[{"family":"Zhang","given":"Jingyu"},{"family":"Che","given":"Jinxin"},{"family":"Luo","given":"Xiaomin"},{"family":"Wu","given":"Mingfei"},{"family":"Kan","given":"Weijuan"},{"family":"Jin","given":"Yuheng"},{"family":"Wang","given":"Hanlin"},{"family":"Pang","given":"Ao"},{"family":"Li","given":"Cong"},{"family":"Huang","given":"Wenhai"},{"family":"Zeng","given":"Shenxin"},{"family":"Zhuang","given":"Weihao"},{"family":"Wu","given":"Yizhe"},{"family":"Xu","given":"Yongjin"},{"family":"Zhou","given":"Yubo"},{"family":"Li","given":"Jia"},{"family":"Dong","given":"Xiaowu"}],"issued":{"date-parts":[["2022",7,14]]}}}],"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73</w:t>
            </w:r>
            <w:r>
              <w:rPr>
                <w:rFonts w:ascii="Aptos Narrow" w:eastAsia="Times New Roman" w:hAnsi="Aptos Narrow" w:cs="Times New Roman"/>
                <w:color w:val="000000"/>
                <w:kern w:val="0"/>
                <w:sz w:val="22"/>
                <w:szCs w:val="22"/>
                <w14:ligatures w14:val="none"/>
              </w:rPr>
              <w:fldChar w:fldCharType="end"/>
            </w:r>
          </w:p>
        </w:tc>
      </w:tr>
      <w:tr w:rsidR="00CA3A28" w:rsidRPr="0067523C" w14:paraId="464F7D12" w14:textId="77777777" w:rsidTr="00CA3A28">
        <w:trPr>
          <w:trHeight w:val="288"/>
        </w:trPr>
        <w:tc>
          <w:tcPr>
            <w:tcW w:w="2695" w:type="dxa"/>
            <w:noWrap/>
            <w:vAlign w:val="bottom"/>
            <w:hideMark/>
          </w:tcPr>
          <w:p w14:paraId="159BC41F" w14:textId="77777777" w:rsidR="00CA3A28" w:rsidRPr="0067523C" w:rsidRDefault="00CA3A28" w:rsidP="00CA3A28">
            <w:pPr>
              <w:spacing w:after="0" w:line="240" w:lineRule="auto"/>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Acyclovir</w:t>
            </w:r>
          </w:p>
        </w:tc>
        <w:tc>
          <w:tcPr>
            <w:tcW w:w="1330" w:type="dxa"/>
            <w:noWrap/>
            <w:vAlign w:val="bottom"/>
            <w:hideMark/>
          </w:tcPr>
          <w:p w14:paraId="13BF8EFD"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0.25</w:t>
            </w:r>
          </w:p>
        </w:tc>
        <w:tc>
          <w:tcPr>
            <w:tcW w:w="960" w:type="dxa"/>
            <w:noWrap/>
            <w:vAlign w:val="bottom"/>
            <w:hideMark/>
          </w:tcPr>
          <w:p w14:paraId="36DD3C74"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6064FEFD"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1D970961" w14:textId="0F76FF78" w:rsidR="00CA3A28" w:rsidRPr="0067523C" w:rsidRDefault="00791665"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{"citationID":"RQA43ysG","properties":{"unsorted":false,"formattedCitation":"\\super 74\\nosupersub{}","plainCitation":"74","noteIndex":0},"citationItems":[{"id":1338,"uris":["http://zotero.org/users/7234110/items/QA2A3DTR"],"itemData":{"id":1338,"type":"article-journal","abstract":"In drug discovery, rats are widely used for pharmacological and toxicological studies. We previously reported that a mechanism-based oral absorption model, the gastrointestinal unified theoretical framework (GUT framework), can appropriately predict the fraction of a dose absorbed (Fa) in humans and dogs. However, there are large species differences between humans and rats. The purpose of the present study was to evaluate the predictability of the GUT framework for rat Fa.","container-title":"Pharmaceutical Research","DOI":"10.1007/s11095-022-03173-6","ISSN":"1573-904X","issue":"2","journalAbbreviation":"Pharm Res","language":"en","page":"359-373","source":"Springer Link","title":"Prediction of Oral Drug Absorption in Rats from In Vitro Data","volume":"40","author":[{"family":"Akiyama","given":"Yoshiyuki"},{"family":"Matsumura","given":"Naoya"},{"family":"Ono","given":"Asami"},{"family":"Hayashi","given":"Shun"},{"family":"Funaki","given":"Satoko"},{"family":"Tamura","given":"Naomi"},{"family":"Kimoto","given":"Takahiro"},{"family":"Jiko","given":"Maiko"},{"family":"Haruna","given":"Yuka"},{"family":"Sarashina","given":"Akiko"},{"family":"Ishida","given":"Masahiro"},{"family":"Nishiyama","given":"Kotaro"},{"family":"Fushimi","given":"Masahiro"},{"family":"Kojima","given":"Yukiko"},{"family":"Fujita","given":"Takuya"},{"family":"Sugano","given":"Kiyohiko"}],"issued":{"date-parts":[["2023",2,1]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74</w:t>
            </w:r>
            <w:r>
              <w:rPr>
                <w:rFonts w:ascii="Aptos Narrow" w:eastAsia="Times New Roman" w:hAnsi="Aptos Narrow" w:cs="Times New Roman"/>
                <w:color w:val="000000"/>
                <w:kern w:val="0"/>
                <w:sz w:val="22"/>
                <w:szCs w:val="22"/>
                <w14:ligatures w14:val="none"/>
              </w:rPr>
              <w:fldChar w:fldCharType="end"/>
            </w:r>
          </w:p>
        </w:tc>
      </w:tr>
      <w:tr w:rsidR="00CA3A28" w:rsidRPr="0067523C" w14:paraId="0F5429BF" w14:textId="77777777" w:rsidTr="00CA3A28">
        <w:trPr>
          <w:trHeight w:val="288"/>
        </w:trPr>
        <w:tc>
          <w:tcPr>
            <w:tcW w:w="2695" w:type="dxa"/>
            <w:noWrap/>
            <w:vAlign w:val="bottom"/>
            <w:hideMark/>
          </w:tcPr>
          <w:p w14:paraId="727DE32B" w14:textId="77777777" w:rsidR="00CA3A28" w:rsidRPr="0067523C" w:rsidRDefault="00CA3A28" w:rsidP="00CA3A28">
            <w:pPr>
              <w:spacing w:after="0" w:line="240" w:lineRule="auto"/>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Acyclovir</w:t>
            </w:r>
          </w:p>
        </w:tc>
        <w:tc>
          <w:tcPr>
            <w:tcW w:w="1330" w:type="dxa"/>
            <w:noWrap/>
            <w:vAlign w:val="bottom"/>
            <w:hideMark/>
          </w:tcPr>
          <w:p w14:paraId="6280DB56"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0.75</w:t>
            </w:r>
          </w:p>
        </w:tc>
        <w:tc>
          <w:tcPr>
            <w:tcW w:w="960" w:type="dxa"/>
            <w:noWrap/>
            <w:vAlign w:val="bottom"/>
            <w:hideMark/>
          </w:tcPr>
          <w:p w14:paraId="046B4FAF"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23DC8D18"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5F1DA51D" w14:textId="526EC2F5" w:rsidR="00CA3A28" w:rsidRPr="0067523C" w:rsidRDefault="00791665"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{"citationID":"9Dkq7FAg","properties":{"unsorted":false,"formattedCitation":"\\super 74\\nosupersub{}","plainCitation":"74","noteIndex":0},"citationItems":[{"id":1338,"uris":["http://zotero.org/users/7234110/items/QA2A3DTR"],"itemData":{"id":1338,"type":"article-journal","abstract":"In drug discovery, rats are widely used for pharmacological and toxicological studies. We previously reported that a mechanism-based oral absorption model, the gastrointestinal unified theoretical framework (GUT framework), can appropriately predict the fraction of a dose absorbed (Fa) in humans and dogs. However, there are large species differences between humans and rats. The purpose of the present study was to evaluate the predictability of the GUT framework for rat Fa.","container-title":"Pharmaceutical Research","DOI":"10.1007/s11095-022-03173-6","ISSN":"1573-904X","issue":"2","journalAbbreviation":"Pharm Res","language":"en","page":"359-373","source":"Springer Link","title":"Prediction of Oral Drug Absorption in Rats from In Vitro Data","volume":"40","author":[{"family":"Akiyama","given":"Yoshiyuki"},{"family":"Matsumura","given":"Naoya"},{"family":"Ono","given":"Asami"},{"family":"Hayashi","given":"Shun"},{"family":"Funaki","given":"Satoko"},{"family":"Tamura","given":"Naomi"},{"family":"Kimoto","given":"Takahiro"},{"family":"Jiko","given":"Maiko"},{"family":"Haruna","given":"Yuka"},{"family":"Sarashina","given":"Akiko"},{"family":"Ishida","given":"Masahiro"},{"family":"Nishiyama","given":"Kotaro"},{"family":"Fushimi","given":"Masahiro"},{"family":"Kojima","given":"Yukiko"},{"family":"Fujita","given":"Takuya"},{"family":"Sugano","given":"Kiyohiko"}],"issued":{"date-parts":[["2023",2,1]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74</w:t>
            </w:r>
            <w:r>
              <w:rPr>
                <w:rFonts w:ascii="Aptos Narrow" w:eastAsia="Times New Roman" w:hAnsi="Aptos Narrow" w:cs="Times New Roman"/>
                <w:color w:val="000000"/>
                <w:kern w:val="0"/>
                <w:sz w:val="22"/>
                <w:szCs w:val="22"/>
                <w14:ligatures w14:val="none"/>
              </w:rPr>
              <w:fldChar w:fldCharType="end"/>
            </w:r>
          </w:p>
        </w:tc>
      </w:tr>
      <w:tr w:rsidR="00CA3A28" w:rsidRPr="0067523C" w14:paraId="468C49C0" w14:textId="77777777" w:rsidTr="00CA3A28">
        <w:trPr>
          <w:trHeight w:val="288"/>
        </w:trPr>
        <w:tc>
          <w:tcPr>
            <w:tcW w:w="2695" w:type="dxa"/>
            <w:noWrap/>
            <w:vAlign w:val="bottom"/>
            <w:hideMark/>
          </w:tcPr>
          <w:p w14:paraId="2AD2408E" w14:textId="77777777" w:rsidR="00CA3A28" w:rsidRPr="0067523C" w:rsidRDefault="00CA3A28" w:rsidP="00CA3A28">
            <w:pPr>
              <w:spacing w:after="0" w:line="240" w:lineRule="auto"/>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Acyclovir</w:t>
            </w:r>
          </w:p>
        </w:tc>
        <w:tc>
          <w:tcPr>
            <w:tcW w:w="1330" w:type="dxa"/>
            <w:noWrap/>
            <w:vAlign w:val="bottom"/>
            <w:hideMark/>
          </w:tcPr>
          <w:p w14:paraId="5F035BF4"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2.5</w:t>
            </w:r>
          </w:p>
        </w:tc>
        <w:tc>
          <w:tcPr>
            <w:tcW w:w="960" w:type="dxa"/>
            <w:noWrap/>
            <w:vAlign w:val="bottom"/>
            <w:hideMark/>
          </w:tcPr>
          <w:p w14:paraId="1EEB8DB6"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4DA85270"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4D6F6BED" w14:textId="70F40502" w:rsidR="00CA3A28" w:rsidRPr="0067523C" w:rsidRDefault="00791665"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{"citationID":"uDPTrB7d","properties":{"unsorted":false,"formattedCitation":"\\super 74\\nosupersub{}","plainCitation":"74","noteIndex":0},"citationItems":[{"id":1338,"uris":["http://zotero.org/users/7234110/items/QA2A3DTR"],"itemData":{"id":1338,"type":"article-journal","abstract":"In drug discovery, rats are widely used for pharmacological and toxicological studies. We previously reported that a mechanism-based oral absorption model, the gastrointestinal unified theoretical framework (GUT framework), can appropriately predict the fraction of a dose absorbed (Fa) in humans and dogs. However, there are large species differences between humans and rats. The purpose of the present study was to evaluate the predictability of the GUT framework for rat Fa.","container-title":"Pharmaceutical Research","DOI":"10.1007/s11095-022-03173-6","ISSN":"1573-904X","issue":"2","journalAbbreviation":"Pharm Res","language":"en","page":"359-373","source":"Springer Link","title":"Prediction of Oral Drug Absorption in Rats from In Vitro Data","volume":"40","author":[{"family":"Akiyama","given":"Yoshiyuki"},{"family":"Matsumura","given":"Naoya"},{"family":"Ono","given":"Asami"},{"family":"Hayashi","given":"Shun"},{"family":"Funaki","given":"Satoko"},{"family":"Tamura","given":"Naomi"},{"family":"Kimoto","given":"Takahiro"},{"family":"Jiko","given":"Maiko"},{"family":"Haruna","given":"Yuka"},{"family":"Sarashina","given":"Akiko"},{"family":"Ishida","given":"Masahiro"},{"family":"Nishiyama","given":"Kotaro"},{"family":"Fushimi","given":"Masahiro"},{"family":"Kojima","given":"Yukiko"},{"family":"Fujita","given":"Takuya"},{"family":"Sugano","given":"Kiyohiko"}],"issued":{"date-parts":[["2023",2,1]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74</w:t>
            </w:r>
            <w:r>
              <w:rPr>
                <w:rFonts w:ascii="Aptos Narrow" w:eastAsia="Times New Roman" w:hAnsi="Aptos Narrow" w:cs="Times New Roman"/>
                <w:color w:val="000000"/>
                <w:kern w:val="0"/>
                <w:sz w:val="22"/>
                <w:szCs w:val="22"/>
                <w14:ligatures w14:val="none"/>
              </w:rPr>
              <w:fldChar w:fldCharType="end"/>
            </w:r>
          </w:p>
        </w:tc>
      </w:tr>
      <w:tr w:rsidR="00CA3A28" w:rsidRPr="0067523C" w14:paraId="209A15D7" w14:textId="77777777" w:rsidTr="00CA3A28">
        <w:trPr>
          <w:trHeight w:val="288"/>
        </w:trPr>
        <w:tc>
          <w:tcPr>
            <w:tcW w:w="2695" w:type="dxa"/>
            <w:noWrap/>
            <w:vAlign w:val="bottom"/>
            <w:hideMark/>
          </w:tcPr>
          <w:p w14:paraId="0EF61EBF" w14:textId="77777777" w:rsidR="00CA3A28" w:rsidRPr="0067523C" w:rsidRDefault="00CA3A28" w:rsidP="00CA3A28">
            <w:pPr>
              <w:spacing w:after="0" w:line="240" w:lineRule="auto"/>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Acyclovir</w:t>
            </w:r>
          </w:p>
        </w:tc>
        <w:tc>
          <w:tcPr>
            <w:tcW w:w="1330" w:type="dxa"/>
            <w:noWrap/>
            <w:vAlign w:val="bottom"/>
            <w:hideMark/>
          </w:tcPr>
          <w:p w14:paraId="1306509E"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7.5</w:t>
            </w:r>
          </w:p>
        </w:tc>
        <w:tc>
          <w:tcPr>
            <w:tcW w:w="960" w:type="dxa"/>
            <w:noWrap/>
            <w:vAlign w:val="bottom"/>
            <w:hideMark/>
          </w:tcPr>
          <w:p w14:paraId="744F7EF5"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28C67ABC"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615F5057" w14:textId="336A93A0" w:rsidR="00CA3A28" w:rsidRPr="0067523C" w:rsidRDefault="00791665"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{"citationID":"MCi8wvAi","properties":{"unsorted":false,"formattedCitation":"\\super 74\\nosupersub{}","plainCitation":"74","noteIndex":0},"citationItems":[{"id":1338,"uris":["http://zotero.org/users/7234110/items/QA2A3DTR"],"itemData":{"id":1338,"type":"article-journal","abstract":"In drug discovery, rats are widely used for pharmacological and toxicological studies. We previously reported that a mechanism-based oral absorption model, the gastrointestinal unified theoretical framework (GUT framework), can appropriately predict the fraction of a dose absorbed (Fa) in humans and dogs. However, there are large species differences between humans and rats. The purpose of the present study was to evaluate the predictability of the GUT framework for rat Fa.","container-title":"Pharmaceutical Research","DOI":"10.1007/s11095-022-03173-6","ISSN":"1573-904X","issue":"2","journalAbbreviation":"Pharm Res","language":"en","page":"359-373","source":"Springer Link","title":"Prediction of Oral Drug Absorption in Rats from In Vitro Data","volume":"40","author":[{"family":"Akiyama","given":"Yoshiyuki"},{"family":"Matsumura","given":"Naoya"},{"family":"Ono","given":"Asami"},{"family":"Hayashi","given":"Shun"},{"family":"Funaki","given":"Satoko"},{"family":"Tamura","given":"Naomi"},{"family":"Kimoto","given":"Takahiro"},{"family":"Jiko","given":"Maiko"},{"family":"Haruna","given":"Yuka"},{"family":"Sarashina","given":"Akiko"},{"family":"Ishida","given":"Masahiro"},{"family":"Nishiyama","given":"Kotaro"},{"family":"Fushimi","given":"Masahiro"},{"family":"Kojima","given":"Yukiko"},{"family":"Fujita","given":"Takuya"},{"family":"Sugano","given":"Kiyohiko"}],"issued":{"date-parts":[["2023",2,1]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74</w:t>
            </w:r>
            <w:r>
              <w:rPr>
                <w:rFonts w:ascii="Aptos Narrow" w:eastAsia="Times New Roman" w:hAnsi="Aptos Narrow" w:cs="Times New Roman"/>
                <w:color w:val="000000"/>
                <w:kern w:val="0"/>
                <w:sz w:val="22"/>
                <w:szCs w:val="22"/>
                <w14:ligatures w14:val="none"/>
              </w:rPr>
              <w:fldChar w:fldCharType="end"/>
            </w:r>
          </w:p>
        </w:tc>
      </w:tr>
      <w:tr w:rsidR="00CA3A28" w:rsidRPr="0067523C" w14:paraId="7116F546" w14:textId="77777777" w:rsidTr="00CA3A28">
        <w:trPr>
          <w:trHeight w:val="288"/>
        </w:trPr>
        <w:tc>
          <w:tcPr>
            <w:tcW w:w="2695" w:type="dxa"/>
            <w:noWrap/>
            <w:vAlign w:val="bottom"/>
            <w:hideMark/>
          </w:tcPr>
          <w:p w14:paraId="524492B9" w14:textId="77777777" w:rsidR="00CA3A28" w:rsidRPr="0067523C" w:rsidRDefault="00CA3A28" w:rsidP="00CA3A28">
            <w:pPr>
              <w:spacing w:after="0" w:line="240" w:lineRule="auto"/>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Acyclovir</w:t>
            </w:r>
          </w:p>
        </w:tc>
        <w:tc>
          <w:tcPr>
            <w:tcW w:w="1330" w:type="dxa"/>
            <w:noWrap/>
            <w:vAlign w:val="bottom"/>
            <w:hideMark/>
          </w:tcPr>
          <w:p w14:paraId="2BBDB733"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25</w:t>
            </w:r>
          </w:p>
        </w:tc>
        <w:tc>
          <w:tcPr>
            <w:tcW w:w="960" w:type="dxa"/>
            <w:noWrap/>
            <w:vAlign w:val="bottom"/>
            <w:hideMark/>
          </w:tcPr>
          <w:p w14:paraId="2829D9E6"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68991323"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53800399" w14:textId="2E875E7B" w:rsidR="00CA3A28" w:rsidRPr="0067523C" w:rsidRDefault="00791665"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{"citationID":"aKbWCxBM","properties":{"unsorted":false,"formattedCitation":"\\super 74\\nosupersub{}","plainCitation":"74","noteIndex":0},"citationItems":[{"id":1338,"uris":["http://zotero.org/users/7234110/items/QA2A3DTR"],"itemData":{"id":1338,"type":"article-journal","abstract":"In drug discovery, rats are widely used for pharmacological and toxicological studies. We previously reported that a mechanism-based oral absorption model, the gastrointestinal unified theoretical framework (GUT framework), can appropriately predict the fraction of a dose absorbed (Fa) in humans and dogs. However, there are large species differences between humans and rats. The purpose of the present study was to evaluate the predictability of the GUT framework for rat Fa.","container-title":"Pharmaceutical Research","DOI":"10.1007/s11095-022-03173-6","ISSN":"1573-904X","issue":"2","journalAbbreviation":"Pharm Res","language":"en","page":"359-373","source":"Springer Link","title":"Prediction of Oral Drug Absorption in Rats from In Vitro Data","volume":"40","author":[{"family":"Akiyama","given":"Yoshiyuki"},{"family":"Matsumura","given":"Naoya"},{"family":"Ono","given":"Asami"},{"family":"Hayashi","given":"Shun"},{"family":"Funaki","given":"Satoko"},{"family":"Tamura","given":"Naomi"},{"family":"Kimoto","given":"Takahiro"},{"family":"Jiko","given":"Maiko"},{"family":"Haruna","given":"Yuka"},{"family":"Sarashina","given":"Akiko"},{"family":"Ishida","given":"Masahiro"},{"family":"Nishiyama","given":"Kotaro"},{"family":"Fushimi","given":"Masahiro"},{"family":"Kojima","given":"Yukiko"},{"family":"Fujita","given":"Takuya"},{"family":"Sugano","given":"Kiyohiko"}],"issued":{"date-parts":[["2023",2,1]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74</w:t>
            </w:r>
            <w:r>
              <w:rPr>
                <w:rFonts w:ascii="Aptos Narrow" w:eastAsia="Times New Roman" w:hAnsi="Aptos Narrow" w:cs="Times New Roman"/>
                <w:color w:val="000000"/>
                <w:kern w:val="0"/>
                <w:sz w:val="22"/>
                <w:szCs w:val="22"/>
                <w14:ligatures w14:val="none"/>
              </w:rPr>
              <w:fldChar w:fldCharType="end"/>
            </w:r>
          </w:p>
        </w:tc>
      </w:tr>
      <w:tr w:rsidR="00CA3A28" w:rsidRPr="0067523C" w14:paraId="70C91B0D" w14:textId="77777777" w:rsidTr="00CA3A28">
        <w:trPr>
          <w:trHeight w:val="288"/>
        </w:trPr>
        <w:tc>
          <w:tcPr>
            <w:tcW w:w="2695" w:type="dxa"/>
            <w:noWrap/>
            <w:vAlign w:val="bottom"/>
            <w:hideMark/>
          </w:tcPr>
          <w:p w14:paraId="18CC5F77" w14:textId="77777777" w:rsidR="00CA3A28" w:rsidRPr="0067523C" w:rsidRDefault="00CA3A28" w:rsidP="00CA3A28">
            <w:pPr>
              <w:spacing w:after="0" w:line="240" w:lineRule="auto"/>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Acyclovir</w:t>
            </w:r>
          </w:p>
        </w:tc>
        <w:tc>
          <w:tcPr>
            <w:tcW w:w="1330" w:type="dxa"/>
            <w:noWrap/>
            <w:vAlign w:val="bottom"/>
            <w:hideMark/>
          </w:tcPr>
          <w:p w14:paraId="73771465"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0.25</w:t>
            </w:r>
          </w:p>
        </w:tc>
        <w:tc>
          <w:tcPr>
            <w:tcW w:w="960" w:type="dxa"/>
            <w:noWrap/>
            <w:vAlign w:val="bottom"/>
            <w:hideMark/>
          </w:tcPr>
          <w:p w14:paraId="3A56616D" w14:textId="49A9000B" w:rsidR="00CA3A28" w:rsidRPr="0067523C"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1EE45A75"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396EF566" w14:textId="2B262408" w:rsidR="00CA3A28" w:rsidRPr="0067523C" w:rsidRDefault="00791665"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{"citationID":"jdFcHp6f","properties":{"unsorted":false,"formattedCitation":"\\super 74\\nosupersub{}","plainCitation":"74","noteIndex":0},"citationItems":[{"id":1338,"uris":["http://zotero.org/users/7234110/items/QA2A3DTR"],"itemData":{"id":1338,"type":"article-journal","abstract":"In drug discovery, rats are widely used for pharmacological and toxicological studies. We previously reported that a mechanism-based oral absorption model, the gastrointestinal unified theoretical framework (GUT framework), can appropriately predict the fraction of a dose absorbed (Fa) in humans and dogs. However, there are large species differences between humans and rats. The purpose of the present study was to evaluate the predictability of the GUT framework for rat Fa.","container-title":"Pharmaceutical Research","DOI":"10.1007/s11095-022-03173-6","ISSN":"1573-904X","issue":"2","journalAbbreviation":"Pharm Res","language":"en","page":"359-373","source":"Springer Link","title":"Prediction of Oral Drug Absorption in Rats from In Vitro Data","volume":"40","author":[{"family":"Akiyama","given":"Yoshiyuki"},{"family":"Matsumura","given":"Naoya"},{"family":"Ono","given":"Asami"},{"family":"Hayashi","given":"Shun"},{"family":"Funaki","given":"Satoko"},{"family":"Tamura","given":"Naomi"},{"family":"Kimoto","given":"Takahiro"},{"family":"Jiko","given":"Maiko"},{"family":"Haruna","given":"Yuka"},{"family":"Sarashina","given":"Akiko"},{"family":"Ishida","given":"Masahiro"},{"family":"Nishiyama","given":"Kotaro"},{"family":"Fushimi","given":"Masahiro"},{"family":"Kojima","given":"Yukiko"},{"family":"Fujita","given":"Takuya"},{"family":"Sugano","given":"Kiyohiko"}],"issued":{"date-parts":[["2023",2,1]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74</w:t>
            </w:r>
            <w:r>
              <w:rPr>
                <w:rFonts w:ascii="Aptos Narrow" w:eastAsia="Times New Roman" w:hAnsi="Aptos Narrow" w:cs="Times New Roman"/>
                <w:color w:val="000000"/>
                <w:kern w:val="0"/>
                <w:sz w:val="22"/>
                <w:szCs w:val="22"/>
                <w14:ligatures w14:val="none"/>
              </w:rPr>
              <w:fldChar w:fldCharType="end"/>
            </w:r>
          </w:p>
        </w:tc>
      </w:tr>
      <w:tr w:rsidR="00CA3A28" w:rsidRPr="0067523C" w14:paraId="065C1768" w14:textId="77777777" w:rsidTr="00CA3A28">
        <w:trPr>
          <w:trHeight w:val="288"/>
        </w:trPr>
        <w:tc>
          <w:tcPr>
            <w:tcW w:w="2695" w:type="dxa"/>
            <w:noWrap/>
            <w:vAlign w:val="bottom"/>
            <w:hideMark/>
          </w:tcPr>
          <w:p w14:paraId="6E1FA91F" w14:textId="77777777" w:rsidR="00CA3A28" w:rsidRPr="0067523C" w:rsidRDefault="00CA3A28" w:rsidP="00CA3A28">
            <w:pPr>
              <w:spacing w:after="0" w:line="240" w:lineRule="auto"/>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B3 (CHEMBL5414758)</w:t>
            </w:r>
          </w:p>
        </w:tc>
        <w:tc>
          <w:tcPr>
            <w:tcW w:w="1330" w:type="dxa"/>
            <w:noWrap/>
            <w:vAlign w:val="bottom"/>
            <w:hideMark/>
          </w:tcPr>
          <w:p w14:paraId="4FA7FD93"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1.25</w:t>
            </w:r>
          </w:p>
        </w:tc>
        <w:tc>
          <w:tcPr>
            <w:tcW w:w="960" w:type="dxa"/>
            <w:noWrap/>
            <w:vAlign w:val="bottom"/>
            <w:hideMark/>
          </w:tcPr>
          <w:p w14:paraId="7AB7DF38" w14:textId="30806BFA" w:rsidR="00CA3A28" w:rsidRPr="0067523C"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7AFB59FB"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17B7EF18" w14:textId="3F3E1785" w:rsidR="00CA3A28" w:rsidRPr="0067523C" w:rsidRDefault="00FF2A9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{"citationID":"gq0HsfWL","properties":{"unsorted":false,"formattedCitation":"\\super 75\\nosupersub{}","plainCitation":"75","noteIndex":0},"citationItems":[{"id":1342,"uris":["http://zotero.org/users/7234110/items/D27KFVX4"],"itemData":{"id":1342,"type":"article-journal","abstract":"Nicotinamide phosphoribosyltransferase (NAMPT) is identified as a promising target for cancer therapy. However, known NAMPT inhibitors are characterized by weak clinical efficacy and dose-dependent toxicity. There is an urgent need to develop new NAMPT intervention strategies. Using the proteolysis-targeting chimera (PROTAC) technology, we designed and synthesized a series of new von Hippel-Lindau (VHL)-recruiting NAMPT-targeting PROTACs. A highly potent NAMPT degrader (B3) was successfully identified, which displayed excellent degradation activity (DC50 &lt; 0.17 nM, Dmax &gt; 90%) and antiproliferative potency against A2780 cells (IC50 = 1.5 nM). PROTAC B3 induced NAMPT depletion in a concentration- and time-dependent manner through the ubiquitin-proteasome system. Particularly, PROTAC B3 achieved good plasma exposure levels via intravenous injection, gained potent tumor growth inhibition (TGI = 88.1%, 2 μM/kg) in the xenograft model, and demonstrated good biosafety without undesired toxicities. This study provides a highly potent VHL-recruiting NAMPT degrader for the treatment of ovarian cancer.","container-title":"Journal of Medicinal Chemistry","DOI":"10.1021/acs.jmedchem.2c01990","ISSN":"0022-2623","issue":"1","journalAbbreviation":"J. Med. Chem.","page":"1048-1062","publisher":"American Chemical Society","source":"ACS Publications","title":"Discovery of Highly Potent Nicotinamide Phosphoribosyltransferase Degraders for Efficient Treatment of Ovarian Cancer","volume":"66","author":[{"family":"Bi","given":"Kaijian"},{"family":"Cheng","given":"Junfei"},{"family":"He","given":"Shipeng"},{"family":"Fang","given":"Yuxin"},{"family":"Huang","given":"Min"},{"family":"Sheng","given":"Chunquan"},{"family":"Dong","given":"Guoqiang"}],"issued":{"date-parts":[["2023",1,12]]}}}],"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75</w:t>
            </w:r>
            <w:r>
              <w:rPr>
                <w:rFonts w:ascii="Aptos Narrow" w:eastAsia="Times New Roman" w:hAnsi="Aptos Narrow" w:cs="Times New Roman"/>
                <w:color w:val="000000"/>
                <w:kern w:val="0"/>
                <w:sz w:val="22"/>
                <w:szCs w:val="22"/>
                <w14:ligatures w14:val="none"/>
              </w:rPr>
              <w:fldChar w:fldCharType="end"/>
            </w:r>
          </w:p>
        </w:tc>
      </w:tr>
      <w:tr w:rsidR="00CA3A28" w:rsidRPr="00367563" w14:paraId="30B6A411" w14:textId="77777777" w:rsidTr="00CA3A28">
        <w:trPr>
          <w:trHeight w:val="288"/>
        </w:trPr>
        <w:tc>
          <w:tcPr>
            <w:tcW w:w="2695" w:type="dxa"/>
            <w:noWrap/>
            <w:vAlign w:val="bottom"/>
            <w:hideMark/>
          </w:tcPr>
          <w:p w14:paraId="15FAA04A" w14:textId="77777777" w:rsidR="00CA3A28" w:rsidRPr="0067523C" w:rsidRDefault="00CA3A28" w:rsidP="00CA3A28">
            <w:pPr>
              <w:spacing w:after="0" w:line="240" w:lineRule="auto"/>
              <w:rPr>
                <w:rFonts w:ascii="Aptos Narrow" w:eastAsia="Times New Roman" w:hAnsi="Aptos Narrow" w:cs="Times New Roman"/>
                <w:color w:val="000000"/>
                <w:kern w:val="0"/>
                <w:sz w:val="22"/>
                <w:szCs w:val="22"/>
                <w14:ligatures w14:val="none"/>
              </w:rPr>
            </w:pPr>
            <w:proofErr w:type="spellStart"/>
            <w:r w:rsidRPr="0067523C">
              <w:rPr>
                <w:rFonts w:ascii="Aptos Narrow" w:eastAsia="Times New Roman" w:hAnsi="Aptos Narrow" w:cs="Times New Roman"/>
                <w:color w:val="000000"/>
                <w:kern w:val="0"/>
                <w:sz w:val="22"/>
                <w:szCs w:val="22"/>
                <w14:ligatures w14:val="none"/>
              </w:rPr>
              <w:t>Benzatropine</w:t>
            </w:r>
            <w:proofErr w:type="spellEnd"/>
          </w:p>
        </w:tc>
        <w:tc>
          <w:tcPr>
            <w:tcW w:w="1330" w:type="dxa"/>
            <w:noWrap/>
            <w:vAlign w:val="bottom"/>
            <w:hideMark/>
          </w:tcPr>
          <w:p w14:paraId="4AE3F081"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5.5</w:t>
            </w:r>
          </w:p>
        </w:tc>
        <w:tc>
          <w:tcPr>
            <w:tcW w:w="960" w:type="dxa"/>
            <w:noWrap/>
            <w:vAlign w:val="bottom"/>
            <w:hideMark/>
          </w:tcPr>
          <w:p w14:paraId="258E527E"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5FFF6624" w14:textId="77777777" w:rsidR="00CA3A28" w:rsidRPr="0067523C"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67523C">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63FE6006" w14:textId="6DED7CDE"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{"citationID":"Ia0xsXpR","properties":{"unsorted":false,"formattedCitation":"\\super 6\\nosupersub{}","plainCitation":"6","noteIndex":0},"citationItems":[{"id":1237,"uris":["http://zotero.org/users/7234110/items/2Z4NSLN9"],"itemData":{"id":1237,"type":"article-journal","abstract":"The objective of this study was to clarify the species differences of pharmacokinetics of Y101 (N-[N-benzoyl-O-(2-dimethylaminoethyl)-l-tyrosyl]-l-phenylalaninol hydrochloride), a derivative of herbal ingredient with anti-HBV hepatitis activity, in rats, dogs, monkeys and humans.The metabolic stability and metabolite identification studies using liver microsomes in vitro, plasma protein binding using a rapid equilibrium dialysis in vitro, pharmacokinetic studies in vivo were carried out to evaluate the interspecies differences. The toxicokinetic study in monkeys was also investigated.The metabolic profiles were similar in monkeys and humans, which were significant different from rats and dogs in vitro. In vitro plasma protein binding showed no major differences between species with medium to high protein binding rates. After single oral dose to rats, dogs, and monkeys, the absolute oral bioavailability of Y101 was 44.9%, 43.1%, and 19.2%, respectively. There was no accumulation for Y101 toxicokinetics in monkeys after oral administration for 90 d.The metabolic profiles indicated monkey was the very animal model for preclinical safety evaluation of Y101. Our results have demonstrated the favorable pharmacokinetics profile of Y101, which supports the clinical trials in humans. The objective of this study was to clarify the species differences of pharmacokinetics of Y101 (N-[N-benzoyl-O-(2-dimethylaminoethyl)-l-tyrosyl]-l-phenylalaninol hydrochloride), a derivative of herbal ingredient with anti-HBV hepatitis activity, in rats, dogs, monkeys and humans. The metabolic stability and metabolite identification studies using liver microsomes in vitro, plasma protein binding using a rapid equilibrium dialysis in vitro, pharmacokinetic studies in vivo were carried out to evaluate the interspecies differences. The toxicokinetic study in monkeys was also investigated. The metabolic profiles were similar in monkeys and humans, which were significant different from rats and dogs in vitro. In vitro plasma protein binding showed no major differences between species with medium to high protein binding rates. After single oral dose to rats, dogs, and monkeys, the absolute oral bioavailability of Y101 was 44.9%, 43.1%, and 19.2%, respectively. There was no accumulation for Y101 toxicokinetics in monkeys after oral administration for 90 d. The metabolic profiles indicated monkey was the very animal model for preclinical safety evaluation of Y101. Our results have demonstrated the favorable pharmacokinetics profile of Y101, which supports the clinical trials in humans.","container-title":"Xenobiotica","DOI":"10.1080/00498254.2019.1646946","ISSN":"0049-8254","issue":"4","note":"_eprint: https://doi.org/10.1080/00498254.2019.1646946","page":"468-478","PMID":"31329010","publisher":"Taylor &amp; Francis","source":"Taylor and Francis+NEJM","title":"In vitro metabolism and in vivo pharmacokinetics of bentysrepinine (Y101), an investigational new drug for anti-HBV-infected hepatitis: focus on interspecies comparison","title-short":"In vitro metabolism and in vivo pharmacokinetics of bentysrepinine (Y101), an investigational new drug for anti-HBV-infected hepatitis","volume":"50","author":[{"family":"Fan","given":"Huirong"},{"family":"Zhang","given":"Aijie"},{"family":"Liao","given":"Cuiping"},{"family":"Yang","given":"Yuanhui"},{"family":"Zhang","given":"Lihua"},{"family":"Liu","given":"Jianfeng"},{"family":"Xia","given":"Yuanyuan"},{"family":"Si","given":"Duanyun"},{"family":"Dong","given":"Shiqi"},{"family":"Liu","given":"Changxiao"}],"issued":{"date-parts":[["2020",4,2]]}}}],"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B41D8">
              <w:rPr>
                <w:rFonts w:ascii="Aptos Narrow" w:hAnsi="Aptos Narrow" w:cs="Times New Roman"/>
                <w:kern w:val="0"/>
                <w:sz w:val="22"/>
                <w:vertAlign w:val="superscript"/>
              </w:rPr>
              <w:t>6</w:t>
            </w:r>
            <w:r>
              <w:rPr>
                <w:rFonts w:ascii="Aptos Narrow" w:eastAsia="Times New Roman" w:hAnsi="Aptos Narrow" w:cs="Times New Roman"/>
                <w:color w:val="000000"/>
                <w:kern w:val="0"/>
                <w:sz w:val="22"/>
                <w:szCs w:val="22"/>
                <w14:ligatures w14:val="none"/>
              </w:rPr>
              <w:fldChar w:fldCharType="end"/>
            </w:r>
          </w:p>
        </w:tc>
      </w:tr>
      <w:tr w:rsidR="00CA3A28" w:rsidRPr="00367563" w14:paraId="64A64113" w14:textId="77777777" w:rsidTr="00CA3A28">
        <w:trPr>
          <w:trHeight w:val="288"/>
        </w:trPr>
        <w:tc>
          <w:tcPr>
            <w:tcW w:w="2695" w:type="dxa"/>
            <w:noWrap/>
            <w:vAlign w:val="bottom"/>
            <w:hideMark/>
          </w:tcPr>
          <w:p w14:paraId="69C0EA81"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Benzatropine</w:t>
            </w:r>
            <w:proofErr w:type="spellEnd"/>
          </w:p>
        </w:tc>
        <w:tc>
          <w:tcPr>
            <w:tcW w:w="1330" w:type="dxa"/>
            <w:noWrap/>
            <w:vAlign w:val="bottom"/>
            <w:hideMark/>
          </w:tcPr>
          <w:p w14:paraId="28F137E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5.5</w:t>
            </w:r>
          </w:p>
        </w:tc>
        <w:tc>
          <w:tcPr>
            <w:tcW w:w="960" w:type="dxa"/>
            <w:noWrap/>
            <w:vAlign w:val="bottom"/>
            <w:hideMark/>
          </w:tcPr>
          <w:p w14:paraId="48FA2EA6" w14:textId="2AE151EF"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40DC63B5"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61E9E294" w14:textId="2BECCC43"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{"citationID":"drzZAPZ8","properties":{"unsorted":false,"formattedCitation":"\\super 6\\nosupersub{}","plainCitation":"6","noteIndex":0},"citationItems":[{"id":1237,"uris":["http://zotero.org/users/7234110/items/2Z4NSLN9"],"itemData":{"id":1237,"type":"article-journal","abstract":"The objective of this study was to clarify the species differences of pharmacokinetics of Y101 (N-[N-benzoyl-O-(2-dimethylaminoethyl)-l-tyrosyl]-l-phenylalaninol hydrochloride), a derivative of herbal ingredient with anti-HBV hepatitis activity, in rats, dogs, monkeys and humans.The metabolic stability and metabolite identification studies using liver microsomes in vitro, plasma protein binding using a rapid equilibrium dialysis in vitro, pharmacokinetic studies in vivo were carried out to evaluate the interspecies differences. The toxicokinetic study in monkeys was also investigated.The metabolic profiles were similar in monkeys and humans, which were significant different from rats and dogs in vitro. In vitro plasma protein binding showed no major differences between species with medium to high protein binding rates. After single oral dose to rats, dogs, and monkeys, the absolute oral bioavailability of Y101 was 44.9%, 43.1%, and 19.2%, respectively. There was no accumulation for Y101 toxicokinetics in monkeys after oral administration for 90 d.The metabolic profiles indicated monkey was the very animal model for preclinical safety evaluation of Y101. Our results have demonstrated the favorable pharmacokinetics profile of Y101, which supports the clinical trials in humans. The objective of this study was to clarify the species differences of pharmacokinetics of Y101 (N-[N-benzoyl-O-(2-dimethylaminoethyl)-l-tyrosyl]-l-phenylalaninol hydrochloride), a derivative of herbal ingredient with anti-HBV hepatitis activity, in rats, dogs, monkeys and humans. The metabolic stability and metabolite identification studies using liver microsomes in vitro, plasma protein binding using a rapid equilibrium dialysis in vitro, pharmacokinetic studies in vivo were carried out to evaluate the interspecies differences. The toxicokinetic study in monkeys was also investigated. The metabolic profiles were similar in monkeys and humans, which were significant different from rats and dogs in vitro. In vitro plasma protein binding showed no major differences between species with medium to high protein binding rates. After single oral dose to rats, dogs, and monkeys, the absolute oral bioavailability of Y101 was 44.9%, 43.1%, and 19.2%, respectively. There was no accumulation for Y101 toxicokinetics in monkeys after oral administration for 90 d. The metabolic profiles indicated monkey was the very animal model for preclinical safety evaluation of Y101. Our results have demonstrated the favorable pharmacokinetics profile of Y101, which supports the clinical trials in humans.","container-title":"Xenobiotica","DOI":"10.1080/00498254.2019.1646946","ISSN":"0049-8254","issue":"4","note":"_eprint: https://doi.org/10.1080/00498254.2019.1646946","page":"468-478","PMID":"31329010","publisher":"Taylor &amp; Francis","source":"Taylor and Francis+NEJM","title":"In vitro metabolism and in vivo pharmacokinetics of bentysrepinine (Y101), an investigational new drug for anti-HBV-infected hepatitis: focus on interspecies comparison","title-short":"In vitro metabolism and in vivo pharmacokinetics of bentysrepinine (Y101), an investigational new drug for anti-HBV-infected hepatitis","volume":"50","author":[{"family":"Fan","given":"Huirong"},{"family":"Zhang","given":"Aijie"},{"family":"Liao","given":"Cuiping"},{"family":"Yang","given":"Yuanhui"},{"family":"Zhang","given":"Lihua"},{"family":"Liu","given":"Jianfeng"},{"family":"Xia","given":"Yuanyuan"},{"family":"Si","given":"Duanyun"},{"family":"Dong","given":"Shiqi"},{"family":"Liu","given":"Changxiao"}],"issued":{"date-parts":[["2020",4,2]]}}}],"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B41D8">
              <w:rPr>
                <w:rFonts w:ascii="Aptos Narrow" w:hAnsi="Aptos Narrow" w:cs="Times New Roman"/>
                <w:kern w:val="0"/>
                <w:sz w:val="22"/>
                <w:vertAlign w:val="superscript"/>
              </w:rPr>
              <w:t>6</w:t>
            </w:r>
            <w:r>
              <w:rPr>
                <w:rFonts w:ascii="Aptos Narrow" w:eastAsia="Times New Roman" w:hAnsi="Aptos Narrow" w:cs="Times New Roman"/>
                <w:color w:val="000000"/>
                <w:kern w:val="0"/>
                <w:sz w:val="22"/>
                <w:szCs w:val="22"/>
                <w14:ligatures w14:val="none"/>
              </w:rPr>
              <w:fldChar w:fldCharType="end"/>
            </w:r>
          </w:p>
        </w:tc>
      </w:tr>
      <w:tr w:rsidR="00CA3A28" w:rsidRPr="00367563" w14:paraId="62EF6120" w14:textId="77777777" w:rsidTr="00CA3A28">
        <w:trPr>
          <w:trHeight w:val="288"/>
        </w:trPr>
        <w:tc>
          <w:tcPr>
            <w:tcW w:w="2695" w:type="dxa"/>
            <w:noWrap/>
            <w:vAlign w:val="bottom"/>
            <w:hideMark/>
          </w:tcPr>
          <w:p w14:paraId="591B52AA"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CP-74,667</w:t>
            </w:r>
          </w:p>
        </w:tc>
        <w:tc>
          <w:tcPr>
            <w:tcW w:w="1330" w:type="dxa"/>
            <w:noWrap/>
            <w:vAlign w:val="bottom"/>
            <w:hideMark/>
          </w:tcPr>
          <w:p w14:paraId="083F18A8"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5</w:t>
            </w:r>
          </w:p>
        </w:tc>
        <w:tc>
          <w:tcPr>
            <w:tcW w:w="960" w:type="dxa"/>
            <w:noWrap/>
            <w:vAlign w:val="bottom"/>
            <w:hideMark/>
          </w:tcPr>
          <w:p w14:paraId="77A190C9"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0C3C7239"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05F6AA49" w14:textId="58723653"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{"citationID":"hJ31Lp3F","properties":{"unsorted":false,"formattedCitation":"\\super 7\\nosupersub{}","plainCitation":"7","noteIndex":0},"citationItems":[{"id":1231,"uris":["http://zotero.org/users/7234110/items/6LHWYBAG"],"itemData":{"id":1231,"type":"article-journal","abstract":"The pharmacokinetics of CP-74,667 (7-(8'-methyl-3',8'-diazabicyclo[3.2.1]oct-3'-yl)-1-cyclopropyl-6- fluoro-1,4-dihydro-4-oxo-3-quinolinecarboxylic acid) were studied following oral or parenteral administration in mice, rats, rabbits, dogs, and cynomolgus monkeys. The mean peak levels of CP-74,667 in serum following a single oral dose of 20 mg/kg of body weight were similar in all species, with a range of 3.7 micrograms/ml in mice to 5.6 micrograms/ml in dogs. In contrast, elimination half-lives were species dependent, with mean values of 2.1, 1.8, 4.5, 7.8, and 13.1 h in mice, rats, rabbits, dogs, and monkeys, respectively. The oral bioavailability of CP-74,667 was 100% in dogs and monkeys, as determined by intravenous-oral crossover experiments. The maximum concentration of drug in serum and area under the concentration-time curve (AUC) of CP-74,667 in dogs were proportional to dose over the range of 5 to 40 mg/kg. Accumulation of drug in serum was observed following the administration of four once-a-day doses of 7.1 mg/kg in monkeys (mimicking a 500-mg human dose), with significant increases in half-life, maximum and minimum concentrations of drug in serum, and AUC. The good tissue penetration of CP-74,667 suggested by a volume of distribution in excess of 2 liters/kg in dogs and monkeys was confirmed by tissue distribution studies with the same species, which demonstrated tissue concentrations (except for those in brain tissue) greater than 1.45 times higher than corresponding levels in serum. The mean urinary recoveries of unchanged drug were 17.7% in rats, 7.8% in monkeys, and 4.9% in dogs. Metabolism studies in dogs, following intravenous dosing, indicated that renal excretion of CP-74,667-related materials accounted for 41.6% of the administered dose, while biliary recoveries accounted for 6.8%. The CP-74,667 N-oxide metabolite was the primary drug-related material eliminated via renal excretion (37.2% of dose). The pharmacokinetics of CP-74,667 describe a quinolone with complete oral absorption, linear pharmacokinetics, a long elimination half-life, and wide distribution into tissues.","container-title":"Antimicrobial Agents and Chemotherapy","DOI":"10.1128/aac.36.8.1671","issue":"8","page":"1671-1676","publisher":"American Society for Microbiology","source":"journals.asm.org (Atypon)","title":"Pharmacokinetic studies of CP-74,667, a new quinolone, in laboratory animals","volume":"36","author":[{"family":"Girard","given":"D"},{"family":"Gootz","given":"T D"},{"family":"McGuirk","given":"P R"}],"issued":{"date-parts":[["1992",8]]}}}],"schema":"https://github.com/citation-style-language/schema/raw/master/csl-citation.json"}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B41D8">
              <w:rPr>
                <w:rFonts w:ascii="Aptos Narrow" w:hAnsi="Aptos Narrow" w:cs="Times New Roman"/>
                <w:kern w:val="0"/>
                <w:sz w:val="22"/>
                <w:vertAlign w:val="superscript"/>
              </w:rPr>
              <w:t>7</w:t>
            </w:r>
            <w:r>
              <w:rPr>
                <w:rFonts w:ascii="Aptos Narrow" w:eastAsia="Times New Roman" w:hAnsi="Aptos Narrow" w:cs="Times New Roman"/>
                <w:color w:val="000000"/>
                <w:kern w:val="0"/>
                <w:sz w:val="22"/>
                <w:szCs w:val="22"/>
                <w14:ligatures w14:val="none"/>
              </w:rPr>
              <w:fldChar w:fldCharType="end"/>
            </w:r>
          </w:p>
        </w:tc>
      </w:tr>
      <w:tr w:rsidR="00CA3A28" w:rsidRPr="00367563" w14:paraId="494F23D9" w14:textId="77777777" w:rsidTr="00CA3A28">
        <w:trPr>
          <w:trHeight w:val="288"/>
        </w:trPr>
        <w:tc>
          <w:tcPr>
            <w:tcW w:w="2695" w:type="dxa"/>
            <w:noWrap/>
            <w:vAlign w:val="bottom"/>
            <w:hideMark/>
          </w:tcPr>
          <w:p w14:paraId="146DE1B8"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E2074</w:t>
            </w:r>
          </w:p>
        </w:tc>
        <w:tc>
          <w:tcPr>
            <w:tcW w:w="1330" w:type="dxa"/>
            <w:noWrap/>
            <w:vAlign w:val="bottom"/>
            <w:hideMark/>
          </w:tcPr>
          <w:p w14:paraId="5679023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0.75</w:t>
            </w:r>
          </w:p>
        </w:tc>
        <w:tc>
          <w:tcPr>
            <w:tcW w:w="960" w:type="dxa"/>
            <w:noWrap/>
            <w:vAlign w:val="bottom"/>
            <w:hideMark/>
          </w:tcPr>
          <w:p w14:paraId="7B56146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30597DE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743FA94F" w14:textId="62BF20D0"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{"citationID":"BwS31QDz","properties":{"unsorted":false,"formattedCitation":"\\super 8\\nosupersub{}","plainCitation":"8","noteIndex":0},"citationItems":[{"id":1233,"uris":["http://zotero.org/users/7234110/items/BHQ3KXRN"],"itemData":{"id":1233,"type":"webpage","title":"Species Difference in the Mechanism of Nonlinear Pharmacokinetics of E2074, a Novel Sodium Channel Inhibitor, in Rats, Dogs, and Monkeys - Drug Metabolism and Disposition","URL":"https://dmd.aspetjournals.org/article/S0090-9556(24)11579-6/abstract","accessed":{"date-parts":[["2026",6,9]]}}}],"schema":"https://github.com/citation-style-language/schema/raw/master/csl-citation.json"}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B41D8">
              <w:rPr>
                <w:rFonts w:ascii="Aptos Narrow" w:hAnsi="Aptos Narrow" w:cs="Times New Roman"/>
                <w:kern w:val="0"/>
                <w:sz w:val="22"/>
                <w:vertAlign w:val="superscript"/>
              </w:rPr>
              <w:t>8</w:t>
            </w:r>
            <w:r>
              <w:rPr>
                <w:rFonts w:ascii="Aptos Narrow" w:eastAsia="Times New Roman" w:hAnsi="Aptos Narrow" w:cs="Times New Roman"/>
                <w:color w:val="000000"/>
                <w:kern w:val="0"/>
                <w:sz w:val="22"/>
                <w:szCs w:val="22"/>
                <w14:ligatures w14:val="none"/>
              </w:rPr>
              <w:fldChar w:fldCharType="end"/>
            </w:r>
          </w:p>
        </w:tc>
      </w:tr>
      <w:tr w:rsidR="00CA3A28" w:rsidRPr="00367563" w14:paraId="2A9EC672" w14:textId="77777777" w:rsidTr="00CA3A28">
        <w:trPr>
          <w:trHeight w:val="288"/>
        </w:trPr>
        <w:tc>
          <w:tcPr>
            <w:tcW w:w="2695" w:type="dxa"/>
            <w:noWrap/>
            <w:vAlign w:val="bottom"/>
            <w:hideMark/>
          </w:tcPr>
          <w:p w14:paraId="7C1F2840"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E2074</w:t>
            </w:r>
          </w:p>
        </w:tc>
        <w:tc>
          <w:tcPr>
            <w:tcW w:w="1330" w:type="dxa"/>
            <w:noWrap/>
            <w:vAlign w:val="bottom"/>
            <w:hideMark/>
          </w:tcPr>
          <w:p w14:paraId="52581915"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2.5</w:t>
            </w:r>
          </w:p>
        </w:tc>
        <w:tc>
          <w:tcPr>
            <w:tcW w:w="960" w:type="dxa"/>
            <w:noWrap/>
            <w:vAlign w:val="bottom"/>
            <w:hideMark/>
          </w:tcPr>
          <w:p w14:paraId="18C721F5"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2A6E79F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6B4AAB69" w14:textId="17F48FAF"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{"citationID":"wlUcNzPQ","properties":{"unsorted":false,"formattedCitation":"\\super 8\\nosupersub{}","plainCitation":"8","noteIndex":0},"citationItems":[{"id":1233,"uris":["http://zotero.org/users/7234110/items/BHQ3KXRN"],"itemData":{"id":1233,"type":"webpage","title":"Species Difference in the Mechanism of Nonlinear Pharmacokinetics of E2074, a Novel Sodium Channel Inhibitor, in Rats, Dogs, and Monkeys - Drug Metabolism and Disposition","URL":"https://dmd.aspetjournals.org/article/S0090-9556(24)11579-6/abstract","accessed":{"date-parts":[["2026",6,9]]}}}],"schema":"https://github.com/citation-style-language/schema/raw/master/csl-citation.json"}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B41D8">
              <w:rPr>
                <w:rFonts w:ascii="Aptos Narrow" w:hAnsi="Aptos Narrow" w:cs="Times New Roman"/>
                <w:kern w:val="0"/>
                <w:sz w:val="22"/>
                <w:vertAlign w:val="superscript"/>
              </w:rPr>
              <w:t>8</w:t>
            </w:r>
            <w:r>
              <w:rPr>
                <w:rFonts w:ascii="Aptos Narrow" w:eastAsia="Times New Roman" w:hAnsi="Aptos Narrow" w:cs="Times New Roman"/>
                <w:color w:val="000000"/>
                <w:kern w:val="0"/>
                <w:sz w:val="22"/>
                <w:szCs w:val="22"/>
                <w14:ligatures w14:val="none"/>
              </w:rPr>
              <w:fldChar w:fldCharType="end"/>
            </w:r>
          </w:p>
        </w:tc>
      </w:tr>
      <w:tr w:rsidR="00CA3A28" w:rsidRPr="00367563" w14:paraId="252E58D8" w14:textId="77777777" w:rsidTr="00CA3A28">
        <w:trPr>
          <w:trHeight w:val="288"/>
        </w:trPr>
        <w:tc>
          <w:tcPr>
            <w:tcW w:w="2695" w:type="dxa"/>
            <w:noWrap/>
            <w:vAlign w:val="bottom"/>
            <w:hideMark/>
          </w:tcPr>
          <w:p w14:paraId="282FBB16"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E2074</w:t>
            </w:r>
          </w:p>
        </w:tc>
        <w:tc>
          <w:tcPr>
            <w:tcW w:w="1330" w:type="dxa"/>
            <w:noWrap/>
            <w:vAlign w:val="bottom"/>
            <w:hideMark/>
          </w:tcPr>
          <w:p w14:paraId="4A29134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7.5</w:t>
            </w:r>
          </w:p>
        </w:tc>
        <w:tc>
          <w:tcPr>
            <w:tcW w:w="960" w:type="dxa"/>
            <w:noWrap/>
            <w:vAlign w:val="bottom"/>
            <w:hideMark/>
          </w:tcPr>
          <w:p w14:paraId="24D4A3C5"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0C9B7969"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438D7781" w14:textId="4818B1A3"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{"citationID":"f9SrZvBt","properties":{"unsorted":false,"formattedCitation":"\\super 8\\nosupersub{}","plainCitation":"8","noteIndex":0},"citationItems":[{"id":1233,"uris":["http://zotero.org/users/7234110/items/BHQ3KXRN"],"itemData":{"id":1233,"type":"webpage","title":"Species Difference in the Mechanism of Nonlinear Pharmacokinetics of E2074, a Novel Sodium Channel Inhibitor, in Rats, Dogs, and Monkeys - Drug Metabolism and Disposition","URL":"https://dmd.aspetjournals.org/article/S0090-9556(24)11579-6/abstract","accessed":{"date-parts":[["2026",6,9]]}}}],"schema":"https://github.com/citation-style-language/schema/raw/master/csl-citation.json"}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B41D8">
              <w:rPr>
                <w:rFonts w:ascii="Aptos Narrow" w:hAnsi="Aptos Narrow" w:cs="Times New Roman"/>
                <w:kern w:val="0"/>
                <w:sz w:val="22"/>
                <w:vertAlign w:val="superscript"/>
              </w:rPr>
              <w:t>8</w:t>
            </w:r>
            <w:r>
              <w:rPr>
                <w:rFonts w:ascii="Aptos Narrow" w:eastAsia="Times New Roman" w:hAnsi="Aptos Narrow" w:cs="Times New Roman"/>
                <w:color w:val="000000"/>
                <w:kern w:val="0"/>
                <w:sz w:val="22"/>
                <w:szCs w:val="22"/>
                <w14:ligatures w14:val="none"/>
              </w:rPr>
              <w:fldChar w:fldCharType="end"/>
            </w:r>
          </w:p>
        </w:tc>
      </w:tr>
      <w:tr w:rsidR="00CA3A28" w:rsidRPr="00367563" w14:paraId="308A77D0" w14:textId="77777777" w:rsidTr="00CA3A28">
        <w:trPr>
          <w:trHeight w:val="288"/>
        </w:trPr>
        <w:tc>
          <w:tcPr>
            <w:tcW w:w="2695" w:type="dxa"/>
            <w:noWrap/>
            <w:vAlign w:val="bottom"/>
            <w:hideMark/>
          </w:tcPr>
          <w:p w14:paraId="7E132D28"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E2074</w:t>
            </w:r>
          </w:p>
        </w:tc>
        <w:tc>
          <w:tcPr>
            <w:tcW w:w="1330" w:type="dxa"/>
            <w:noWrap/>
            <w:vAlign w:val="bottom"/>
            <w:hideMark/>
          </w:tcPr>
          <w:p w14:paraId="40B85DCE"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0.25</w:t>
            </w:r>
          </w:p>
        </w:tc>
        <w:tc>
          <w:tcPr>
            <w:tcW w:w="960" w:type="dxa"/>
            <w:noWrap/>
            <w:vAlign w:val="bottom"/>
            <w:hideMark/>
          </w:tcPr>
          <w:p w14:paraId="7BF36E7D" w14:textId="24BD895A"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44E2BCA1"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496B32D8" w14:textId="1311C99D"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{"citationID":"VZ5Tzei3","properties":{"unsorted":false,"formattedCitation":"\\super 8\\nosupersub{}","plainCitation":"8","noteIndex":0},"citationItems":[{"id":1233,"uris":["http://zotero.org/users/7234110/items/BHQ3KXRN"],"itemData":{"id":1233,"type":"webpage","title":"Species Difference in the Mechanism of Nonlinear Pharmacokinetics of E2074, a Novel Sodium Channel Inhibitor, in Rats, Dogs, and Monkeys - Drug Metabolism and Disposition","URL":"https://dmd.aspetjournals.org/article/S0090-9556(24)11579-6/abstract","accessed":{"date-parts":[["2026",6,9]]}}}],"schema":"https://github.com/citation-style-language/schema/raw/master/csl-citation.json"}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0B41D8">
              <w:rPr>
                <w:rFonts w:ascii="Aptos Narrow" w:hAnsi="Aptos Narrow" w:cs="Times New Roman"/>
                <w:kern w:val="0"/>
                <w:sz w:val="22"/>
                <w:vertAlign w:val="superscript"/>
              </w:rPr>
              <w:t>8</w:t>
            </w:r>
            <w:r>
              <w:rPr>
                <w:rFonts w:ascii="Aptos Narrow" w:eastAsia="Times New Roman" w:hAnsi="Aptos Narrow" w:cs="Times New Roman"/>
                <w:color w:val="000000"/>
                <w:kern w:val="0"/>
                <w:sz w:val="22"/>
                <w:szCs w:val="22"/>
                <w14:ligatures w14:val="none"/>
              </w:rPr>
              <w:fldChar w:fldCharType="end"/>
            </w:r>
          </w:p>
        </w:tc>
      </w:tr>
      <w:tr w:rsidR="00CA3A28" w:rsidRPr="00367563" w14:paraId="5C853E4A" w14:textId="77777777" w:rsidTr="00CA3A28">
        <w:trPr>
          <w:trHeight w:val="288"/>
        </w:trPr>
        <w:tc>
          <w:tcPr>
            <w:tcW w:w="2695" w:type="dxa"/>
            <w:noWrap/>
            <w:vAlign w:val="bottom"/>
            <w:hideMark/>
          </w:tcPr>
          <w:p w14:paraId="4B233D41" w14:textId="7D14334C"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Ganciclovir</w:t>
            </w:r>
          </w:p>
        </w:tc>
        <w:tc>
          <w:tcPr>
            <w:tcW w:w="1330" w:type="dxa"/>
            <w:noWrap/>
            <w:vAlign w:val="bottom"/>
            <w:hideMark/>
          </w:tcPr>
          <w:p w14:paraId="21F1C68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0.25</w:t>
            </w:r>
          </w:p>
        </w:tc>
        <w:tc>
          <w:tcPr>
            <w:tcW w:w="960" w:type="dxa"/>
            <w:noWrap/>
            <w:vAlign w:val="bottom"/>
            <w:hideMark/>
          </w:tcPr>
          <w:p w14:paraId="5359C95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368DCD19"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7901FE49" w14:textId="5370C2FE" w:rsidR="00CA3A28" w:rsidRPr="00367563" w:rsidRDefault="00791665"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{"citationID":"s5hf7HAm","properties":{"unsorted":false,"formattedCitation":"\\super 74\\nosupersub{}","plainCitation":"74","noteIndex":0},"citationItems":[{"id":1338,"uris":["http://zotero.org/users/7234110/items/QA2A3DTR"],"itemData":{"id":1338,"type":"article-journal","abstract":"In drug discovery, rats are widely used for pharmacological and toxicological studies. We previously reported that a mechanism-based oral absorption model, the gastrointestinal unified theoretical framework (GUT framework), can appropriately predict the fraction of a dose absorbed (Fa) in humans and dogs. However, there are large species differences between humans and rats. The purpose of the present study was to evaluate the predictability of the GUT framework for rat Fa.","container-title":"Pharmaceutical Research","DOI":"10.1007/s11095-022-03173-6","ISSN":"1573-904X","issue":"2","journalAbbreviation":"Pharm Res","language":"en","page":"359-373","source":"Springer Link","title":"Prediction of Oral Drug Absorption in Rats from In Vitro Data","volume":"40","author":[{"family":"Akiyama","given":"Yoshiyuki"},{"family":"Matsumura","given":"Naoya"},{"family":"Ono","given":"Asami"},{"family":"Hayashi","given":"Shun"},{"family":"Funaki","given":"Satoko"},{"family":"Tamura","given":"Naomi"},{"family":"Kimoto","given":"Takahiro"},{"family":"Jiko","given":"Maiko"},{"family":"Haruna","given":"Yuka"},{"family":"Sarashina","given":"Akiko"},{"family":"Ishida","given":"Masahiro"},{"family":"Nishiyama","given":"Kotaro"},{"family":"Fushimi","given":"Masahiro"},{"family":"Kojima","given":"Yukiko"},{"family":"Fujita","given":"Takuya"},{"family":"Sugano","given":"Kiyohiko"}],"issued":{"date-parts":[["2023",2,1]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74</w:t>
            </w:r>
            <w:r>
              <w:rPr>
                <w:rFonts w:ascii="Aptos Narrow" w:eastAsia="Times New Roman" w:hAnsi="Aptos Narrow" w:cs="Times New Roman"/>
                <w:color w:val="000000"/>
                <w:kern w:val="0"/>
                <w:sz w:val="22"/>
                <w:szCs w:val="22"/>
                <w14:ligatures w14:val="none"/>
              </w:rPr>
              <w:fldChar w:fldCharType="end"/>
            </w:r>
          </w:p>
        </w:tc>
      </w:tr>
      <w:tr w:rsidR="00CA3A28" w:rsidRPr="00367563" w14:paraId="61312064" w14:textId="77777777" w:rsidTr="00CA3A28">
        <w:trPr>
          <w:trHeight w:val="288"/>
        </w:trPr>
        <w:tc>
          <w:tcPr>
            <w:tcW w:w="2695" w:type="dxa"/>
            <w:noWrap/>
            <w:vAlign w:val="bottom"/>
            <w:hideMark/>
          </w:tcPr>
          <w:p w14:paraId="7EB37BD0" w14:textId="3A5760AD"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Ganciclovir</w:t>
            </w:r>
          </w:p>
        </w:tc>
        <w:tc>
          <w:tcPr>
            <w:tcW w:w="1330" w:type="dxa"/>
            <w:noWrap/>
            <w:vAlign w:val="bottom"/>
            <w:hideMark/>
          </w:tcPr>
          <w:p w14:paraId="46A1E01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0.75</w:t>
            </w:r>
          </w:p>
        </w:tc>
        <w:tc>
          <w:tcPr>
            <w:tcW w:w="960" w:type="dxa"/>
            <w:noWrap/>
            <w:vAlign w:val="bottom"/>
            <w:hideMark/>
          </w:tcPr>
          <w:p w14:paraId="4B1E79D8"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6B3522BE"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7082B39A" w14:textId="3BACDB5C" w:rsidR="00CA3A28" w:rsidRPr="00367563" w:rsidRDefault="00791665"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{"citationID":"IaymIb6r","properties":{"unsorted":false,"formattedCitation":"\\super 74\\nosupersub{}","plainCitation":"74","noteIndex":0},"citationItems":[{"id":1338,"uris":["http://zotero.org/users/7234110/items/QA2A3DTR"],"itemData":{"id":1338,"type":"article-journal","abstract":"In drug discovery, rats are widely used for pharmacological and toxicological studies. We previously reported that a mechanism-based oral absorption model, the gastrointestinal unified theoretical framework (GUT framework), can appropriately predict the fraction of a dose absorbed (Fa) in humans and dogs. However, there are large species differences between humans and rats. The purpose of the present study was to evaluate the predictability of the GUT framework for rat Fa.","container-title":"Pharmaceutical Research","DOI":"10.1007/s11095-022-03173-6","ISSN":"1573-904X","issue":"2","journalAbbreviation":"Pharm Res","language":"en","page":"359-373","source":"Springer Link","title":"Prediction of Oral Drug Absorption in Rats from In Vitro Data","volume":"40","author":[{"family":"Akiyama","given":"Yoshiyuki"},{"family":"Matsumura","given":"Naoya"},{"family":"Ono","given":"Asami"},{"family":"Hayashi","given":"Shun"},{"family":"Funaki","given":"Satoko"},{"family":"Tamura","given":"Naomi"},{"family":"Kimoto","given":"Takahiro"},{"family":"Jiko","given":"Maiko"},{"family":"Haruna","given":"Yuka"},{"family":"Sarashina","given":"Akiko"},{"family":"Ishida","given":"Masahiro"},{"family":"Nishiyama","given":"Kotaro"},{"family":"Fushimi","given":"Masahiro"},{"family":"Kojima","given":"Yukiko"},{"family":"Fujita","given":"Takuya"},{"family":"Sugano","given":"Kiyohiko"}],"issued":{"date-parts":[["2023",2,1]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74</w:t>
            </w:r>
            <w:r>
              <w:rPr>
                <w:rFonts w:ascii="Aptos Narrow" w:eastAsia="Times New Roman" w:hAnsi="Aptos Narrow" w:cs="Times New Roman"/>
                <w:color w:val="000000"/>
                <w:kern w:val="0"/>
                <w:sz w:val="22"/>
                <w:szCs w:val="22"/>
                <w14:ligatures w14:val="none"/>
              </w:rPr>
              <w:fldChar w:fldCharType="end"/>
            </w:r>
          </w:p>
        </w:tc>
      </w:tr>
      <w:tr w:rsidR="00CA3A28" w:rsidRPr="00367563" w14:paraId="627E5CAC" w14:textId="77777777" w:rsidTr="00CA3A28">
        <w:trPr>
          <w:trHeight w:val="288"/>
        </w:trPr>
        <w:tc>
          <w:tcPr>
            <w:tcW w:w="2695" w:type="dxa"/>
            <w:noWrap/>
            <w:vAlign w:val="bottom"/>
            <w:hideMark/>
          </w:tcPr>
          <w:p w14:paraId="34B48980" w14:textId="2971E73E"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Ganciclovir</w:t>
            </w:r>
          </w:p>
        </w:tc>
        <w:tc>
          <w:tcPr>
            <w:tcW w:w="1330" w:type="dxa"/>
            <w:noWrap/>
            <w:vAlign w:val="bottom"/>
            <w:hideMark/>
          </w:tcPr>
          <w:p w14:paraId="0D0BBFEE"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2.5</w:t>
            </w:r>
          </w:p>
        </w:tc>
        <w:tc>
          <w:tcPr>
            <w:tcW w:w="960" w:type="dxa"/>
            <w:noWrap/>
            <w:vAlign w:val="bottom"/>
            <w:hideMark/>
          </w:tcPr>
          <w:p w14:paraId="16CECB6E"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165EF6C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542D2201" w14:textId="6802F950" w:rsidR="00CA3A28" w:rsidRPr="00367563" w:rsidRDefault="00791665"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{"citationID":"SJlldpvg","properties":{"unsorted":false,"formattedCitation":"\\super 74\\nosupersub{}","plainCitation":"74","noteIndex":0},"citationItems":[{"id":1338,"uris":["http://zotero.org/users/7234110/items/QA2A3DTR"],"itemData":{"id":1338,"type":"article-journal","abstract":"In drug discovery, rats are widely used for pharmacological and toxicological studies. We previously reported that a mechanism-based oral absorption model, the gastrointestinal unified theoretical framework (GUT framework), can appropriately predict the fraction of a dose absorbed (Fa) in humans and dogs. However, there are large species differences between humans and rats. The purpose of the present study was to evaluate the predictability of the GUT framework for rat Fa.","container-title":"Pharmaceutical Research","DOI":"10.1007/s11095-022-03173-6","ISSN":"1573-904X","issue":"2","journalAbbreviation":"Pharm Res","language":"en","page":"359-373","source":"Springer Link","title":"Prediction of Oral Drug Absorption in Rats from In Vitro Data","volume":"40","author":[{"family":"Akiyama","given":"Yoshiyuki"},{"family":"Matsumura","given":"Naoya"},{"family":"Ono","given":"Asami"},{"family":"Hayashi","given":"Shun"},{"family":"Funaki","given":"Satoko"},{"family":"Tamura","given":"Naomi"},{"family":"Kimoto","given":"Takahiro"},{"family":"Jiko","given":"Maiko"},{"family":"Haruna","given":"Yuka"},{"family":"Sarashina","given":"Akiko"},{"family":"Ishida","given":"Masahiro"},{"family":"Nishiyama","given":"Kotaro"},{"family":"Fushimi","given":"Masahiro"},{"family":"Kojima","given":"Yukiko"},{"family":"Fujita","given":"Takuya"},{"family":"Sugano","given":"Kiyohiko"}],"issued":{"date-parts":[["2023",2,1]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74</w:t>
            </w:r>
            <w:r>
              <w:rPr>
                <w:rFonts w:ascii="Aptos Narrow" w:eastAsia="Times New Roman" w:hAnsi="Aptos Narrow" w:cs="Times New Roman"/>
                <w:color w:val="000000"/>
                <w:kern w:val="0"/>
                <w:sz w:val="22"/>
                <w:szCs w:val="22"/>
                <w14:ligatures w14:val="none"/>
              </w:rPr>
              <w:fldChar w:fldCharType="end"/>
            </w:r>
          </w:p>
        </w:tc>
      </w:tr>
      <w:tr w:rsidR="00CA3A28" w:rsidRPr="00367563" w14:paraId="0C6B4651" w14:textId="77777777" w:rsidTr="00CA3A28">
        <w:trPr>
          <w:trHeight w:val="288"/>
        </w:trPr>
        <w:tc>
          <w:tcPr>
            <w:tcW w:w="2695" w:type="dxa"/>
            <w:noWrap/>
            <w:vAlign w:val="bottom"/>
            <w:hideMark/>
          </w:tcPr>
          <w:p w14:paraId="24B62A4C" w14:textId="32978113"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Ganciclovir</w:t>
            </w:r>
          </w:p>
        </w:tc>
        <w:tc>
          <w:tcPr>
            <w:tcW w:w="1330" w:type="dxa"/>
            <w:noWrap/>
            <w:vAlign w:val="bottom"/>
            <w:hideMark/>
          </w:tcPr>
          <w:p w14:paraId="7B816A1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7.5</w:t>
            </w:r>
          </w:p>
        </w:tc>
        <w:tc>
          <w:tcPr>
            <w:tcW w:w="960" w:type="dxa"/>
            <w:noWrap/>
            <w:vAlign w:val="bottom"/>
            <w:hideMark/>
          </w:tcPr>
          <w:p w14:paraId="2ECFF54F"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7B02A26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2F1D26EE" w14:textId="317B9CC7" w:rsidR="00CA3A28" w:rsidRPr="00367563" w:rsidRDefault="00791665"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{"citationID":"0evPmLqD","properties":{"unsorted":false,"formattedCitation":"\\super 74\\nosupersub{}","plainCitation":"74","noteIndex":0},"citationItems":[{"id":1338,"uris":["http://zotero.org/users/7234110/items/QA2A3DTR"],"itemData":{"id":1338,"type":"article-journal","abstract":"In drug discovery, rats are widely used for pharmacological and toxicological studies. We previously reported that a mechanism-based oral absorption model, the gastrointestinal unified theoretical framework (GUT framework), can appropriately predict the fraction of a dose absorbed (Fa) in humans and dogs. However, there are large species differences between humans and rats. The purpose of the present study was to evaluate the predictability of the GUT framework for rat Fa.","container-title":"Pharmaceutical Research","DOI":"10.1007/s11095-022-03173-6","ISSN":"1573-904X","issue":"2","journalAbbreviation":"Pharm Res","language":"en","page":"359-373","source":"Springer Link","title":"Prediction of Oral Drug Absorption in Rats from In Vitro Data","volume":"40","author":[{"family":"Akiyama","given":"Yoshiyuki"},{"family":"Matsumura","given":"Naoya"},{"family":"Ono","given":"Asami"},{"family":"Hayashi","given":"Shun"},{"family":"Funaki","given":"Satoko"},{"family":"Tamura","given":"Naomi"},{"family":"Kimoto","given":"Takahiro"},{"family":"Jiko","given":"Maiko"},{"family":"Haruna","given":"Yuka"},{"family":"Sarashina","given":"Akiko"},{"family":"Ishida","given":"Masahiro"},{"family":"Nishiyama","given":"Kotaro"},{"family":"Fushimi","given":"Masahiro"},{"family":"Kojima","given":"Yukiko"},{"family":"Fujita","given":"Takuya"},{"family":"Sugano","given":"Kiyohiko"}],"issued":{"date-parts":[["2023",2,1]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74</w:t>
            </w:r>
            <w:r>
              <w:rPr>
                <w:rFonts w:ascii="Aptos Narrow" w:eastAsia="Times New Roman" w:hAnsi="Aptos Narrow" w:cs="Times New Roman"/>
                <w:color w:val="000000"/>
                <w:kern w:val="0"/>
                <w:sz w:val="22"/>
                <w:szCs w:val="22"/>
                <w14:ligatures w14:val="none"/>
              </w:rPr>
              <w:fldChar w:fldCharType="end"/>
            </w:r>
          </w:p>
        </w:tc>
      </w:tr>
      <w:tr w:rsidR="00CA3A28" w:rsidRPr="00367563" w14:paraId="46358934" w14:textId="77777777" w:rsidTr="00CA3A28">
        <w:trPr>
          <w:trHeight w:val="288"/>
        </w:trPr>
        <w:tc>
          <w:tcPr>
            <w:tcW w:w="2695" w:type="dxa"/>
            <w:noWrap/>
            <w:vAlign w:val="bottom"/>
            <w:hideMark/>
          </w:tcPr>
          <w:p w14:paraId="0A753A57" w14:textId="16C21A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Ganciclovir</w:t>
            </w:r>
          </w:p>
        </w:tc>
        <w:tc>
          <w:tcPr>
            <w:tcW w:w="1330" w:type="dxa"/>
            <w:noWrap/>
            <w:vAlign w:val="bottom"/>
            <w:hideMark/>
          </w:tcPr>
          <w:p w14:paraId="4E4BD5D3"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25</w:t>
            </w:r>
          </w:p>
        </w:tc>
        <w:tc>
          <w:tcPr>
            <w:tcW w:w="960" w:type="dxa"/>
            <w:noWrap/>
            <w:vAlign w:val="bottom"/>
            <w:hideMark/>
          </w:tcPr>
          <w:p w14:paraId="4E56DEA9"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75A8DF85"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6A93E142" w14:textId="3575D6DB" w:rsidR="00CA3A28" w:rsidRPr="00367563" w:rsidRDefault="00791665"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{"citationID":"1ToA2lhh","properties":{"unsorted":false,"formattedCitation":"\\super 74\\nosupersub{}","plainCitation":"74","noteIndex":0},"citationItems":[{"id":1338,"uris":["http://zotero.org/users/7234110/items/QA2A3DTR"],"itemData":{"id":1338,"type":"article-journal","abstract":"In drug discovery, rats are widely used for pharmacological and toxicological studies. We previously reported that a mechanism-based oral absorption model, the gastrointestinal unified theoretical framework (GUT framework), can appropriately predict the fraction of a dose absorbed (Fa) in humans and dogs. However, there are large species differences between humans and rats. The purpose of the present study was to evaluate the predictability of the GUT framework for rat Fa.","container-title":"Pharmaceutical Research","DOI":"10.1007/s11095-022-03173-6","ISSN":"1573-904X","issue":"2","journalAbbreviation":"Pharm Res","language":"en","page":"359-373","source":"Springer Link","title":"Prediction of Oral Drug Absorption in Rats from In Vitro Data","volume":"40","author":[{"family":"Akiyama","given":"Yoshiyuki"},{"family":"Matsumura","given":"Naoya"},{"family":"Ono","given":"Asami"},{"family":"Hayashi","given":"Shun"},{"family":"Funaki","given":"Satoko"},{"family":"Tamura","given":"Naomi"},{"family":"Kimoto","given":"Takahiro"},{"family":"Jiko","given":"Maiko"},{"family":"Haruna","given":"Yuka"},{"family":"Sarashina","given":"Akiko"},{"family":"Ishida","given":"Masahiro"},{"family":"Nishiyama","given":"Kotaro"},{"family":"Fushimi","given":"Masahiro"},{"family":"Kojima","given":"Yukiko"},{"family":"Fujita","given":"Takuya"},{"family":"Sugano","given":"Kiyohiko"}],"issued":{"date-parts":[["2023",2,1]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74</w:t>
            </w:r>
            <w:r>
              <w:rPr>
                <w:rFonts w:ascii="Aptos Narrow" w:eastAsia="Times New Roman" w:hAnsi="Aptos Narrow" w:cs="Times New Roman"/>
                <w:color w:val="000000"/>
                <w:kern w:val="0"/>
                <w:sz w:val="22"/>
                <w:szCs w:val="22"/>
                <w14:ligatures w14:val="none"/>
              </w:rPr>
              <w:fldChar w:fldCharType="end"/>
            </w:r>
          </w:p>
        </w:tc>
      </w:tr>
      <w:tr w:rsidR="00CA3A28" w:rsidRPr="00367563" w14:paraId="24FDD42F" w14:textId="77777777" w:rsidTr="00CA3A28">
        <w:trPr>
          <w:trHeight w:val="288"/>
        </w:trPr>
        <w:tc>
          <w:tcPr>
            <w:tcW w:w="2695" w:type="dxa"/>
            <w:noWrap/>
            <w:vAlign w:val="bottom"/>
            <w:hideMark/>
          </w:tcPr>
          <w:p w14:paraId="0EDD5CC5" w14:textId="10C82F41"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Ganciclovir</w:t>
            </w:r>
          </w:p>
        </w:tc>
        <w:tc>
          <w:tcPr>
            <w:tcW w:w="1330" w:type="dxa"/>
            <w:noWrap/>
            <w:vAlign w:val="bottom"/>
            <w:hideMark/>
          </w:tcPr>
          <w:p w14:paraId="5D3CB2F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0.25</w:t>
            </w:r>
          </w:p>
        </w:tc>
        <w:tc>
          <w:tcPr>
            <w:tcW w:w="960" w:type="dxa"/>
            <w:noWrap/>
            <w:vAlign w:val="bottom"/>
            <w:hideMark/>
          </w:tcPr>
          <w:p w14:paraId="7CAB109C" w14:textId="54A0EB2C"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49A9312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7AD0529A" w14:textId="6D5F8D6B" w:rsidR="00CA3A28" w:rsidRPr="00367563" w:rsidRDefault="00791665"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{"citationID":"TqyImPZQ","properties":{"unsorted":false,"formattedCitation":"\\super 74\\nosupersub{}","plainCitation":"74","noteIndex":0},"citationItems":[{"id":1338,"uris":["http://zotero.org/users/7234110/items/QA2A3DTR"],"itemData":{"id":1338,"type":"article-journal","abstract":"In drug discovery, rats are widely used for pharmacological and toxicological studies. We previously reported that a mechanism-based oral absorption model, the gastrointestinal unified theoretical framework (GUT framework), can appropriately predict the fraction of a dose absorbed (Fa) in humans and dogs. However, there are large species differences between humans and rats. The purpose of the present study was to evaluate the predictability of the GUT framework for rat Fa.","container-title":"Pharmaceutical Research","DOI":"10.1007/s11095-022-03173-6","ISSN":"1573-904X","issue":"2","journalAbbreviation":"Pharm Res","language":"en","page":"359-373","source":"Springer Link","title":"Prediction of Oral Drug Absorption in Rats from In Vitro Data","volume":"40","author":[{"family":"Akiyama","given":"Yoshiyuki"},{"family":"Matsumura","given":"Naoya"},{"family":"Ono","given":"Asami"},{"family":"Hayashi","given":"Shun"},{"family":"Funaki","given":"Satoko"},{"family":"Tamura","given":"Naomi"},{"family":"Kimoto","given":"Takahiro"},{"family":"Jiko","given":"Maiko"},{"family":"Haruna","given":"Yuka"},{"family":"Sarashina","given":"Akiko"},{"family":"Ishida","given":"Masahiro"},{"family":"Nishiyama","given":"Kotaro"},{"family":"Fushimi","given":"Masahiro"},{"family":"Kojima","given":"Yukiko"},{"family":"Fujita","given":"Takuya"},{"family":"Sugano","given":"Kiyohiko"}],"issued":{"date-parts":[["2023",2,1]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74</w:t>
            </w:r>
            <w:r>
              <w:rPr>
                <w:rFonts w:ascii="Aptos Narrow" w:eastAsia="Times New Roman" w:hAnsi="Aptos Narrow" w:cs="Times New Roman"/>
                <w:color w:val="000000"/>
                <w:kern w:val="0"/>
                <w:sz w:val="22"/>
                <w:szCs w:val="22"/>
                <w14:ligatures w14:val="none"/>
              </w:rPr>
              <w:fldChar w:fldCharType="end"/>
            </w:r>
          </w:p>
        </w:tc>
      </w:tr>
      <w:tr w:rsidR="00CA3A28" w:rsidRPr="00367563" w14:paraId="4C289510" w14:textId="77777777" w:rsidTr="00CA3A28">
        <w:trPr>
          <w:trHeight w:val="288"/>
        </w:trPr>
        <w:tc>
          <w:tcPr>
            <w:tcW w:w="2695" w:type="dxa"/>
            <w:noWrap/>
            <w:vAlign w:val="bottom"/>
            <w:hideMark/>
          </w:tcPr>
          <w:p w14:paraId="38C1DAD4" w14:textId="513068C4"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Ledipasvir</w:t>
            </w:r>
          </w:p>
        </w:tc>
        <w:tc>
          <w:tcPr>
            <w:tcW w:w="1330" w:type="dxa"/>
            <w:noWrap/>
            <w:vAlign w:val="bottom"/>
            <w:hideMark/>
          </w:tcPr>
          <w:p w14:paraId="7FF4C2FD"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0.5</w:t>
            </w:r>
          </w:p>
        </w:tc>
        <w:tc>
          <w:tcPr>
            <w:tcW w:w="960" w:type="dxa"/>
            <w:noWrap/>
            <w:vAlign w:val="bottom"/>
            <w:hideMark/>
          </w:tcPr>
          <w:p w14:paraId="6BE96B2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74C0B21F"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1F7E5250" w14:textId="612A0144" w:rsidR="00CA3A28" w:rsidRPr="00367563" w:rsidRDefault="00C52F87"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{"citationID":"61NBbSHt","properties":{"unsorted":false,"formattedCitation":"\\super 10\\nosupersub{}","plainCitation":"10","noteIndex":0},"citationItems":[{"id":1248,"uris":["http://zotero.org/users/7234110/items/LQV7HY4X"],"itemData":{"id":1248,"type":"article-journal","abstract":"A new class of highly potent NS5A inhibitors with an unsymmetric benzimidazole-difluorofluorene-imidazole core and distal [2.2.1]azabicyclic ring system was discovered. Optimization of antiviral potency and pharmacokinetics led to the identification of 39 (ledipasvir, GS-5885). Compound 39 (GT1a replicon EC50 = 31 pM) has an extended plasma half-life of 37–45 h in healthy volunteers and produces a rapid &gt;3 log viral load reduction in monotherapy at oral doses of 3 mg or greater with once-daily dosing in genotype 1a HCV-infected patients. 39 has been shown to be safe and efficacious, with SVR12 rates up to 100% when used in combination with direct-acting antivirals having complementary mechanisms.","container-title":"Journal of Medicinal Chemistry","DOI":"10.1021/jm401499g","ISSN":"0022-2623","issue":"5","journalAbbreviation":"J. Med. Chem.","page":"2033-2046","publisher":"American Chemical Society","source":"ACS Publications","title":"Discovery of Ledipasvir (GS-5885): A Potent, Once-Daily Oral NS5A Inhibitor for the Treatment of Hepatitis C Virus Infection","title-short":"Discovery of Ledipasvir (GS-5885)","volume":"57","author":[{"family":"Link","given":"John O."},{"family":"Taylor","given":"James G."},{"family":"Xu","given":"Lianhong"},{"family":"Mitchell","given":"Michael"},{"family":"Guo","given":"Hongyan"},{"family":"Liu","given":"Hongtao"},{"family":"Kato","given":"Darryl"},{"family":"Kirschberg","given":"Thorsten"},{"family":"Sun","given":"Jianyu"},{"family":"Squires","given":"Neil"},{"family":"Parrish","given":"Jay"},{"family":"Keller","given":"Terry"},{"family":"Yang","given":"Zheng-Yu"},{"family":"Yang","given":"Chris"},{"family":"Matles","given":"Mike"},{"family":"Wang","given":"Yujin"},{"family":"Wang","given":"Kelly"},{"family":"Cheng","given":"Guofeng"},{"family":"Tian","given":"Yang"},{"family":"Mogalian","given":"Erik"},{"family":"Mondou","given":"Elsa"},{"family":"Cornpropst","given":"Melanie"},{"family":"Perry","given":"Jason"},{"family":"Desai","given":"Manoj C."}],"issued":{"date-parts":[["2014",3,13]]}}}],"schema":"https://github.com/citation-style-language/schema/raw/master/csl-citation.json"}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C52F87">
              <w:rPr>
                <w:rFonts w:ascii="Aptos Narrow" w:hAnsi="Aptos Narrow" w:cs="Times New Roman"/>
                <w:kern w:val="0"/>
                <w:sz w:val="22"/>
                <w:vertAlign w:val="superscript"/>
              </w:rPr>
              <w:t>10</w:t>
            </w:r>
            <w:r>
              <w:rPr>
                <w:rFonts w:ascii="Aptos Narrow" w:eastAsia="Times New Roman" w:hAnsi="Aptos Narrow" w:cs="Times New Roman"/>
                <w:color w:val="000000"/>
                <w:kern w:val="0"/>
                <w:sz w:val="22"/>
                <w:szCs w:val="22"/>
                <w14:ligatures w14:val="none"/>
              </w:rPr>
              <w:fldChar w:fldCharType="end"/>
            </w:r>
          </w:p>
        </w:tc>
      </w:tr>
      <w:tr w:rsidR="00CA3A28" w:rsidRPr="00367563" w14:paraId="53BDB645" w14:textId="77777777" w:rsidTr="00CA3A28">
        <w:trPr>
          <w:trHeight w:val="288"/>
        </w:trPr>
        <w:tc>
          <w:tcPr>
            <w:tcW w:w="2695" w:type="dxa"/>
            <w:noWrap/>
            <w:vAlign w:val="bottom"/>
            <w:hideMark/>
          </w:tcPr>
          <w:p w14:paraId="4BEB6406" w14:textId="5370BFFA"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Ledipasvir</w:t>
            </w:r>
          </w:p>
        </w:tc>
        <w:tc>
          <w:tcPr>
            <w:tcW w:w="1330" w:type="dxa"/>
            <w:noWrap/>
            <w:vAlign w:val="bottom"/>
            <w:hideMark/>
          </w:tcPr>
          <w:p w14:paraId="20691286"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0.25</w:t>
            </w:r>
          </w:p>
        </w:tc>
        <w:tc>
          <w:tcPr>
            <w:tcW w:w="960" w:type="dxa"/>
            <w:noWrap/>
            <w:vAlign w:val="bottom"/>
            <w:hideMark/>
          </w:tcPr>
          <w:p w14:paraId="79F85812" w14:textId="6B4124A5"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4757AFF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0A0743B9" w14:textId="3BB44F8E" w:rsidR="00CA3A28" w:rsidRPr="00367563" w:rsidRDefault="00C52F87"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Pr>
                <w:rFonts w:ascii="Aptos Narrow" w:eastAsia="Times New Roman" w:hAnsi="Aptos Narrow" w:cs="Times New Roman"/>
                <w:color w:val="000000"/>
                <w:kern w:val="0"/>
                <w:sz w:val="22"/>
                <w:szCs w:val="22"/>
                <w14:ligatures w14:val="none"/>
              </w:rPr>
              <w:instrText xml:space="preserve"> ADDIN ZOTERO_ITEM CSL_CITATION {"citationID":"nZoryPUc","properties":{"unsorted":false,"formattedCitation":"\\super 10\\nosupersub{}","plainCitation":"10","noteIndex":0},"citationItems":[{"id":1248,"uris":["http://zotero.org/users/7234110/items/LQV7HY4X"],"itemData":{"id":1248,"type":"article-journal","abstract":"A new class of highly potent NS5A inhibitors with an unsymmetric benzimidazole-difluorofluorene-imidazole core and distal [2.2.1]azabicyclic ring system was discovered. Optimization of antiviral potency and pharmacokinetics led to the identification of 39 (ledipasvir, GS-5885). Compound 39 (GT1a replicon EC50 = 31 pM) has an extended plasma half-life of 37–45 h in healthy volunteers and produces a rapid &gt;3 log viral load reduction in monotherapy at oral doses of 3 mg or greater with once-daily dosing in genotype 1a HCV-infected patients. 39 has been shown to be safe and efficacious, with SVR12 rates up to 100% when used in combination with direct-acting antivirals having complementary mechanisms.","container-title":"Journal of Medicinal Chemistry","DOI":"10.1021/jm401499g","ISSN":"0022-2623","issue":"5","journalAbbreviation":"J. Med. Chem.","page":"2033-2046","publisher":"American Chemical Society","source":"ACS Publications","title":"Discovery of Ledipasvir (GS-5885): A Potent, Once-Daily Oral NS5A Inhibitor for the Treatment of Hepatitis C Virus Infection","title-short":"Discovery of Ledipasvir (GS-5885)","volume":"57","author":[{"family":"Link","given":"John O."},{"family":"Taylor","given":"James G."},{"family":"Xu","given":"Lianhong"},{"family":"Mitchell","given":"Michael"},{"family":"Guo","given":"Hongyan"},{"family":"Liu","given":"Hongtao"},{"family":"Kato","given":"Darryl"},{"family":"Kirschberg","given":"Thorsten"},{"family":"Sun","given":"Jianyu"},{"family":"Squires","given":"Neil"},{"family":"Parrish","given":"Jay"},{"family":"Keller","given":"Terry"},{"family":"Yang","given":"Zheng-Yu"},{"family":"Yang","given":"Chris"},{"family":"Matles","given":"Mike"},{"family":"Wang","given":"Yujin"},{"family":"Wang","given":"Kelly"},{"family":"Cheng","given":"Guofeng"},{"family":"Tian","given":"Yang"},{"family":"Mogalian","given":"Erik"},{"family":"Mondou","given":"Elsa"},{"family":"Cornpropst","given":"Melanie"},{"family":"Perry","given":"Jason"},{"family":"Desai","given":"Manoj C."}],"issued":{"date-parts":[["2014",3,13]]}}}],"schema":"https://github.com/citation-style-language/schema/raw/master/csl-citation.json"}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Pr="00C52F87">
              <w:rPr>
                <w:rFonts w:ascii="Aptos Narrow" w:hAnsi="Aptos Narrow" w:cs="Times New Roman"/>
                <w:kern w:val="0"/>
                <w:sz w:val="22"/>
                <w:vertAlign w:val="superscript"/>
              </w:rPr>
              <w:t>10</w:t>
            </w:r>
            <w:r>
              <w:rPr>
                <w:rFonts w:ascii="Aptos Narrow" w:eastAsia="Times New Roman" w:hAnsi="Aptos Narrow" w:cs="Times New Roman"/>
                <w:color w:val="000000"/>
                <w:kern w:val="0"/>
                <w:sz w:val="22"/>
                <w:szCs w:val="22"/>
                <w14:ligatures w14:val="none"/>
              </w:rPr>
              <w:fldChar w:fldCharType="end"/>
            </w:r>
          </w:p>
        </w:tc>
      </w:tr>
      <w:tr w:rsidR="00CA3A28" w:rsidRPr="00367563" w14:paraId="05086295" w14:textId="77777777" w:rsidTr="00CA3A28">
        <w:trPr>
          <w:trHeight w:val="288"/>
        </w:trPr>
        <w:tc>
          <w:tcPr>
            <w:tcW w:w="2695" w:type="dxa"/>
            <w:noWrap/>
            <w:vAlign w:val="bottom"/>
            <w:hideMark/>
          </w:tcPr>
          <w:p w14:paraId="30065966" w14:textId="34B0F942"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Muraglitazar</w:t>
            </w:r>
          </w:p>
        </w:tc>
        <w:tc>
          <w:tcPr>
            <w:tcW w:w="1330" w:type="dxa"/>
            <w:noWrap/>
            <w:vAlign w:val="bottom"/>
            <w:hideMark/>
          </w:tcPr>
          <w:p w14:paraId="7EA059D8"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2.75</w:t>
            </w:r>
          </w:p>
        </w:tc>
        <w:tc>
          <w:tcPr>
            <w:tcW w:w="960" w:type="dxa"/>
            <w:noWrap/>
            <w:vAlign w:val="bottom"/>
            <w:hideMark/>
          </w:tcPr>
          <w:p w14:paraId="68A3B1B9"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6AE5E29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1032B9A3" w14:textId="2F824AD4" w:rsidR="00CA3A28" w:rsidRPr="00367563" w:rsidRDefault="00B9660C"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876D34">
              <w:rPr>
                <w:rFonts w:ascii="Aptos Narrow" w:eastAsia="Times New Roman" w:hAnsi="Aptos Narrow" w:cs="Times New Roman"/>
                <w:color w:val="000000"/>
                <w:kern w:val="0"/>
                <w:sz w:val="22"/>
                <w:szCs w:val="22"/>
                <w14:ligatures w14:val="none"/>
              </w:rPr>
              <w:instrText xml:space="preserve"> ADDIN ZOTERO_ITEM CSL_CITATION {"citationID":"VkZURpFf","properties":{"unsorted":false,"formattedCitation":"\\super 11\\nosupersub{}","plainCitation":"11","noteIndex":0},"citationItems":[{"id":1324,"uris":["http://zotero.org/users/7234110/items/YUR8JUE9"],"itemData":{"id":1324,"type":"article-journal","container-title":"Drug Metabolism and Disposition","DOI":"10.1124/dmd.106.012450","ISSN":"0090-9556, 1521-009X","issue":"1","journalAbbreviation":"Drug Metabolism and Disposition","language":"English","page":"150-167","PMID":"17062777","publisher":"Elsevier","source":"dmd.aspetjournals.org","title":"Comparative Metabolism of Radiolabeled Muraglitazar in Animals and Humans by Quantitative and Qualitative Metabolite Profiling","volume":"35","author":[{"family":"Zhang","given":"Donglu"},{"family":"Wang","given":"Lifei"},{"family":"Raghavan","given":"Nirmala"},{"family":"Zhang","given":"Haiying"},{"family":"Li","given":"Wenying"},{"family":"Cheng","given":"Peter T."},{"family":"Yao","given":"Ming"},{"family":"Zhang","given":"Litao"},{"family":"Zhu","given":"Mingshe"},{"family":"Bonacorsi","given":"Samuel"},{"family":"Yeola","given":"Suresh"},{"family":"Mitroka","given":"James"},{"family":"Hariharan","given":"Narayanan"},{"family":"Hosagrahara","given":"Vinayak"},{"family":"Chandrasena","given":"Gamini"},{"family":"Shyu","given":"Wen Chyi"},{"family":"Humphreys","given":"W. Griffith"}],"issued":{"date-parts":[["2007",1,1]]}}}],"schema":"https://github.com/citation-style-language/schema/raw/master/csl-citation.json"}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876D34" w:rsidRPr="00876D34">
              <w:rPr>
                <w:rFonts w:ascii="Aptos Narrow" w:hAnsi="Aptos Narrow" w:cs="Times New Roman"/>
                <w:kern w:val="0"/>
                <w:sz w:val="22"/>
                <w:vertAlign w:val="superscript"/>
              </w:rPr>
              <w:t>11</w:t>
            </w:r>
            <w:r>
              <w:rPr>
                <w:rFonts w:ascii="Aptos Narrow" w:eastAsia="Times New Roman" w:hAnsi="Aptos Narrow" w:cs="Times New Roman"/>
                <w:color w:val="000000"/>
                <w:kern w:val="0"/>
                <w:sz w:val="22"/>
                <w:szCs w:val="22"/>
                <w14:ligatures w14:val="none"/>
              </w:rPr>
              <w:fldChar w:fldCharType="end"/>
            </w:r>
          </w:p>
        </w:tc>
      </w:tr>
      <w:tr w:rsidR="00CA3A28" w:rsidRPr="00367563" w14:paraId="32295119" w14:textId="77777777" w:rsidTr="00CA3A28">
        <w:trPr>
          <w:trHeight w:val="288"/>
        </w:trPr>
        <w:tc>
          <w:tcPr>
            <w:tcW w:w="2695" w:type="dxa"/>
            <w:noWrap/>
            <w:vAlign w:val="bottom"/>
            <w:hideMark/>
          </w:tcPr>
          <w:p w14:paraId="2DBAA2BB" w14:textId="1FF4D139"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proofErr w:type="spellStart"/>
            <w:r w:rsidRPr="00367563">
              <w:rPr>
                <w:rFonts w:ascii="Aptos Narrow" w:eastAsia="Times New Roman" w:hAnsi="Aptos Narrow" w:cs="Times New Roman"/>
                <w:color w:val="000000"/>
                <w:kern w:val="0"/>
                <w:sz w:val="22"/>
                <w:szCs w:val="22"/>
                <w14:ligatures w14:val="none"/>
              </w:rPr>
              <w:t>Nimustine</w:t>
            </w:r>
            <w:proofErr w:type="spellEnd"/>
          </w:p>
        </w:tc>
        <w:tc>
          <w:tcPr>
            <w:tcW w:w="1330" w:type="dxa"/>
            <w:noWrap/>
            <w:vAlign w:val="bottom"/>
            <w:hideMark/>
          </w:tcPr>
          <w:p w14:paraId="6C01A70A"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10</w:t>
            </w:r>
          </w:p>
        </w:tc>
        <w:tc>
          <w:tcPr>
            <w:tcW w:w="960" w:type="dxa"/>
            <w:noWrap/>
            <w:vAlign w:val="bottom"/>
            <w:hideMark/>
          </w:tcPr>
          <w:p w14:paraId="167212F0" w14:textId="3B1C3330" w:rsidR="00CA3A28" w:rsidRPr="00367563" w:rsidRDefault="00FC471F"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IV</w:t>
            </w:r>
          </w:p>
        </w:tc>
        <w:tc>
          <w:tcPr>
            <w:tcW w:w="1147" w:type="dxa"/>
            <w:noWrap/>
            <w:vAlign w:val="bottom"/>
            <w:hideMark/>
          </w:tcPr>
          <w:p w14:paraId="314D2EAC"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790439C6" w14:textId="5182412B" w:rsidR="00CA3A28" w:rsidRPr="00367563" w:rsidRDefault="00B8309A"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876D34">
              <w:rPr>
                <w:rFonts w:ascii="Aptos Narrow" w:eastAsia="Times New Roman" w:hAnsi="Aptos Narrow" w:cs="Times New Roman"/>
                <w:color w:val="000000"/>
                <w:kern w:val="0"/>
                <w:sz w:val="22"/>
                <w:szCs w:val="22"/>
                <w14:ligatures w14:val="none"/>
              </w:rPr>
              <w:instrText xml:space="preserve"> ADDIN ZOTERO_ITEM CSL_CITATION {"citationID":"gWGN6d22","properties":{"unsorted":false,"formattedCitation":"\\super 12\\nosupersub{}","plainCitation":"12","noteIndex":0},"citationItems":[{"id":1254,"uris":["http://zotero.org/users/7234110/items/AATMU2HT"],"itemData":{"id":1254,"type":"article-journal","abstract":"Plasma concentration-time profiles of nimustine hydrochloride, 1-[(4-amino-2-methyl-5-pyrimidinyl)methyl]-3-(2-chloroethyl)-3-nitrosour ea hydrochloride (ACNU), in the mouse, rat, rabbit, and dog were determined by high-performance liquid chromatographic analysis. The pharmacokinetic parameters for these four animal species and previously reported clinical data were analyzed for investigation of interspecies correlation. Log-log plots of body weight (W; kg) vs total plasma clearance (CLtot,p; ml/min) and steady-state distribution volume (Vd,ss; l) for the four animal species were linear, with high correlation coefficients (r 0.996 for both parameters), despite the fact that the nonrenal clearance was greater than 97% in these species. Linear regression on the plots excluding human data yielded allometric equations (CLtot,p = 50.6 W0.957; Vd, ss = 1.29 W1.03) that were extrapolated to predict ACNU pharmacokinetic parameters in humans. For both parameters, however, there were 3-fold differences between the predicted and observed parametric values. To investigate these discrepancies, we measured serum protein binding of ACNU in these animal species and in humans. The values of CLtot,p and Vd,ss were converted into those of CLutot,p and Vd,uss, which correspond to the parameters for unbound ACNU. In this case, correlation coefficients of the log-log plots excluding human data (CLutot,p = 71.7 W0.891; Vd,uss = 1.82 W0.966) were also high (r greater than or equal to 0.991). The extrapolated values vs those observed in a 70-kg human were the following: CLutot,p, 3,160 vs 2,290 ml/min; Vd,uss, 110 vs 106 l. Thus, the animal data were successfully extrapolated to yield better predictions of human pharmacokinetic parameters if the analysis was based on the unbound plasma concentration of ACNU. In addition, the predicted plasma concentration-time profile for humans also showed good agreement with the observed ones. These results suggest the importance of measuring unbound fractions of drugs for more accurate prediction of human pharmacokinetic parameters by extrapolation of animal data to the human situation.","container-title":"Cancer Chemotherapy and Pharmacology","DOI":"10.1007/BF00689271","ISSN":"0344-5704","issue":"1","journalAbbreviation":"Cancer Chemother Pharmacol","language":"eng","page":"20-26","PMID":"2245489","source":"PubMed","title":"Prediction of ACNU plasma concentration-time profiles in humans by animal scale-up","volume":"27","author":[{"family":"Mitsuhashi","given":"Y."},{"family":"Sugiyama","given":"Y."},{"family":"Ozawa","given":"S."},{"family":"Nitanai","given":"T."},{"family":"Sasahara","given":"K."},{"family":"Nakamura","given":"K."},{"family":"Tanaka","given":"M."},{"family":"Nishimura","given":"T."},{"family":"Inaba","given":"M."},{"family":"Kobayashi","given":"T."}],"issued":{"date-parts":[["1990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876D34" w:rsidRPr="00876D34">
              <w:rPr>
                <w:rFonts w:ascii="Aptos Narrow" w:hAnsi="Aptos Narrow" w:cs="Times New Roman"/>
                <w:kern w:val="0"/>
                <w:sz w:val="22"/>
                <w:vertAlign w:val="superscript"/>
              </w:rPr>
              <w:t>12</w:t>
            </w:r>
            <w:r>
              <w:rPr>
                <w:rFonts w:ascii="Aptos Narrow" w:eastAsia="Times New Roman" w:hAnsi="Aptos Narrow" w:cs="Times New Roman"/>
                <w:color w:val="000000"/>
                <w:kern w:val="0"/>
                <w:sz w:val="22"/>
                <w:szCs w:val="22"/>
                <w14:ligatures w14:val="none"/>
              </w:rPr>
              <w:fldChar w:fldCharType="end"/>
            </w:r>
          </w:p>
        </w:tc>
      </w:tr>
      <w:tr w:rsidR="00CA3A28" w:rsidRPr="00367563" w14:paraId="24868629" w14:textId="77777777" w:rsidTr="00CA3A28">
        <w:trPr>
          <w:trHeight w:val="288"/>
        </w:trPr>
        <w:tc>
          <w:tcPr>
            <w:tcW w:w="2695" w:type="dxa"/>
            <w:noWrap/>
            <w:vAlign w:val="bottom"/>
            <w:hideMark/>
          </w:tcPr>
          <w:p w14:paraId="761902C5" w14:textId="77777777"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PB-93</w:t>
            </w:r>
          </w:p>
        </w:tc>
        <w:tc>
          <w:tcPr>
            <w:tcW w:w="1330" w:type="dxa"/>
            <w:noWrap/>
            <w:vAlign w:val="bottom"/>
            <w:hideMark/>
          </w:tcPr>
          <w:p w14:paraId="388C45D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12.5</w:t>
            </w:r>
          </w:p>
        </w:tc>
        <w:tc>
          <w:tcPr>
            <w:tcW w:w="960" w:type="dxa"/>
            <w:noWrap/>
            <w:vAlign w:val="bottom"/>
            <w:hideMark/>
          </w:tcPr>
          <w:p w14:paraId="78600FC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184990B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5940C305" w14:textId="08CBDEE0" w:rsidR="00CA3A28" w:rsidRPr="00367563" w:rsidRDefault="000777C6"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C92566">
              <w:rPr>
                <w:rFonts w:ascii="Aptos Narrow" w:eastAsia="Times New Roman" w:hAnsi="Aptos Narrow" w:cs="Times New Roman"/>
                <w:color w:val="000000"/>
                <w:kern w:val="0"/>
                <w:sz w:val="22"/>
                <w:szCs w:val="22"/>
                <w14:ligatures w14:val="none"/>
              </w:rPr>
              <w:instrText xml:space="preserve"> ADDIN ZOTERO_ITEM CSL_CITATION {"citationID":"THztFUrt","properties":{"unsorted":false,"formattedCitation":"\\super 76\\nosupersub{}","plainCitation":"76","noteIndex":0},"citationItems":[{"id":1336,"uris":["http://zotero.org/users/7234110/items/EN3C9DMG"],"itemData":{"id":1336,"type":"webpage","title":"Efficacy, Pharmacokinetics, and Metabolism of Tetrahydroquinoline Inhibitors of Plasmodium falciparum Protein Farnesyltransferase | Antimicrobial Agents and Chemotherapy","URL":"https://journals.asm.org/doi/10.1128/aac.00246-07","accessed":{"date-parts":[["2026",6,30]]}}}],"schema":"https://github.com/citation-style-language/schema/raw/master/csl-citation.json"}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C92566" w:rsidRPr="00C92566">
              <w:rPr>
                <w:rFonts w:ascii="Aptos Narrow" w:hAnsi="Aptos Narrow" w:cs="Times New Roman"/>
                <w:kern w:val="0"/>
                <w:sz w:val="22"/>
                <w:vertAlign w:val="superscript"/>
              </w:rPr>
              <w:t>76</w:t>
            </w:r>
            <w:r>
              <w:rPr>
                <w:rFonts w:ascii="Aptos Narrow" w:eastAsia="Times New Roman" w:hAnsi="Aptos Narrow" w:cs="Times New Roman"/>
                <w:color w:val="000000"/>
                <w:kern w:val="0"/>
                <w:sz w:val="22"/>
                <w:szCs w:val="22"/>
                <w14:ligatures w14:val="none"/>
              </w:rPr>
              <w:fldChar w:fldCharType="end"/>
            </w:r>
          </w:p>
        </w:tc>
      </w:tr>
      <w:tr w:rsidR="00CA3A28" w:rsidRPr="00367563" w14:paraId="5C080BFC" w14:textId="77777777" w:rsidTr="00CA3A28">
        <w:trPr>
          <w:trHeight w:val="288"/>
        </w:trPr>
        <w:tc>
          <w:tcPr>
            <w:tcW w:w="2695" w:type="dxa"/>
            <w:noWrap/>
            <w:vAlign w:val="bottom"/>
            <w:hideMark/>
          </w:tcPr>
          <w:p w14:paraId="57D5A996" w14:textId="5D7EBC01" w:rsidR="00CA3A28" w:rsidRPr="00367563" w:rsidRDefault="00CA3A28" w:rsidP="00CA3A28">
            <w:pPr>
              <w:spacing w:after="0" w:line="240" w:lineRule="auto"/>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Ritonavir</w:t>
            </w:r>
          </w:p>
        </w:tc>
        <w:tc>
          <w:tcPr>
            <w:tcW w:w="1330" w:type="dxa"/>
            <w:noWrap/>
            <w:vAlign w:val="bottom"/>
            <w:hideMark/>
          </w:tcPr>
          <w:p w14:paraId="3AD7BF67"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2.5</w:t>
            </w:r>
          </w:p>
        </w:tc>
        <w:tc>
          <w:tcPr>
            <w:tcW w:w="960" w:type="dxa"/>
            <w:noWrap/>
            <w:vAlign w:val="bottom"/>
            <w:hideMark/>
          </w:tcPr>
          <w:p w14:paraId="01D69914"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IRS</w:t>
            </w:r>
          </w:p>
        </w:tc>
        <w:tc>
          <w:tcPr>
            <w:tcW w:w="1147" w:type="dxa"/>
            <w:noWrap/>
            <w:vAlign w:val="bottom"/>
            <w:hideMark/>
          </w:tcPr>
          <w:p w14:paraId="20BB52C2" w14:textId="77777777"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sidRPr="00367563">
              <w:rPr>
                <w:rFonts w:ascii="Aptos Narrow" w:eastAsia="Times New Roman" w:hAnsi="Aptos Narrow" w:cs="Times New Roman"/>
                <w:color w:val="000000"/>
                <w:kern w:val="0"/>
                <w:sz w:val="22"/>
                <w:szCs w:val="22"/>
                <w14:ligatures w14:val="none"/>
              </w:rPr>
              <w:t>rat</w:t>
            </w:r>
          </w:p>
        </w:tc>
        <w:tc>
          <w:tcPr>
            <w:tcW w:w="1209" w:type="dxa"/>
            <w:noWrap/>
            <w:vAlign w:val="bottom"/>
            <w:hideMark/>
          </w:tcPr>
          <w:p w14:paraId="4D62A2B0" w14:textId="3FFFB9D6" w:rsidR="00CA3A28" w:rsidRPr="00367563" w:rsidRDefault="00CA3A28" w:rsidP="00CA3A28">
            <w:pPr>
              <w:spacing w:after="0" w:line="240" w:lineRule="auto"/>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fldChar w:fldCharType="begin"/>
            </w:r>
            <w:r w:rsidR="00876D34">
              <w:rPr>
                <w:rFonts w:ascii="Aptos Narrow" w:eastAsia="Times New Roman" w:hAnsi="Aptos Narrow" w:cs="Times New Roman"/>
                <w:color w:val="000000"/>
                <w:kern w:val="0"/>
                <w:sz w:val="22"/>
                <w:szCs w:val="22"/>
                <w14:ligatures w14:val="none"/>
              </w:rPr>
              <w:instrText xml:space="preserve"> ADDIN ZOTERO_ITEM CSL_CITATION {"citationID":"YaOe1vS4","properties":{"unsorted":false,"formattedCitation":"\\super 13\\nosupersub{}","plainCitation":"13","noteIndex":0},"citationItems":[{"id":1232,"uris":["http://zotero.org/users/7234110/items/94ZSSAVK"],"itemData":{"id":1232,"type":"article-journal","abstract":"The structure−activity studies leading to the potent and clinically efficacious HIV protease inhibitor ritonavir are described. Beginning with the moderately potent and orally bioavailable inhibitor A-80987, systematic investigation of peripheral (P3 and P2‘) heterocyclic groups designed to decrease the rate of hepatic metabolism provided analogues with improved pharmacokinetic properties after oral dosing in rats. Replacement of pyridyl groups with thiazoles provided increased chemical stability toward oxidation while maintaining sufficient aqueous solubility for oral absorption. Optimization of hydrophobic interactions with the HIV protease active site produced ritonavir, with excellent in vitro potency (EC50 = 0.02 μM) and high and sustained plasma concentrations after oral administration in four species. Details of the discovery and preclinical development of ritonavir are described.","container-title":"Journal of Medicinal Chemistry","DOI":"10.1021/jm970636+","ISSN":"0022-2623","issue":"4","journalAbbreviation":"J. Med. Chem.","page":"602-617","publisher":"American Chemical Society","source":"ACS Publications","title":"Discovery of Ritonavir, a Potent Inhibitor of HIV Protease with High Oral Bioavailability and Clinical Efficacy","volume":"41","author":[{"family":"Kempf","given":"Dale J."},{"family":"Sham","given":"Hing L."},{"family":"Marsh","given":"Kennan C."},{"family":"Flentge","given":"Charles A."},{"family":"Betebenner","given":"David"},{"family":"Green","given":"Brian E."},{"family":"McDonald","given":"Edith"},{"family":"Vasavanonda","given":"Sudthida"},{"family":"Saldivar","given":"Ayda"},{"family":"Wideburg","given":"Norman E."},{"family":"Kati","given":"Warren M."},{"family":"Ruiz","given":"Lisa"},{"family":"Zhao","given":"Chen"},{"family":"Fino","given":"LynnMarie"},{"family":"Patterson","given":"Jean"},{"family":"Molla","given":"Akhteruzzaman"},{"family":"Plattner","given":"Jacob J."},{"family":"Norbeck","given":"Daniel W."}],"issued":{"date-parts":[["1998",2,1]]}}}],"schema":"https://github.com/citation-style-language/schema/raw/master/csl-citation.json"} </w:instrText>
            </w:r>
            <w:r>
              <w:rPr>
                <w:rFonts w:ascii="Aptos Narrow" w:eastAsia="Times New Roman" w:hAnsi="Aptos Narrow" w:cs="Times New Roman"/>
                <w:color w:val="000000"/>
                <w:kern w:val="0"/>
                <w:sz w:val="22"/>
                <w:szCs w:val="22"/>
                <w14:ligatures w14:val="none"/>
              </w:rPr>
              <w:fldChar w:fldCharType="separate"/>
            </w:r>
            <w:r w:rsidR="00876D34" w:rsidRPr="00876D34">
              <w:rPr>
                <w:rFonts w:ascii="Aptos Narrow" w:hAnsi="Aptos Narrow" w:cs="Times New Roman"/>
                <w:kern w:val="0"/>
                <w:sz w:val="22"/>
                <w:vertAlign w:val="superscript"/>
              </w:rPr>
              <w:t>13</w:t>
            </w:r>
            <w:r>
              <w:rPr>
                <w:rFonts w:ascii="Aptos Narrow" w:eastAsia="Times New Roman" w:hAnsi="Aptos Narrow" w:cs="Times New Roman"/>
                <w:color w:val="000000"/>
                <w:kern w:val="0"/>
                <w:sz w:val="22"/>
                <w:szCs w:val="22"/>
                <w14:ligatures w14:val="none"/>
              </w:rPr>
              <w:fldChar w:fldCharType="end"/>
            </w:r>
          </w:p>
        </w:tc>
      </w:tr>
    </w:tbl>
    <w:p w14:paraId="56017B92" w14:textId="77777777" w:rsidR="00367563" w:rsidRDefault="00367563"/>
    <w:p w14:paraId="7C91C37C" w14:textId="7FC4FABD" w:rsidR="00B548C7" w:rsidRDefault="00B548C7">
      <w:r>
        <w:t xml:space="preserve">References: </w:t>
      </w:r>
    </w:p>
    <w:p w14:paraId="29F21761" w14:textId="77777777" w:rsidR="00B548C7" w:rsidRPr="00B548C7" w:rsidRDefault="00B548C7" w:rsidP="00B548C7">
      <w:pPr>
        <w:pStyle w:val="Bibliography"/>
      </w:pPr>
      <w:r>
        <w:fldChar w:fldCharType="begin"/>
      </w:r>
      <w:r>
        <w:instrText xml:space="preserve"> ADDIN ZOTERO_BIBL {"uncited":[],"omitted":[],"custom":[]} CSL_BIBLIOGRAPHY </w:instrText>
      </w:r>
      <w:r>
        <w:fldChar w:fldCharType="separate"/>
      </w:r>
      <w:r w:rsidRPr="00B548C7">
        <w:t>(1)</w:t>
      </w:r>
      <w:r w:rsidRPr="00B548C7">
        <w:tab/>
      </w:r>
      <w:proofErr w:type="spellStart"/>
      <w:r w:rsidRPr="00B548C7">
        <w:t>Vidadala</w:t>
      </w:r>
      <w:proofErr w:type="spellEnd"/>
      <w:r w:rsidRPr="00B548C7">
        <w:t xml:space="preserve">, R. S. R.; Rivas, K. L.; Ojo, K. K.; </w:t>
      </w:r>
      <w:proofErr w:type="spellStart"/>
      <w:r w:rsidRPr="00B548C7">
        <w:t>Hulverson</w:t>
      </w:r>
      <w:proofErr w:type="spellEnd"/>
      <w:r w:rsidRPr="00B548C7">
        <w:t xml:space="preserve">, M. A.; </w:t>
      </w:r>
      <w:proofErr w:type="spellStart"/>
      <w:r w:rsidRPr="00B548C7">
        <w:t>Zambriski</w:t>
      </w:r>
      <w:proofErr w:type="spellEnd"/>
      <w:r w:rsidRPr="00B548C7">
        <w:t xml:space="preserve">, J. A.; Bruzual, I.; Schultz, T. L.; Huang, W.; Zhang, Z.; Scheele, S.; DeRocher, A. E.; Choi, R.; Barrett, L. K.; Siddaramaiah, L. K.; Hol, W. G. J.; Fan, E.; Merritt, E. A.; Parsons, M.; Freiberg, G.; Marsh, K.; Kempf, D. J.; Carruthers, V. B.; </w:t>
      </w:r>
      <w:proofErr w:type="spellStart"/>
      <w:r w:rsidRPr="00B548C7">
        <w:t>Isoherranen</w:t>
      </w:r>
      <w:proofErr w:type="spellEnd"/>
      <w:r w:rsidRPr="00B548C7">
        <w:t>, N.; Doggett, J. S.; Van Voorhis, W. C.; Maly, D. J. Development of an Orally Available and Central Nervous System (CNS) Penetrant Toxoplasma Gondii Calcium-Dependent Protein Kinase 1 (TgCDPK1) Inhibitor with Minimal Human Ether-a-Go-Go-Related Gene (</w:t>
      </w:r>
      <w:proofErr w:type="spellStart"/>
      <w:r w:rsidRPr="00B548C7">
        <w:t>hERG</w:t>
      </w:r>
      <w:proofErr w:type="spellEnd"/>
      <w:r w:rsidRPr="00B548C7">
        <w:t xml:space="preserve">) Activity for the </w:t>
      </w:r>
      <w:r w:rsidRPr="00B548C7">
        <w:lastRenderedPageBreak/>
        <w:t xml:space="preserve">Treatment of Toxoplasmosis. </w:t>
      </w:r>
      <w:r w:rsidRPr="00B548C7">
        <w:rPr>
          <w:i/>
          <w:iCs/>
        </w:rPr>
        <w:t>J. Med. Chem.</w:t>
      </w:r>
      <w:r w:rsidRPr="00B548C7">
        <w:t xml:space="preserve"> </w:t>
      </w:r>
      <w:r w:rsidRPr="00B548C7">
        <w:rPr>
          <w:b/>
          <w:bCs/>
        </w:rPr>
        <w:t>2016</w:t>
      </w:r>
      <w:r w:rsidRPr="00B548C7">
        <w:t xml:space="preserve">, </w:t>
      </w:r>
      <w:r w:rsidRPr="00B548C7">
        <w:rPr>
          <w:i/>
          <w:iCs/>
        </w:rPr>
        <w:t>59</w:t>
      </w:r>
      <w:r w:rsidRPr="00B548C7">
        <w:t xml:space="preserve"> (13), 6531–6546. https://doi.org/10.1021/acs.jmedchem.6b00760.</w:t>
      </w:r>
    </w:p>
    <w:p w14:paraId="4777A9EC" w14:textId="77777777" w:rsidR="00B548C7" w:rsidRPr="00B548C7" w:rsidRDefault="00B548C7" w:rsidP="00B548C7">
      <w:pPr>
        <w:pStyle w:val="Bibliography"/>
      </w:pPr>
      <w:r w:rsidRPr="00B548C7">
        <w:t>(2)</w:t>
      </w:r>
      <w:r w:rsidRPr="00B548C7">
        <w:tab/>
        <w:t xml:space="preserve">Cooper, M.; Llinas, A.; Hansen, P.; Caffrey, M.; Ray, A.; </w:t>
      </w:r>
      <w:proofErr w:type="spellStart"/>
      <w:r w:rsidRPr="00B548C7">
        <w:t>Sjödin</w:t>
      </w:r>
      <w:proofErr w:type="spellEnd"/>
      <w:r w:rsidRPr="00B548C7">
        <w:t xml:space="preserve">, S.; </w:t>
      </w:r>
      <w:proofErr w:type="spellStart"/>
      <w:r w:rsidRPr="00B548C7">
        <w:t>Shamovsky</w:t>
      </w:r>
      <w:proofErr w:type="spellEnd"/>
      <w:r w:rsidRPr="00B548C7">
        <w:t xml:space="preserve">, I.; Wada, H.; Jellesmark Jensen, T.; </w:t>
      </w:r>
      <w:proofErr w:type="spellStart"/>
      <w:r w:rsidRPr="00B548C7">
        <w:t>Sivars</w:t>
      </w:r>
      <w:proofErr w:type="spellEnd"/>
      <w:r w:rsidRPr="00B548C7">
        <w:t xml:space="preserve">, U.; Hultin, L.; Andersson, U.; Lundqvist, S.; Gedda, K.; </w:t>
      </w:r>
      <w:proofErr w:type="spellStart"/>
      <w:r w:rsidRPr="00B548C7">
        <w:t>Jinton</w:t>
      </w:r>
      <w:proofErr w:type="spellEnd"/>
      <w:r w:rsidRPr="00B548C7">
        <w:t xml:space="preserve">, L.; </w:t>
      </w:r>
      <w:proofErr w:type="spellStart"/>
      <w:r w:rsidRPr="00B548C7">
        <w:t>Krutrök</w:t>
      </w:r>
      <w:proofErr w:type="spellEnd"/>
      <w:r w:rsidRPr="00B548C7">
        <w:t xml:space="preserve">, N.; Lewis, R.; Jansson, P.; Gardelli, C. Identification and Optimization of Pyrrolidine Derivatives as Highly Potent Ghrelin Receptor Full Agonists. </w:t>
      </w:r>
      <w:r w:rsidRPr="00B548C7">
        <w:rPr>
          <w:i/>
          <w:iCs/>
        </w:rPr>
        <w:t>J. Med. Chem.</w:t>
      </w:r>
      <w:r w:rsidRPr="00B548C7">
        <w:t xml:space="preserve"> </w:t>
      </w:r>
      <w:r w:rsidRPr="00B548C7">
        <w:rPr>
          <w:b/>
          <w:bCs/>
        </w:rPr>
        <w:t>2020</w:t>
      </w:r>
      <w:r w:rsidRPr="00B548C7">
        <w:t xml:space="preserve">, </w:t>
      </w:r>
      <w:r w:rsidRPr="00B548C7">
        <w:rPr>
          <w:i/>
          <w:iCs/>
        </w:rPr>
        <w:t>63</w:t>
      </w:r>
      <w:r w:rsidRPr="00B548C7">
        <w:t xml:space="preserve"> (17), 9705–9730. https://doi.org/10.1021/acs.jmedchem.0c00828.</w:t>
      </w:r>
    </w:p>
    <w:p w14:paraId="54BEA53A" w14:textId="77777777" w:rsidR="00B548C7" w:rsidRPr="00B548C7" w:rsidRDefault="00B548C7" w:rsidP="00B548C7">
      <w:pPr>
        <w:pStyle w:val="Bibliography"/>
      </w:pPr>
      <w:r w:rsidRPr="00B548C7">
        <w:t>(3)</w:t>
      </w:r>
      <w:r w:rsidRPr="00B548C7">
        <w:tab/>
        <w:t xml:space="preserve">Boyd, S. A.; Fung, A. K. L.; Baker, W. R.; Mantei, R. A.; Stein, H. H.; Cohen, J.; Barlow, J. L.; </w:t>
      </w:r>
      <w:proofErr w:type="spellStart"/>
      <w:r w:rsidRPr="00B548C7">
        <w:t>Klinghofer</w:t>
      </w:r>
      <w:proofErr w:type="spellEnd"/>
      <w:r w:rsidRPr="00B548C7">
        <w:t xml:space="preserve">, V.; </w:t>
      </w:r>
      <w:proofErr w:type="spellStart"/>
      <w:r w:rsidRPr="00B548C7">
        <w:t>Wessale</w:t>
      </w:r>
      <w:proofErr w:type="spellEnd"/>
      <w:r w:rsidRPr="00B548C7">
        <w:t xml:space="preserve">, J. L. Nonpeptide Renin Inhibitors with Good Intraduodenal Bioavailability and Efficacy in Dog. </w:t>
      </w:r>
      <w:r w:rsidRPr="00B548C7">
        <w:rPr>
          <w:i/>
          <w:iCs/>
        </w:rPr>
        <w:t>J. Med. Chem.</w:t>
      </w:r>
      <w:r w:rsidRPr="00B548C7">
        <w:t xml:space="preserve"> </w:t>
      </w:r>
      <w:r w:rsidRPr="00B548C7">
        <w:rPr>
          <w:b/>
          <w:bCs/>
        </w:rPr>
        <w:t>1994</w:t>
      </w:r>
      <w:r w:rsidRPr="00B548C7">
        <w:t xml:space="preserve">, </w:t>
      </w:r>
      <w:r w:rsidRPr="00B548C7">
        <w:rPr>
          <w:i/>
          <w:iCs/>
        </w:rPr>
        <w:t>37</w:t>
      </w:r>
      <w:r w:rsidRPr="00B548C7">
        <w:t xml:space="preserve"> (19), 2991–3007. https://doi.org/10.1021/jm00045a003.</w:t>
      </w:r>
    </w:p>
    <w:p w14:paraId="30D5862D" w14:textId="77777777" w:rsidR="00B548C7" w:rsidRPr="00B548C7" w:rsidRDefault="00B548C7" w:rsidP="00B548C7">
      <w:pPr>
        <w:pStyle w:val="Bibliography"/>
      </w:pPr>
      <w:r w:rsidRPr="00B548C7">
        <w:t>(4)</w:t>
      </w:r>
      <w:r w:rsidRPr="00B548C7">
        <w:tab/>
      </w:r>
      <w:r w:rsidRPr="00B548C7">
        <w:rPr>
          <w:i/>
          <w:iCs/>
        </w:rPr>
        <w:t>Design of Thioether Cyclic Peptide Scaffolds with Passive Permeability and Oral Exposure | Journal of Medicinal Chemistry</w:t>
      </w:r>
      <w:r w:rsidRPr="00B548C7">
        <w:t xml:space="preserve">. </w:t>
      </w:r>
      <w:proofErr w:type="gramStart"/>
      <w:r w:rsidRPr="00B548C7">
        <w:t>https://pubs.acs.org/doi/10.1021/acs.jmedchem.0c01505 (accessed 2026-06-09).</w:t>
      </w:r>
      <w:proofErr w:type="gramEnd"/>
    </w:p>
    <w:p w14:paraId="0A89399A" w14:textId="77777777" w:rsidR="00B548C7" w:rsidRPr="00B548C7" w:rsidRDefault="00B548C7" w:rsidP="00B548C7">
      <w:pPr>
        <w:pStyle w:val="Bibliography"/>
      </w:pPr>
      <w:r w:rsidRPr="00B548C7">
        <w:t>(5)</w:t>
      </w:r>
      <w:r w:rsidRPr="00B548C7">
        <w:tab/>
        <w:t xml:space="preserve">Vegas </w:t>
      </w:r>
      <w:proofErr w:type="spellStart"/>
      <w:r w:rsidRPr="00B548C7">
        <w:t>Cómitre</w:t>
      </w:r>
      <w:proofErr w:type="spellEnd"/>
      <w:r w:rsidRPr="00B548C7">
        <w:t xml:space="preserve">, M. D.; </w:t>
      </w:r>
      <w:proofErr w:type="spellStart"/>
      <w:r w:rsidRPr="00B548C7">
        <w:t>Cortellini</w:t>
      </w:r>
      <w:proofErr w:type="spellEnd"/>
      <w:r w:rsidRPr="00B548C7">
        <w:t xml:space="preserve">, S.; </w:t>
      </w:r>
      <w:proofErr w:type="spellStart"/>
      <w:r w:rsidRPr="00B548C7">
        <w:t>Cherlet</w:t>
      </w:r>
      <w:proofErr w:type="spellEnd"/>
      <w:r w:rsidRPr="00B548C7">
        <w:t>, M.; Devreese, M.; Roques, B. B.; Bousquet-</w:t>
      </w:r>
      <w:proofErr w:type="spellStart"/>
      <w:r w:rsidRPr="00B548C7">
        <w:t>Melou</w:t>
      </w:r>
      <w:proofErr w:type="spellEnd"/>
      <w:r w:rsidRPr="00B548C7">
        <w:t xml:space="preserve">, A.; Toutain, P.-L.; </w:t>
      </w:r>
      <w:proofErr w:type="spellStart"/>
      <w:r w:rsidRPr="00B548C7">
        <w:t>Pelligand</w:t>
      </w:r>
      <w:proofErr w:type="spellEnd"/>
      <w:r w:rsidRPr="00B548C7">
        <w:t xml:space="preserve">, L. Population Pharmacokinetics of Intravenous Amoxicillin Combined </w:t>
      </w:r>
      <w:proofErr w:type="gramStart"/>
      <w:r w:rsidRPr="00B548C7">
        <w:t>With</w:t>
      </w:r>
      <w:proofErr w:type="gramEnd"/>
      <w:r w:rsidRPr="00B548C7">
        <w:t xml:space="preserve"> Clavulanic Acid in Healthy and Critically Ill Dogs. </w:t>
      </w:r>
      <w:r w:rsidRPr="00B548C7">
        <w:rPr>
          <w:i/>
          <w:iCs/>
        </w:rPr>
        <w:t>Front. Vet. Sci.</w:t>
      </w:r>
      <w:r w:rsidRPr="00B548C7">
        <w:t xml:space="preserve"> </w:t>
      </w:r>
      <w:r w:rsidRPr="00B548C7">
        <w:rPr>
          <w:b/>
          <w:bCs/>
        </w:rPr>
        <w:t>2021</w:t>
      </w:r>
      <w:r w:rsidRPr="00B548C7">
        <w:t xml:space="preserve">, </w:t>
      </w:r>
      <w:r w:rsidRPr="00B548C7">
        <w:rPr>
          <w:i/>
          <w:iCs/>
        </w:rPr>
        <w:t>8</w:t>
      </w:r>
      <w:r w:rsidRPr="00B548C7">
        <w:t>. https://doi.org/10.3389/fvets.2021.770202.</w:t>
      </w:r>
    </w:p>
    <w:p w14:paraId="4D7386D6" w14:textId="77777777" w:rsidR="00B548C7" w:rsidRPr="00B548C7" w:rsidRDefault="00B548C7" w:rsidP="00B548C7">
      <w:pPr>
        <w:pStyle w:val="Bibliography"/>
      </w:pPr>
      <w:r w:rsidRPr="00B548C7">
        <w:t>(6)</w:t>
      </w:r>
      <w:r w:rsidRPr="00B548C7">
        <w:tab/>
        <w:t xml:space="preserve">Fan, H.; Zhang, A.; Liao, C.; Yang, Y.; Zhang, L.; Liu, J.; Xia, Y.; Si, D.; Dong, S.; Liu, C. In Vitro Metabolism and in Vivo Pharmacokinetics of </w:t>
      </w:r>
      <w:proofErr w:type="spellStart"/>
      <w:r w:rsidRPr="00B548C7">
        <w:t>Bentysrepinine</w:t>
      </w:r>
      <w:proofErr w:type="spellEnd"/>
      <w:r w:rsidRPr="00B548C7">
        <w:t xml:space="preserve"> (Y101), an Investigational New Drug for Anti-HBV-Infected Hepatitis: Focus on Interspecies Comparison. </w:t>
      </w:r>
      <w:proofErr w:type="spellStart"/>
      <w:r w:rsidRPr="00B548C7">
        <w:rPr>
          <w:i/>
          <w:iCs/>
        </w:rPr>
        <w:t>Xenobiotica</w:t>
      </w:r>
      <w:proofErr w:type="spellEnd"/>
      <w:r w:rsidRPr="00B548C7">
        <w:t xml:space="preserve"> </w:t>
      </w:r>
      <w:r w:rsidRPr="00B548C7">
        <w:rPr>
          <w:b/>
          <w:bCs/>
        </w:rPr>
        <w:t>2020</w:t>
      </w:r>
      <w:r w:rsidRPr="00B548C7">
        <w:t xml:space="preserve">, </w:t>
      </w:r>
      <w:r w:rsidRPr="00B548C7">
        <w:rPr>
          <w:i/>
          <w:iCs/>
        </w:rPr>
        <w:t>50</w:t>
      </w:r>
      <w:r w:rsidRPr="00B548C7">
        <w:t xml:space="preserve"> (4), 468–478. https://doi.org/10.1080/00498254.2019.1646946.</w:t>
      </w:r>
    </w:p>
    <w:p w14:paraId="64089AEE" w14:textId="77777777" w:rsidR="00B548C7" w:rsidRPr="00B548C7" w:rsidRDefault="00B548C7" w:rsidP="00B548C7">
      <w:pPr>
        <w:pStyle w:val="Bibliography"/>
      </w:pPr>
      <w:r w:rsidRPr="00B548C7">
        <w:t>(7)</w:t>
      </w:r>
      <w:r w:rsidRPr="00B548C7">
        <w:tab/>
        <w:t xml:space="preserve">Girard, D.; Gootz, T. D.; McGuirk, P. R. Pharmacokinetic Studies of CP-74,667, a New Quinolone, in Laboratory Animals. </w:t>
      </w:r>
      <w:r w:rsidRPr="00B548C7">
        <w:rPr>
          <w:i/>
          <w:iCs/>
        </w:rPr>
        <w:t>Antimicrobial Agents and Chemotherapy</w:t>
      </w:r>
      <w:r w:rsidRPr="00B548C7">
        <w:t xml:space="preserve"> </w:t>
      </w:r>
      <w:r w:rsidRPr="00B548C7">
        <w:rPr>
          <w:b/>
          <w:bCs/>
        </w:rPr>
        <w:t>1992</w:t>
      </w:r>
      <w:r w:rsidRPr="00B548C7">
        <w:t xml:space="preserve">, </w:t>
      </w:r>
      <w:r w:rsidRPr="00B548C7">
        <w:rPr>
          <w:i/>
          <w:iCs/>
        </w:rPr>
        <w:t>36</w:t>
      </w:r>
      <w:r w:rsidRPr="00B548C7">
        <w:t xml:space="preserve"> (8), 1671–1676. https://doi.org/10.1128/aac.36.8.1671.</w:t>
      </w:r>
    </w:p>
    <w:p w14:paraId="392C7879" w14:textId="77777777" w:rsidR="00B548C7" w:rsidRPr="00B548C7" w:rsidRDefault="00B548C7" w:rsidP="00B548C7">
      <w:pPr>
        <w:pStyle w:val="Bibliography"/>
      </w:pPr>
      <w:r w:rsidRPr="00B548C7">
        <w:t>(8)</w:t>
      </w:r>
      <w:r w:rsidRPr="00B548C7">
        <w:tab/>
      </w:r>
      <w:r w:rsidRPr="00B548C7">
        <w:rPr>
          <w:i/>
          <w:iCs/>
        </w:rPr>
        <w:t>Species Difference in the Mechanism of Nonlinear Pharmacokinetics of E2074, a Novel Sodium Channel Inhibitor, in Rats, Dogs, and Monkeys - Drug Metabolism and Disposition</w:t>
      </w:r>
      <w:r w:rsidRPr="00B548C7">
        <w:t>. https://dmd.aspetjournals.org/article/S0090-9556(24)11579-6/abstract (accessed 2026-06-09).</w:t>
      </w:r>
    </w:p>
    <w:p w14:paraId="7A1695E4" w14:textId="77777777" w:rsidR="00B548C7" w:rsidRPr="00B548C7" w:rsidRDefault="00B548C7" w:rsidP="00B548C7">
      <w:pPr>
        <w:pStyle w:val="Bibliography"/>
      </w:pPr>
      <w:r w:rsidRPr="00B548C7">
        <w:t>(9)</w:t>
      </w:r>
      <w:r w:rsidRPr="00B548C7">
        <w:tab/>
      </w:r>
      <w:proofErr w:type="spellStart"/>
      <w:r w:rsidRPr="00B548C7">
        <w:t>Hasbach</w:t>
      </w:r>
      <w:proofErr w:type="spellEnd"/>
      <w:r w:rsidRPr="00B548C7">
        <w:t xml:space="preserve">, A. e.; Langlois, D. k.; Rosser Jr, E. j.; Papich, M. g. Pharmacokinetics and Relative Bioavailability of Orally Administered Innovator-Formulated Itraconazole Capsules and Solution in Healthy Dogs. </w:t>
      </w:r>
      <w:r w:rsidRPr="00B548C7">
        <w:rPr>
          <w:i/>
          <w:iCs/>
        </w:rPr>
        <w:t>Journal of Veterinary Internal Medicine</w:t>
      </w:r>
      <w:r w:rsidRPr="00B548C7">
        <w:t xml:space="preserve"> </w:t>
      </w:r>
      <w:r w:rsidRPr="00B548C7">
        <w:rPr>
          <w:b/>
          <w:bCs/>
        </w:rPr>
        <w:t>2017</w:t>
      </w:r>
      <w:r w:rsidRPr="00B548C7">
        <w:t xml:space="preserve">, </w:t>
      </w:r>
      <w:r w:rsidRPr="00B548C7">
        <w:rPr>
          <w:i/>
          <w:iCs/>
        </w:rPr>
        <w:t>31</w:t>
      </w:r>
      <w:r w:rsidRPr="00B548C7">
        <w:t xml:space="preserve"> (4), 1163–1169. https://doi.org/10.1111/jvim.14779.</w:t>
      </w:r>
    </w:p>
    <w:p w14:paraId="4F814729" w14:textId="77777777" w:rsidR="00B548C7" w:rsidRPr="00B548C7" w:rsidRDefault="00B548C7" w:rsidP="00B548C7">
      <w:pPr>
        <w:pStyle w:val="Bibliography"/>
      </w:pPr>
      <w:r w:rsidRPr="00B548C7">
        <w:t>(10)</w:t>
      </w:r>
      <w:r w:rsidRPr="00B548C7">
        <w:tab/>
        <w:t xml:space="preserve">Link, J. O.; Taylor, J. G.; Xu, L.; Mitchell, M.; Guo, H.; Liu, H.; Kato, D.; </w:t>
      </w:r>
      <w:proofErr w:type="spellStart"/>
      <w:r w:rsidRPr="00B548C7">
        <w:t>Kirschberg</w:t>
      </w:r>
      <w:proofErr w:type="spellEnd"/>
      <w:r w:rsidRPr="00B548C7">
        <w:t xml:space="preserve">, T.; Sun, J.; Squires, N.; Parrish, J.; Keller, T.; Yang, Z.-Y.; Yang, C.; </w:t>
      </w:r>
      <w:proofErr w:type="spellStart"/>
      <w:r w:rsidRPr="00B548C7">
        <w:t>Matles</w:t>
      </w:r>
      <w:proofErr w:type="spellEnd"/>
      <w:r w:rsidRPr="00B548C7">
        <w:t xml:space="preserve">, M.; Wang, Y.; Wang, K.; Cheng, G.; Tian, Y.; </w:t>
      </w:r>
      <w:proofErr w:type="spellStart"/>
      <w:r w:rsidRPr="00B548C7">
        <w:t>Mogalian</w:t>
      </w:r>
      <w:proofErr w:type="spellEnd"/>
      <w:r w:rsidRPr="00B548C7">
        <w:t xml:space="preserve">, E.; Mondou, E.; </w:t>
      </w:r>
      <w:proofErr w:type="spellStart"/>
      <w:r w:rsidRPr="00B548C7">
        <w:t>Cornpropst</w:t>
      </w:r>
      <w:proofErr w:type="spellEnd"/>
      <w:r w:rsidRPr="00B548C7">
        <w:t xml:space="preserve">, M.; Perry, J.; Desai, M. C. Discovery of Ledipasvir (GS-5885): A Potent, Once-Daily Oral NS5A Inhibitor for the Treatment of Hepatitis C Virus Infection. </w:t>
      </w:r>
      <w:r w:rsidRPr="00B548C7">
        <w:rPr>
          <w:i/>
          <w:iCs/>
        </w:rPr>
        <w:t>J. Med. Chem.</w:t>
      </w:r>
      <w:r w:rsidRPr="00B548C7">
        <w:t xml:space="preserve"> </w:t>
      </w:r>
      <w:r w:rsidRPr="00B548C7">
        <w:rPr>
          <w:b/>
          <w:bCs/>
        </w:rPr>
        <w:t>2014</w:t>
      </w:r>
      <w:r w:rsidRPr="00B548C7">
        <w:t xml:space="preserve">, </w:t>
      </w:r>
      <w:r w:rsidRPr="00B548C7">
        <w:rPr>
          <w:i/>
          <w:iCs/>
        </w:rPr>
        <w:t>57</w:t>
      </w:r>
      <w:r w:rsidRPr="00B548C7">
        <w:t xml:space="preserve"> (5), 2033–2046. https://doi.org/10.1021/jm401499g.</w:t>
      </w:r>
    </w:p>
    <w:p w14:paraId="2D93C923" w14:textId="77777777" w:rsidR="00B548C7" w:rsidRPr="00B548C7" w:rsidRDefault="00B548C7" w:rsidP="00B548C7">
      <w:pPr>
        <w:pStyle w:val="Bibliography"/>
      </w:pPr>
      <w:r w:rsidRPr="00B548C7">
        <w:t>(11)</w:t>
      </w:r>
      <w:r w:rsidRPr="00B548C7">
        <w:tab/>
        <w:t xml:space="preserve">Zhang, D.; Wang, L.; Raghavan, N.; Zhang, H.; Li, W.; Cheng, P. T.; Yao, M.; Zhang, L.; Zhu, M.; Bonacorsi, S.; </w:t>
      </w:r>
      <w:proofErr w:type="spellStart"/>
      <w:r w:rsidRPr="00B548C7">
        <w:t>Yeola</w:t>
      </w:r>
      <w:proofErr w:type="spellEnd"/>
      <w:r w:rsidRPr="00B548C7">
        <w:t xml:space="preserve">, S.; </w:t>
      </w:r>
      <w:proofErr w:type="spellStart"/>
      <w:r w:rsidRPr="00B548C7">
        <w:t>Mitroka</w:t>
      </w:r>
      <w:proofErr w:type="spellEnd"/>
      <w:r w:rsidRPr="00B548C7">
        <w:t xml:space="preserve">, J.; Hariharan, N.; </w:t>
      </w:r>
      <w:proofErr w:type="spellStart"/>
      <w:r w:rsidRPr="00B548C7">
        <w:t>Hosagrahara</w:t>
      </w:r>
      <w:proofErr w:type="spellEnd"/>
      <w:r w:rsidRPr="00B548C7">
        <w:t xml:space="preserve">, V.; Chandrasena, G.; Shyu, W. C.; Humphreys, W. G. Comparative Metabolism of Radiolabeled Muraglitazar in Animals and Humans by Quantitative and Qualitative Metabolite Profiling. </w:t>
      </w:r>
      <w:r w:rsidRPr="00B548C7">
        <w:rPr>
          <w:i/>
          <w:iCs/>
        </w:rPr>
        <w:t>Drug Metabolism and Disposition</w:t>
      </w:r>
      <w:r w:rsidRPr="00B548C7">
        <w:t xml:space="preserve"> </w:t>
      </w:r>
      <w:r w:rsidRPr="00B548C7">
        <w:rPr>
          <w:b/>
          <w:bCs/>
        </w:rPr>
        <w:t>2007</w:t>
      </w:r>
      <w:r w:rsidRPr="00B548C7">
        <w:t xml:space="preserve">, </w:t>
      </w:r>
      <w:r w:rsidRPr="00B548C7">
        <w:rPr>
          <w:i/>
          <w:iCs/>
        </w:rPr>
        <w:t>35</w:t>
      </w:r>
      <w:r w:rsidRPr="00B548C7">
        <w:t xml:space="preserve"> (1), 150–167. https://doi.org/10.1124/dmd.106.012450.</w:t>
      </w:r>
    </w:p>
    <w:p w14:paraId="19980402" w14:textId="77777777" w:rsidR="00B548C7" w:rsidRPr="00B548C7" w:rsidRDefault="00B548C7" w:rsidP="00B548C7">
      <w:pPr>
        <w:pStyle w:val="Bibliography"/>
      </w:pPr>
      <w:r w:rsidRPr="00B548C7">
        <w:t>(12)</w:t>
      </w:r>
      <w:r w:rsidRPr="00B548C7">
        <w:tab/>
        <w:t xml:space="preserve">Mitsuhashi, Y.; Sugiyama, Y.; Ozawa, S.; </w:t>
      </w:r>
      <w:proofErr w:type="spellStart"/>
      <w:r w:rsidRPr="00B548C7">
        <w:t>Nitanai</w:t>
      </w:r>
      <w:proofErr w:type="spellEnd"/>
      <w:r w:rsidRPr="00B548C7">
        <w:t xml:space="preserve">, T.; Sasahara, K.; Nakamura, K.; Tanaka, M.; Nishimura, T.; Inaba, M.; Kobayashi, T. Prediction of ACNU Plasma Concentration-Time Profiles in Humans by Animal Scale-Up. </w:t>
      </w:r>
      <w:r w:rsidRPr="00B548C7">
        <w:rPr>
          <w:i/>
          <w:iCs/>
        </w:rPr>
        <w:t xml:space="preserve">Cancer </w:t>
      </w:r>
      <w:proofErr w:type="spellStart"/>
      <w:r w:rsidRPr="00B548C7">
        <w:rPr>
          <w:i/>
          <w:iCs/>
        </w:rPr>
        <w:t>Chemother</w:t>
      </w:r>
      <w:proofErr w:type="spellEnd"/>
      <w:r w:rsidRPr="00B548C7">
        <w:rPr>
          <w:i/>
          <w:iCs/>
        </w:rPr>
        <w:t xml:space="preserve"> </w:t>
      </w:r>
      <w:proofErr w:type="spellStart"/>
      <w:r w:rsidRPr="00B548C7">
        <w:rPr>
          <w:i/>
          <w:iCs/>
        </w:rPr>
        <w:t>Pharmacol</w:t>
      </w:r>
      <w:proofErr w:type="spellEnd"/>
      <w:r w:rsidRPr="00B548C7">
        <w:t xml:space="preserve"> </w:t>
      </w:r>
      <w:r w:rsidRPr="00B548C7">
        <w:rPr>
          <w:b/>
          <w:bCs/>
        </w:rPr>
        <w:t>1990</w:t>
      </w:r>
      <w:r w:rsidRPr="00B548C7">
        <w:t xml:space="preserve">, </w:t>
      </w:r>
      <w:r w:rsidRPr="00B548C7">
        <w:rPr>
          <w:i/>
          <w:iCs/>
        </w:rPr>
        <w:t>27</w:t>
      </w:r>
      <w:r w:rsidRPr="00B548C7">
        <w:t xml:space="preserve"> (1), 20–26. https://doi.org/10.1007/BF00689271.</w:t>
      </w:r>
    </w:p>
    <w:p w14:paraId="77DE6E5B" w14:textId="77777777" w:rsidR="00B548C7" w:rsidRPr="00B548C7" w:rsidRDefault="00B548C7" w:rsidP="00B548C7">
      <w:pPr>
        <w:pStyle w:val="Bibliography"/>
      </w:pPr>
      <w:r w:rsidRPr="00B548C7">
        <w:t>(13)</w:t>
      </w:r>
      <w:r w:rsidRPr="00B548C7">
        <w:tab/>
        <w:t xml:space="preserve">Kempf, D. J.; Sham, H. L.; Marsh, K. C.; Flentge, C. A.; </w:t>
      </w:r>
      <w:proofErr w:type="spellStart"/>
      <w:r w:rsidRPr="00B548C7">
        <w:t>Betebenner</w:t>
      </w:r>
      <w:proofErr w:type="spellEnd"/>
      <w:r w:rsidRPr="00B548C7">
        <w:t xml:space="preserve">, D.; Green, B. E.; McDonald, E.; </w:t>
      </w:r>
      <w:proofErr w:type="spellStart"/>
      <w:r w:rsidRPr="00B548C7">
        <w:t>Vasavanonda</w:t>
      </w:r>
      <w:proofErr w:type="spellEnd"/>
      <w:r w:rsidRPr="00B548C7">
        <w:t xml:space="preserve">, S.; Saldivar, A.; </w:t>
      </w:r>
      <w:proofErr w:type="spellStart"/>
      <w:r w:rsidRPr="00B548C7">
        <w:t>Wideburg</w:t>
      </w:r>
      <w:proofErr w:type="spellEnd"/>
      <w:r w:rsidRPr="00B548C7">
        <w:t xml:space="preserve">, N. E.; Kati, W. M.; Ruiz, L.; Zhao, C.; Fino, L.; Patterson, J.; Molla, A.; Plattner, J. J.; Norbeck, D. W. Discovery of Ritonavir, a Potent Inhibitor of HIV Protease with </w:t>
      </w:r>
      <w:r w:rsidRPr="00B548C7">
        <w:lastRenderedPageBreak/>
        <w:t xml:space="preserve">High Oral Bioavailability and Clinical Efficacy. </w:t>
      </w:r>
      <w:r w:rsidRPr="00B548C7">
        <w:rPr>
          <w:i/>
          <w:iCs/>
        </w:rPr>
        <w:t>J. Med. Chem.</w:t>
      </w:r>
      <w:r w:rsidRPr="00B548C7">
        <w:t xml:space="preserve"> </w:t>
      </w:r>
      <w:r w:rsidRPr="00B548C7">
        <w:rPr>
          <w:b/>
          <w:bCs/>
        </w:rPr>
        <w:t>1998</w:t>
      </w:r>
      <w:r w:rsidRPr="00B548C7">
        <w:t xml:space="preserve">, </w:t>
      </w:r>
      <w:r w:rsidRPr="00B548C7">
        <w:rPr>
          <w:i/>
          <w:iCs/>
        </w:rPr>
        <w:t>41</w:t>
      </w:r>
      <w:r w:rsidRPr="00B548C7">
        <w:t xml:space="preserve"> (4), 602–617. https://doi.org/10.1021/jm970636+.</w:t>
      </w:r>
    </w:p>
    <w:p w14:paraId="2B3C8AA7" w14:textId="77777777" w:rsidR="00B548C7" w:rsidRPr="00B548C7" w:rsidRDefault="00B548C7" w:rsidP="00B548C7">
      <w:pPr>
        <w:pStyle w:val="Bibliography"/>
      </w:pPr>
      <w:r w:rsidRPr="00B548C7">
        <w:t>(14)</w:t>
      </w:r>
      <w:r w:rsidRPr="00B548C7">
        <w:tab/>
        <w:t xml:space="preserve">Reinhart, J. M.; Oliveira, G. A. R. de; Forsythe, L.; Li, Z. Pharmacokinetics of a 503B Outsourcing Facility-Produced Theophylline in Dogs. </w:t>
      </w:r>
      <w:r w:rsidRPr="00B548C7">
        <w:rPr>
          <w:i/>
          <w:iCs/>
        </w:rPr>
        <w:t>PLOS ONE</w:t>
      </w:r>
      <w:r w:rsidRPr="00B548C7">
        <w:t xml:space="preserve"> </w:t>
      </w:r>
      <w:r w:rsidRPr="00B548C7">
        <w:rPr>
          <w:b/>
          <w:bCs/>
        </w:rPr>
        <w:t>2022</w:t>
      </w:r>
      <w:r w:rsidRPr="00B548C7">
        <w:t xml:space="preserve">, </w:t>
      </w:r>
      <w:r w:rsidRPr="00B548C7">
        <w:rPr>
          <w:i/>
          <w:iCs/>
        </w:rPr>
        <w:t>17</w:t>
      </w:r>
      <w:r w:rsidRPr="00B548C7">
        <w:t xml:space="preserve"> (1), e0262336. https://doi.org/10.1371/journal.pone.0262336.</w:t>
      </w:r>
    </w:p>
    <w:p w14:paraId="4C9FEA3B" w14:textId="77777777" w:rsidR="00B548C7" w:rsidRPr="00B548C7" w:rsidRDefault="00B548C7" w:rsidP="00B548C7">
      <w:pPr>
        <w:pStyle w:val="Bibliography"/>
      </w:pPr>
      <w:r w:rsidRPr="00B548C7">
        <w:t>(15)</w:t>
      </w:r>
      <w:r w:rsidRPr="00B548C7">
        <w:tab/>
        <w:t xml:space="preserve">ITAMI, T.; SAITO, Y.; ISHIZUKA, T.; TAMURA, J.; UMAR, M. A.; INOUE, H.; MIYOSHI, K.; YAMASHITA, K. Comparison of Pharmacokinetics of Tramadol between Young and Middle-Aged Dogs. </w:t>
      </w:r>
      <w:r w:rsidRPr="00B548C7">
        <w:rPr>
          <w:i/>
          <w:iCs/>
        </w:rPr>
        <w:t>J Vet Med Sci</w:t>
      </w:r>
      <w:r w:rsidRPr="00B548C7">
        <w:t xml:space="preserve"> </w:t>
      </w:r>
      <w:r w:rsidRPr="00B548C7">
        <w:rPr>
          <w:b/>
          <w:bCs/>
        </w:rPr>
        <w:t>2016</w:t>
      </w:r>
      <w:r w:rsidRPr="00B548C7">
        <w:t xml:space="preserve">, </w:t>
      </w:r>
      <w:r w:rsidRPr="00B548C7">
        <w:rPr>
          <w:i/>
          <w:iCs/>
        </w:rPr>
        <w:t>78</w:t>
      </w:r>
      <w:r w:rsidRPr="00B548C7">
        <w:t xml:space="preserve"> (6), 1031–1034. https://doi.org/10.1292/jvms.15-0638.</w:t>
      </w:r>
    </w:p>
    <w:p w14:paraId="2DE9B0CD" w14:textId="77777777" w:rsidR="00B548C7" w:rsidRPr="00B548C7" w:rsidRDefault="00B548C7" w:rsidP="00B548C7">
      <w:pPr>
        <w:pStyle w:val="Bibliography"/>
      </w:pPr>
      <w:r w:rsidRPr="00B548C7">
        <w:t>(16)</w:t>
      </w:r>
      <w:r w:rsidRPr="00B548C7">
        <w:tab/>
        <w:t xml:space="preserve">Parker, R. B.; Soberman, J. E. Effects of Paroxetine on the Pharmacokinetics and Pharmacodynamics of Immediate-Release and Extended-Release Metoprolol. </w:t>
      </w:r>
      <w:r w:rsidRPr="00B548C7">
        <w:rPr>
          <w:i/>
          <w:iCs/>
        </w:rPr>
        <w:t>Pharmacotherapy: The Journal of Human Pharmacology and Drug Therapy</w:t>
      </w:r>
      <w:r w:rsidRPr="00B548C7">
        <w:t xml:space="preserve"> </w:t>
      </w:r>
      <w:r w:rsidRPr="00B548C7">
        <w:rPr>
          <w:b/>
          <w:bCs/>
        </w:rPr>
        <w:t>2011</w:t>
      </w:r>
      <w:r w:rsidRPr="00B548C7">
        <w:t xml:space="preserve">, </w:t>
      </w:r>
      <w:r w:rsidRPr="00B548C7">
        <w:rPr>
          <w:i/>
          <w:iCs/>
        </w:rPr>
        <w:t>31</w:t>
      </w:r>
      <w:r w:rsidRPr="00B548C7">
        <w:t xml:space="preserve"> (7), 630–641. https://doi.org/10.1592/phco.31.7.630.</w:t>
      </w:r>
    </w:p>
    <w:p w14:paraId="79307A5E" w14:textId="77777777" w:rsidR="00B548C7" w:rsidRPr="00B548C7" w:rsidRDefault="00B548C7" w:rsidP="00B548C7">
      <w:pPr>
        <w:pStyle w:val="Bibliography"/>
      </w:pPr>
      <w:r w:rsidRPr="00B548C7">
        <w:t>(17)</w:t>
      </w:r>
      <w:r w:rsidRPr="00B548C7">
        <w:tab/>
        <w:t xml:space="preserve">Kharasch, E. D.; Campbell, S.; Stubbert, K.; Crafford, A.; London, A.; Kim, T.; Whittington, D.; Ensign, D.; Hoffer, C.; </w:t>
      </w:r>
      <w:proofErr w:type="spellStart"/>
      <w:r w:rsidRPr="00B548C7">
        <w:t>Bedynek</w:t>
      </w:r>
      <w:proofErr w:type="spellEnd"/>
      <w:r w:rsidRPr="00B548C7">
        <w:t xml:space="preserve">, P. S. Mechanism of Efavirenz Influence on Methadone Pharmacokinetics and Pharmacodynamics II: Hepatic and Intestinal CYP2B6, CYP3A and Transporter Activities. </w:t>
      </w:r>
      <w:r w:rsidRPr="00B548C7">
        <w:rPr>
          <w:i/>
          <w:iCs/>
        </w:rPr>
        <w:t xml:space="preserve">Clin </w:t>
      </w:r>
      <w:proofErr w:type="spellStart"/>
      <w:r w:rsidRPr="00B548C7">
        <w:rPr>
          <w:i/>
          <w:iCs/>
        </w:rPr>
        <w:t>Pharmacol</w:t>
      </w:r>
      <w:proofErr w:type="spellEnd"/>
      <w:r w:rsidRPr="00B548C7">
        <w:rPr>
          <w:i/>
          <w:iCs/>
        </w:rPr>
        <w:t xml:space="preserve"> Ther</w:t>
      </w:r>
      <w:r w:rsidRPr="00B548C7">
        <w:t xml:space="preserve"> </w:t>
      </w:r>
      <w:r w:rsidRPr="00B548C7">
        <w:rPr>
          <w:b/>
          <w:bCs/>
        </w:rPr>
        <w:t>2012</w:t>
      </w:r>
      <w:r w:rsidRPr="00B548C7">
        <w:t xml:space="preserve">, </w:t>
      </w:r>
      <w:r w:rsidRPr="00B548C7">
        <w:rPr>
          <w:i/>
          <w:iCs/>
        </w:rPr>
        <w:t>91</w:t>
      </w:r>
      <w:r w:rsidRPr="00B548C7">
        <w:t xml:space="preserve"> (4), 673–684. https://doi.org/10.1038/clpt.2011.276.</w:t>
      </w:r>
    </w:p>
    <w:p w14:paraId="53D35671" w14:textId="77777777" w:rsidR="00B548C7" w:rsidRPr="00B548C7" w:rsidRDefault="00B548C7" w:rsidP="00B548C7">
      <w:pPr>
        <w:pStyle w:val="Bibliography"/>
      </w:pPr>
      <w:r w:rsidRPr="00B548C7">
        <w:t>(18)</w:t>
      </w:r>
      <w:r w:rsidRPr="00B548C7">
        <w:tab/>
        <w:t xml:space="preserve">Kharasch, E. D.; Francis, A.; London, A.; Frey, K.; Kim, T.; Blood, J. Sensitivity of Intravenous and Oral Alfentanil and Pupillary Miosis as Minimal and Noninvasive Probes for Hepatic and First-Pass CYP3A Induction. </w:t>
      </w:r>
      <w:r w:rsidRPr="00B548C7">
        <w:rPr>
          <w:i/>
          <w:iCs/>
        </w:rPr>
        <w:t xml:space="preserve">Clin </w:t>
      </w:r>
      <w:proofErr w:type="spellStart"/>
      <w:r w:rsidRPr="00B548C7">
        <w:rPr>
          <w:i/>
          <w:iCs/>
        </w:rPr>
        <w:t>Pharmacol</w:t>
      </w:r>
      <w:proofErr w:type="spellEnd"/>
      <w:r w:rsidRPr="00B548C7">
        <w:rPr>
          <w:i/>
          <w:iCs/>
        </w:rPr>
        <w:t xml:space="preserve"> Ther</w:t>
      </w:r>
      <w:r w:rsidRPr="00B548C7">
        <w:t xml:space="preserve"> </w:t>
      </w:r>
      <w:r w:rsidRPr="00B548C7">
        <w:rPr>
          <w:b/>
          <w:bCs/>
        </w:rPr>
        <w:t>2011</w:t>
      </w:r>
      <w:r w:rsidRPr="00B548C7">
        <w:t xml:space="preserve">, </w:t>
      </w:r>
      <w:r w:rsidRPr="00B548C7">
        <w:rPr>
          <w:i/>
          <w:iCs/>
        </w:rPr>
        <w:t>90</w:t>
      </w:r>
      <w:r w:rsidRPr="00B548C7">
        <w:t xml:space="preserve"> (1), 100–108. https://doi.org/10.1038/clpt.2011.59.</w:t>
      </w:r>
    </w:p>
    <w:p w14:paraId="6DA81546" w14:textId="77777777" w:rsidR="00B548C7" w:rsidRPr="00B548C7" w:rsidRDefault="00B548C7" w:rsidP="00B548C7">
      <w:pPr>
        <w:pStyle w:val="Bibliography"/>
        <w:rPr>
          <w:lang w:val="fr-FR"/>
        </w:rPr>
      </w:pPr>
      <w:r w:rsidRPr="00B548C7">
        <w:t>(19)</w:t>
      </w:r>
      <w:r w:rsidRPr="00B548C7">
        <w:tab/>
      </w:r>
      <w:proofErr w:type="spellStart"/>
      <w:r w:rsidRPr="00B548C7">
        <w:t>Sjövall</w:t>
      </w:r>
      <w:proofErr w:type="spellEnd"/>
      <w:r w:rsidRPr="00B548C7">
        <w:t xml:space="preserve">, J.; Westerlund, D.; </w:t>
      </w:r>
      <w:proofErr w:type="spellStart"/>
      <w:r w:rsidRPr="00B548C7">
        <w:t>Alván</w:t>
      </w:r>
      <w:proofErr w:type="spellEnd"/>
      <w:r w:rsidRPr="00B548C7">
        <w:t xml:space="preserve">, G. Renal Excretion of Intravenously Infused Amoxycillin and Ampicillin. </w:t>
      </w:r>
      <w:r w:rsidRPr="00B548C7">
        <w:rPr>
          <w:i/>
          <w:iCs/>
          <w:lang w:val="fr-FR"/>
        </w:rPr>
        <w:t>Br J Clin Pharmacol</w:t>
      </w:r>
      <w:r w:rsidRPr="00B548C7">
        <w:rPr>
          <w:lang w:val="fr-FR"/>
        </w:rPr>
        <w:t xml:space="preserve"> </w:t>
      </w:r>
      <w:r w:rsidRPr="00B548C7">
        <w:rPr>
          <w:b/>
          <w:bCs/>
          <w:lang w:val="fr-FR"/>
        </w:rPr>
        <w:t>1985</w:t>
      </w:r>
      <w:r w:rsidRPr="00B548C7">
        <w:rPr>
          <w:lang w:val="fr-FR"/>
        </w:rPr>
        <w:t xml:space="preserve">, </w:t>
      </w:r>
      <w:r w:rsidRPr="00B548C7">
        <w:rPr>
          <w:i/>
          <w:iCs/>
          <w:lang w:val="fr-FR"/>
        </w:rPr>
        <w:t>19</w:t>
      </w:r>
      <w:r w:rsidRPr="00B548C7">
        <w:rPr>
          <w:lang w:val="fr-FR"/>
        </w:rPr>
        <w:t xml:space="preserve"> (2), 191–201. https://doi.org/10.1111/j.1365-2125.1985.tb02631.x.</w:t>
      </w:r>
    </w:p>
    <w:p w14:paraId="644511AB" w14:textId="77777777" w:rsidR="00B548C7" w:rsidRPr="00B548C7" w:rsidRDefault="00B548C7" w:rsidP="00B548C7">
      <w:pPr>
        <w:pStyle w:val="Bibliography"/>
      </w:pPr>
      <w:r w:rsidRPr="00B548C7">
        <w:t>(20)</w:t>
      </w:r>
      <w:r w:rsidRPr="00B548C7">
        <w:tab/>
        <w:t xml:space="preserve">Findlay, J. W.; Van Wyck Fleet, J.; Smith, P. G.; Butz, R. F.; Hinton, M. L.; Blum, M. R.; Schroeder, D. H. Pharmacokinetics of Bupropion, a Novel Antidepressant Agent, Following Oral Administration to Healthy Subjects. </w:t>
      </w:r>
      <w:proofErr w:type="spellStart"/>
      <w:r w:rsidRPr="00B548C7">
        <w:rPr>
          <w:i/>
          <w:iCs/>
        </w:rPr>
        <w:t>Eur</w:t>
      </w:r>
      <w:proofErr w:type="spellEnd"/>
      <w:r w:rsidRPr="00B548C7">
        <w:rPr>
          <w:i/>
          <w:iCs/>
        </w:rPr>
        <w:t xml:space="preserve"> J Clin </w:t>
      </w:r>
      <w:proofErr w:type="spellStart"/>
      <w:r w:rsidRPr="00B548C7">
        <w:rPr>
          <w:i/>
          <w:iCs/>
        </w:rPr>
        <w:t>Pharmacol</w:t>
      </w:r>
      <w:proofErr w:type="spellEnd"/>
      <w:r w:rsidRPr="00B548C7">
        <w:t xml:space="preserve"> </w:t>
      </w:r>
      <w:r w:rsidRPr="00B548C7">
        <w:rPr>
          <w:b/>
          <w:bCs/>
        </w:rPr>
        <w:t>1981</w:t>
      </w:r>
      <w:r w:rsidRPr="00B548C7">
        <w:t xml:space="preserve">, </w:t>
      </w:r>
      <w:r w:rsidRPr="00B548C7">
        <w:rPr>
          <w:i/>
          <w:iCs/>
        </w:rPr>
        <w:t>21</w:t>
      </w:r>
      <w:r w:rsidRPr="00B548C7">
        <w:t xml:space="preserve"> (2), 127–135. https://doi.org/10.1007/BF00637513.</w:t>
      </w:r>
    </w:p>
    <w:p w14:paraId="48C3B50C" w14:textId="77777777" w:rsidR="00B548C7" w:rsidRPr="00B548C7" w:rsidRDefault="00B548C7" w:rsidP="00B548C7">
      <w:pPr>
        <w:pStyle w:val="Bibliography"/>
      </w:pPr>
      <w:r w:rsidRPr="00B548C7">
        <w:t>(21)</w:t>
      </w:r>
      <w:r w:rsidRPr="00B548C7">
        <w:tab/>
        <w:t xml:space="preserve">Chu, S. Y.; </w:t>
      </w:r>
      <w:proofErr w:type="spellStart"/>
      <w:r w:rsidRPr="00B548C7">
        <w:t>Sennello</w:t>
      </w:r>
      <w:proofErr w:type="spellEnd"/>
      <w:r w:rsidRPr="00B548C7">
        <w:t xml:space="preserve">, L. T.; Bunnell, S. T.; Varga, L. L.; Wilson, D. S.; Sonders, R. C. Pharmacokinetics of Clarithromycin, a New Macrolide, after Single Ascending Oral Doses. </w:t>
      </w:r>
      <w:r w:rsidRPr="00B548C7">
        <w:rPr>
          <w:i/>
          <w:iCs/>
        </w:rPr>
        <w:t>Antimicrobial Agents and Chemotherapy</w:t>
      </w:r>
      <w:r w:rsidRPr="00B548C7">
        <w:t xml:space="preserve"> </w:t>
      </w:r>
      <w:r w:rsidRPr="00B548C7">
        <w:rPr>
          <w:b/>
          <w:bCs/>
        </w:rPr>
        <w:t>1992</w:t>
      </w:r>
      <w:r w:rsidRPr="00B548C7">
        <w:t xml:space="preserve">, </w:t>
      </w:r>
      <w:r w:rsidRPr="00B548C7">
        <w:rPr>
          <w:i/>
          <w:iCs/>
        </w:rPr>
        <w:t>36</w:t>
      </w:r>
      <w:r w:rsidRPr="00B548C7">
        <w:t xml:space="preserve"> (11), 2447–2453. https://doi.org/10.1128/aac.36.11.2447.</w:t>
      </w:r>
    </w:p>
    <w:p w14:paraId="170564BB" w14:textId="77777777" w:rsidR="00B548C7" w:rsidRPr="00B548C7" w:rsidRDefault="00B548C7" w:rsidP="00B548C7">
      <w:pPr>
        <w:pStyle w:val="Bibliography"/>
      </w:pPr>
      <w:r w:rsidRPr="00B548C7">
        <w:t>(22)</w:t>
      </w:r>
      <w:r w:rsidRPr="00B548C7">
        <w:tab/>
        <w:t xml:space="preserve">Kahan, B. D.; Dunn, J.; Fitts, C.; Van Buren, D.; Wombolt, D.; Pollak, R.; Carson, R.; Alexander, J. W.; Choc, M.; Wong, R. Reduced Inter- and Intrasubject Variability in Cyclosporine Pharmacokinetics in Renal Transplant Recipients Treated with a Microemulsion Formulation in Conjunction with Fasting, Low-Fat Meals, or High-Fat Meals. </w:t>
      </w:r>
      <w:r w:rsidRPr="00B548C7">
        <w:rPr>
          <w:i/>
          <w:iCs/>
        </w:rPr>
        <w:t>Transplantation</w:t>
      </w:r>
      <w:r w:rsidRPr="00B548C7">
        <w:t xml:space="preserve"> </w:t>
      </w:r>
      <w:r w:rsidRPr="00B548C7">
        <w:rPr>
          <w:b/>
          <w:bCs/>
        </w:rPr>
        <w:t>1995</w:t>
      </w:r>
      <w:r w:rsidRPr="00B548C7">
        <w:t xml:space="preserve">, </w:t>
      </w:r>
      <w:r w:rsidRPr="00B548C7">
        <w:rPr>
          <w:i/>
          <w:iCs/>
        </w:rPr>
        <w:t>59</w:t>
      </w:r>
      <w:r w:rsidRPr="00B548C7">
        <w:t xml:space="preserve"> (4), 505–511.</w:t>
      </w:r>
    </w:p>
    <w:p w14:paraId="44F60578" w14:textId="77777777" w:rsidR="00B548C7" w:rsidRPr="00B548C7" w:rsidRDefault="00B548C7" w:rsidP="00B548C7">
      <w:pPr>
        <w:pStyle w:val="Bibliography"/>
      </w:pPr>
      <w:r w:rsidRPr="00B548C7">
        <w:t>(23)</w:t>
      </w:r>
      <w:r w:rsidRPr="00B548C7">
        <w:tab/>
        <w:t xml:space="preserve">Griffith, D. A.; Edmonds, D. J.; Fortin, J.-P.; </w:t>
      </w:r>
      <w:proofErr w:type="spellStart"/>
      <w:r w:rsidRPr="00B548C7">
        <w:t>Kalgutkar</w:t>
      </w:r>
      <w:proofErr w:type="spellEnd"/>
      <w:r w:rsidRPr="00B548C7">
        <w:t xml:space="preserve">, A. S.; Kuzmiski, J. B.; Loria, P. M.; Saxena, A. R.; Bagley, S. W.; Buckeridge, C.; Curto, J. M.; Derksen, D. R.; Dias, J. M.; Griffor, M. C.; Han, S.; Jackson, V. M.; Landis, M. S.; Lettiere, D.; </w:t>
      </w:r>
      <w:proofErr w:type="spellStart"/>
      <w:r w:rsidRPr="00B548C7">
        <w:t>Limberakis</w:t>
      </w:r>
      <w:proofErr w:type="spellEnd"/>
      <w:r w:rsidRPr="00B548C7">
        <w:t xml:space="preserve">, C.; Liu, Y.; Mathiowetz, A. M.; Patel, J. C.; Piotrowski, D. W.; Price, D. A.; Ruggeri, R. B.; Tess, D. A. A Small-Molecule Oral Agonist of the Human Glucagon-like Peptide-1 Receptor. </w:t>
      </w:r>
      <w:r w:rsidRPr="00B548C7">
        <w:rPr>
          <w:i/>
          <w:iCs/>
        </w:rPr>
        <w:t>J. Med. Chem.</w:t>
      </w:r>
      <w:r w:rsidRPr="00B548C7">
        <w:t xml:space="preserve"> </w:t>
      </w:r>
      <w:r w:rsidRPr="00B548C7">
        <w:rPr>
          <w:b/>
          <w:bCs/>
        </w:rPr>
        <w:t>2022</w:t>
      </w:r>
      <w:r w:rsidRPr="00B548C7">
        <w:t xml:space="preserve">, </w:t>
      </w:r>
      <w:r w:rsidRPr="00B548C7">
        <w:rPr>
          <w:i/>
          <w:iCs/>
        </w:rPr>
        <w:t>65</w:t>
      </w:r>
      <w:r w:rsidRPr="00B548C7">
        <w:t xml:space="preserve"> (12), 8208–8226. https://doi.org/10.1021/acs.jmedchem.1c01856.</w:t>
      </w:r>
    </w:p>
    <w:p w14:paraId="2D3C9487" w14:textId="77777777" w:rsidR="00B548C7" w:rsidRPr="00B548C7" w:rsidRDefault="00B548C7" w:rsidP="00B548C7">
      <w:pPr>
        <w:pStyle w:val="Bibliography"/>
      </w:pPr>
      <w:r w:rsidRPr="00B548C7">
        <w:t>(24)</w:t>
      </w:r>
      <w:r w:rsidRPr="00B548C7">
        <w:tab/>
        <w:t xml:space="preserve">Wiebe, S. T.; </w:t>
      </w:r>
      <w:proofErr w:type="spellStart"/>
      <w:r w:rsidRPr="00B548C7">
        <w:t>Giessmann</w:t>
      </w:r>
      <w:proofErr w:type="spellEnd"/>
      <w:r w:rsidRPr="00B548C7">
        <w:t>, T.; Hohl, K.; Schmidt-</w:t>
      </w:r>
      <w:proofErr w:type="spellStart"/>
      <w:r w:rsidRPr="00B548C7">
        <w:t>Gerets</w:t>
      </w:r>
      <w:proofErr w:type="spellEnd"/>
      <w:r w:rsidRPr="00B548C7">
        <w:t xml:space="preserve">, S.; </w:t>
      </w:r>
      <w:proofErr w:type="spellStart"/>
      <w:r w:rsidRPr="00B548C7">
        <w:t>Hauel</w:t>
      </w:r>
      <w:proofErr w:type="spellEnd"/>
      <w:r w:rsidRPr="00B548C7">
        <w:t xml:space="preserve">, E.; </w:t>
      </w:r>
      <w:proofErr w:type="spellStart"/>
      <w:r w:rsidRPr="00B548C7">
        <w:t>Jambrecina</w:t>
      </w:r>
      <w:proofErr w:type="spellEnd"/>
      <w:r w:rsidRPr="00B548C7">
        <w:t xml:space="preserve">, A.; Bader, K.; Ishiguro, N.; Taub, M. E.; Sharma, A.; Ebner, T.; Mikus, G.; Fromm, M. F.; Müller, F.; </w:t>
      </w:r>
      <w:proofErr w:type="spellStart"/>
      <w:r w:rsidRPr="00B548C7">
        <w:t>Stopfer</w:t>
      </w:r>
      <w:proofErr w:type="spellEnd"/>
      <w:r w:rsidRPr="00B548C7">
        <w:t xml:space="preserve">, P. Validation of a Drug Transporter Probe Cocktail Using the Prototypical Inhibitors Rifampin, Probenecid, Verapamil, and Cimetidine. </w:t>
      </w:r>
      <w:r w:rsidRPr="00B548C7">
        <w:rPr>
          <w:i/>
          <w:iCs/>
        </w:rPr>
        <w:t xml:space="preserve">Clin </w:t>
      </w:r>
      <w:proofErr w:type="spellStart"/>
      <w:r w:rsidRPr="00B548C7">
        <w:rPr>
          <w:i/>
          <w:iCs/>
        </w:rPr>
        <w:t>Pharmacokinet</w:t>
      </w:r>
      <w:proofErr w:type="spellEnd"/>
      <w:r w:rsidRPr="00B548C7">
        <w:t xml:space="preserve"> </w:t>
      </w:r>
      <w:r w:rsidRPr="00B548C7">
        <w:rPr>
          <w:b/>
          <w:bCs/>
        </w:rPr>
        <w:t>2020</w:t>
      </w:r>
      <w:r w:rsidRPr="00B548C7">
        <w:t xml:space="preserve">, </w:t>
      </w:r>
      <w:r w:rsidRPr="00B548C7">
        <w:rPr>
          <w:i/>
          <w:iCs/>
        </w:rPr>
        <w:t>59</w:t>
      </w:r>
      <w:r w:rsidRPr="00B548C7">
        <w:t xml:space="preserve"> (12), 1627–1639. https://doi.org/10.1007/s40262-020-00907-w.</w:t>
      </w:r>
    </w:p>
    <w:p w14:paraId="081AC0E9" w14:textId="77777777" w:rsidR="00B548C7" w:rsidRPr="00B548C7" w:rsidRDefault="00B548C7" w:rsidP="00B548C7">
      <w:pPr>
        <w:pStyle w:val="Bibliography"/>
      </w:pPr>
      <w:r w:rsidRPr="00B548C7">
        <w:t>(25)</w:t>
      </w:r>
      <w:r w:rsidRPr="00B548C7">
        <w:tab/>
        <w:t xml:space="preserve">Höglund, P.; Nilsson, L. G. Pharmacokinetics of Diltiazem and Its Metabolites after Repeated Multiple-Dose Treatments in Healthy Volunteers. </w:t>
      </w:r>
      <w:r w:rsidRPr="00B548C7">
        <w:rPr>
          <w:i/>
          <w:iCs/>
        </w:rPr>
        <w:t>Ther Drug Monit</w:t>
      </w:r>
      <w:r w:rsidRPr="00B548C7">
        <w:t xml:space="preserve"> </w:t>
      </w:r>
      <w:r w:rsidRPr="00B548C7">
        <w:rPr>
          <w:b/>
          <w:bCs/>
        </w:rPr>
        <w:t>1989</w:t>
      </w:r>
      <w:r w:rsidRPr="00B548C7">
        <w:t xml:space="preserve">, </w:t>
      </w:r>
      <w:r w:rsidRPr="00B548C7">
        <w:rPr>
          <w:i/>
          <w:iCs/>
        </w:rPr>
        <w:t>11</w:t>
      </w:r>
      <w:r w:rsidRPr="00B548C7">
        <w:t xml:space="preserve"> (5), 543–550.</w:t>
      </w:r>
    </w:p>
    <w:p w14:paraId="05675129" w14:textId="77777777" w:rsidR="00B548C7" w:rsidRPr="00B548C7" w:rsidRDefault="00B548C7" w:rsidP="00B548C7">
      <w:pPr>
        <w:pStyle w:val="Bibliography"/>
      </w:pPr>
      <w:r w:rsidRPr="00B548C7">
        <w:t>(26)</w:t>
      </w:r>
      <w:r w:rsidRPr="00B548C7">
        <w:tab/>
        <w:t xml:space="preserve">Bathala, M. S.; Masumoto, H.; Oguma, T.; He, L.; Lowrie, C.; Mendell, J. Pharmacokinetics, Biotransformation, and Mass Balance of </w:t>
      </w:r>
      <w:proofErr w:type="spellStart"/>
      <w:r w:rsidRPr="00B548C7">
        <w:t>Edoxaban</w:t>
      </w:r>
      <w:proofErr w:type="spellEnd"/>
      <w:r w:rsidRPr="00B548C7">
        <w:t xml:space="preserve">, a Selective, Direct Factor Xa Inhibitor, in Humans. </w:t>
      </w:r>
      <w:r w:rsidRPr="00B548C7">
        <w:rPr>
          <w:i/>
          <w:iCs/>
        </w:rPr>
        <w:t xml:space="preserve">Drug </w:t>
      </w:r>
      <w:proofErr w:type="spellStart"/>
      <w:r w:rsidRPr="00B548C7">
        <w:rPr>
          <w:i/>
          <w:iCs/>
        </w:rPr>
        <w:t>Metab</w:t>
      </w:r>
      <w:proofErr w:type="spellEnd"/>
      <w:r w:rsidRPr="00B548C7">
        <w:rPr>
          <w:i/>
          <w:iCs/>
        </w:rPr>
        <w:t xml:space="preserve"> </w:t>
      </w:r>
      <w:proofErr w:type="spellStart"/>
      <w:r w:rsidRPr="00B548C7">
        <w:rPr>
          <w:i/>
          <w:iCs/>
        </w:rPr>
        <w:t>Dispos</w:t>
      </w:r>
      <w:proofErr w:type="spellEnd"/>
      <w:r w:rsidRPr="00B548C7">
        <w:t xml:space="preserve"> </w:t>
      </w:r>
      <w:r w:rsidRPr="00B548C7">
        <w:rPr>
          <w:b/>
          <w:bCs/>
        </w:rPr>
        <w:t>2012</w:t>
      </w:r>
      <w:r w:rsidRPr="00B548C7">
        <w:t xml:space="preserve">, </w:t>
      </w:r>
      <w:r w:rsidRPr="00B548C7">
        <w:rPr>
          <w:i/>
          <w:iCs/>
        </w:rPr>
        <w:t>40</w:t>
      </w:r>
      <w:r w:rsidRPr="00B548C7">
        <w:t xml:space="preserve"> (12), 2250–2255. https://doi.org/10.1124/dmd.112.046888.</w:t>
      </w:r>
    </w:p>
    <w:p w14:paraId="67A1534E" w14:textId="77777777" w:rsidR="00B548C7" w:rsidRPr="00B548C7" w:rsidRDefault="00B548C7" w:rsidP="00B548C7">
      <w:pPr>
        <w:pStyle w:val="Bibliography"/>
      </w:pPr>
      <w:r w:rsidRPr="00B548C7">
        <w:t>(27)</w:t>
      </w:r>
      <w:r w:rsidRPr="00B548C7">
        <w:tab/>
        <w:t>US FDA. NDA 206316/S-019 Approval Letter (</w:t>
      </w:r>
      <w:proofErr w:type="spellStart"/>
      <w:r w:rsidRPr="00B548C7">
        <w:t>Savaysa</w:t>
      </w:r>
      <w:proofErr w:type="spellEnd"/>
      <w:r w:rsidRPr="00B548C7">
        <w:t>), 2023.</w:t>
      </w:r>
    </w:p>
    <w:p w14:paraId="3305C721" w14:textId="77777777" w:rsidR="00B548C7" w:rsidRPr="00B548C7" w:rsidRDefault="00B548C7" w:rsidP="00B548C7">
      <w:pPr>
        <w:pStyle w:val="Bibliography"/>
      </w:pPr>
      <w:r w:rsidRPr="00B548C7">
        <w:lastRenderedPageBreak/>
        <w:t>(28)</w:t>
      </w:r>
      <w:r w:rsidRPr="00B548C7">
        <w:tab/>
        <w:t xml:space="preserve">Chen, X.; Liu, D.; Wu, Y.; Song, H.; Liu, Y.; Jiang, J.; Hu, P. A Single-Dose Study Investigating the Pharmacokinetics and Pharmacodynamics of </w:t>
      </w:r>
      <w:proofErr w:type="spellStart"/>
      <w:r w:rsidRPr="00B548C7">
        <w:t>Edoxaban</w:t>
      </w:r>
      <w:proofErr w:type="spellEnd"/>
      <w:r w:rsidRPr="00B548C7">
        <w:t xml:space="preserve"> at 30-90</w:t>
      </w:r>
      <w:r w:rsidRPr="00B548C7">
        <w:rPr>
          <w:rFonts w:ascii="Arial" w:hAnsi="Arial" w:cs="Arial"/>
        </w:rPr>
        <w:t> </w:t>
      </w:r>
      <w:r w:rsidRPr="00B548C7">
        <w:t xml:space="preserve">Mg in Healthy Chinese Volunteers. </w:t>
      </w:r>
      <w:proofErr w:type="spellStart"/>
      <w:r w:rsidRPr="00B548C7">
        <w:rPr>
          <w:i/>
          <w:iCs/>
        </w:rPr>
        <w:t>Xenobiotica</w:t>
      </w:r>
      <w:proofErr w:type="spellEnd"/>
      <w:r w:rsidRPr="00B548C7">
        <w:t xml:space="preserve"> </w:t>
      </w:r>
      <w:r w:rsidRPr="00B548C7">
        <w:rPr>
          <w:b/>
          <w:bCs/>
        </w:rPr>
        <w:t>2017</w:t>
      </w:r>
      <w:r w:rsidRPr="00B548C7">
        <w:t xml:space="preserve">, </w:t>
      </w:r>
      <w:r w:rsidRPr="00B548C7">
        <w:rPr>
          <w:i/>
          <w:iCs/>
        </w:rPr>
        <w:t>47</w:t>
      </w:r>
      <w:r w:rsidRPr="00B548C7">
        <w:t xml:space="preserve"> (7), 592–599. https://doi.org/10.1080/00498254.2016.1207825.</w:t>
      </w:r>
    </w:p>
    <w:p w14:paraId="7FB51720" w14:textId="77777777" w:rsidR="00B548C7" w:rsidRPr="00B548C7" w:rsidRDefault="00B548C7" w:rsidP="00B548C7">
      <w:pPr>
        <w:pStyle w:val="Bibliography"/>
      </w:pPr>
      <w:r w:rsidRPr="00B548C7">
        <w:t>(29)</w:t>
      </w:r>
      <w:r w:rsidRPr="00B548C7">
        <w:tab/>
        <w:t xml:space="preserve">Ogata, K.; Mendell-Harary, J.; Tachibana, M.; Masumoto, H.; Oguma, T.; Kojima, M.; </w:t>
      </w:r>
      <w:proofErr w:type="spellStart"/>
      <w:r w:rsidRPr="00B548C7">
        <w:t>Kunitada</w:t>
      </w:r>
      <w:proofErr w:type="spellEnd"/>
      <w:r w:rsidRPr="00B548C7">
        <w:t xml:space="preserve">, S. Clinical Safety, Tolerability, Pharmacokinetics, and Pharmacodynamics of the Novel Factor Xa Inhibitor </w:t>
      </w:r>
      <w:proofErr w:type="spellStart"/>
      <w:r w:rsidRPr="00B548C7">
        <w:t>Edoxaban</w:t>
      </w:r>
      <w:proofErr w:type="spellEnd"/>
      <w:r w:rsidRPr="00B548C7">
        <w:t xml:space="preserve"> in Healthy Volunteers. </w:t>
      </w:r>
      <w:r w:rsidRPr="00B548C7">
        <w:rPr>
          <w:i/>
          <w:iCs/>
        </w:rPr>
        <w:t xml:space="preserve">J Clin </w:t>
      </w:r>
      <w:proofErr w:type="spellStart"/>
      <w:r w:rsidRPr="00B548C7">
        <w:rPr>
          <w:i/>
          <w:iCs/>
        </w:rPr>
        <w:t>Pharmacol</w:t>
      </w:r>
      <w:proofErr w:type="spellEnd"/>
      <w:r w:rsidRPr="00B548C7">
        <w:t xml:space="preserve"> </w:t>
      </w:r>
      <w:r w:rsidRPr="00B548C7">
        <w:rPr>
          <w:b/>
          <w:bCs/>
        </w:rPr>
        <w:t>2010</w:t>
      </w:r>
      <w:r w:rsidRPr="00B548C7">
        <w:t xml:space="preserve">, </w:t>
      </w:r>
      <w:r w:rsidRPr="00B548C7">
        <w:rPr>
          <w:i/>
          <w:iCs/>
        </w:rPr>
        <w:t>50</w:t>
      </w:r>
      <w:r w:rsidRPr="00B548C7">
        <w:t xml:space="preserve"> (7), 743–753. https://doi.org/10.1177/0091270009351883.</w:t>
      </w:r>
    </w:p>
    <w:p w14:paraId="6145142B" w14:textId="77777777" w:rsidR="00B548C7" w:rsidRPr="00B548C7" w:rsidRDefault="00B548C7" w:rsidP="00B548C7">
      <w:pPr>
        <w:pStyle w:val="Bibliography"/>
      </w:pPr>
      <w:r w:rsidRPr="00B548C7">
        <w:t>(30)</w:t>
      </w:r>
      <w:r w:rsidRPr="00B548C7">
        <w:tab/>
        <w:t xml:space="preserve">Matsushima, N.; Lee, F.; Sato, T.; Weiss, D.; Mendell, J. Bioavailability and Safety of the Factor Xa Inhibitor </w:t>
      </w:r>
      <w:proofErr w:type="spellStart"/>
      <w:r w:rsidRPr="00B548C7">
        <w:t>Edoxaban</w:t>
      </w:r>
      <w:proofErr w:type="spellEnd"/>
      <w:r w:rsidRPr="00B548C7">
        <w:t xml:space="preserve"> and the Effects of Quinidine in Healthy Subjects. </w:t>
      </w:r>
      <w:r w:rsidRPr="00B548C7">
        <w:rPr>
          <w:i/>
          <w:iCs/>
        </w:rPr>
        <w:t xml:space="preserve">Clin </w:t>
      </w:r>
      <w:proofErr w:type="spellStart"/>
      <w:r w:rsidRPr="00B548C7">
        <w:rPr>
          <w:i/>
          <w:iCs/>
        </w:rPr>
        <w:t>Pharmacol</w:t>
      </w:r>
      <w:proofErr w:type="spellEnd"/>
      <w:r w:rsidRPr="00B548C7">
        <w:rPr>
          <w:i/>
          <w:iCs/>
        </w:rPr>
        <w:t xml:space="preserve"> Drug Dev</w:t>
      </w:r>
      <w:r w:rsidRPr="00B548C7">
        <w:t xml:space="preserve"> </w:t>
      </w:r>
      <w:r w:rsidRPr="00B548C7">
        <w:rPr>
          <w:b/>
          <w:bCs/>
        </w:rPr>
        <w:t>2013</w:t>
      </w:r>
      <w:r w:rsidRPr="00B548C7">
        <w:t xml:space="preserve">, </w:t>
      </w:r>
      <w:r w:rsidRPr="00B548C7">
        <w:rPr>
          <w:i/>
          <w:iCs/>
        </w:rPr>
        <w:t>2</w:t>
      </w:r>
      <w:r w:rsidRPr="00B548C7">
        <w:t xml:space="preserve"> (4), 358–366. https://doi.org/10.1002/cpdd.53.</w:t>
      </w:r>
    </w:p>
    <w:p w14:paraId="3223A50A" w14:textId="77777777" w:rsidR="00B548C7" w:rsidRPr="00B548C7" w:rsidRDefault="00B548C7" w:rsidP="00B548C7">
      <w:pPr>
        <w:pStyle w:val="Bibliography"/>
      </w:pPr>
      <w:r w:rsidRPr="00B548C7">
        <w:t>(31)</w:t>
      </w:r>
      <w:r w:rsidRPr="00B548C7">
        <w:tab/>
        <w:t xml:space="preserve">Desta, Z.; Metzger, I. F.; Thong, N.; Lu, J. B. L.; Callaghan, J. T.; Skaar, T. C.; Flockhart, D. A.; Galinsky, R. E. Inhibition of Cytochrome P450 2B6 Activity by Voriconazole Profiled Using Efavirenz Disposition in Healthy Volunteers. </w:t>
      </w:r>
      <w:r w:rsidRPr="00B548C7">
        <w:rPr>
          <w:i/>
          <w:iCs/>
        </w:rPr>
        <w:t>Antimicrobial Agents and Chemotherapy</w:t>
      </w:r>
      <w:r w:rsidRPr="00B548C7">
        <w:t xml:space="preserve"> </w:t>
      </w:r>
      <w:r w:rsidRPr="00B548C7">
        <w:rPr>
          <w:b/>
          <w:bCs/>
        </w:rPr>
        <w:t>2016</w:t>
      </w:r>
      <w:r w:rsidRPr="00B548C7">
        <w:t xml:space="preserve">, </w:t>
      </w:r>
      <w:r w:rsidRPr="00B548C7">
        <w:rPr>
          <w:i/>
          <w:iCs/>
        </w:rPr>
        <w:t>60</w:t>
      </w:r>
      <w:r w:rsidRPr="00B548C7">
        <w:t xml:space="preserve"> (11), 6813–6822. https://doi.org/10.1128/aac.01000-16.</w:t>
      </w:r>
    </w:p>
    <w:p w14:paraId="1C7F4E4C" w14:textId="77777777" w:rsidR="00B548C7" w:rsidRPr="00B548C7" w:rsidRDefault="00B548C7" w:rsidP="00B548C7">
      <w:pPr>
        <w:pStyle w:val="Bibliography"/>
      </w:pPr>
      <w:r w:rsidRPr="00B548C7">
        <w:t>(32)</w:t>
      </w:r>
      <w:r w:rsidRPr="00B548C7">
        <w:tab/>
        <w:t xml:space="preserve">Jiang, F.; Desta, Z.; Shon, J.-H.; Yeo, C.-W.; Kim, H.-S.; Liu, K.-H.; Bae, S.-K.; Lee, S.-S.; Flockhart, D. A.; Shin, J.-G. Effects of Clopidogrel and Itraconazole on the Disposition of Efavirenz and Its Hydroxyl Metabolites: Exploration of a Novel CYP2B6 Phenotyping Index. </w:t>
      </w:r>
      <w:r w:rsidRPr="00B548C7">
        <w:rPr>
          <w:i/>
          <w:iCs/>
        </w:rPr>
        <w:t xml:space="preserve">Br J Clin </w:t>
      </w:r>
      <w:proofErr w:type="spellStart"/>
      <w:r w:rsidRPr="00B548C7">
        <w:rPr>
          <w:i/>
          <w:iCs/>
        </w:rPr>
        <w:t>Pharmacol</w:t>
      </w:r>
      <w:proofErr w:type="spellEnd"/>
      <w:r w:rsidRPr="00B548C7">
        <w:t xml:space="preserve"> </w:t>
      </w:r>
      <w:r w:rsidRPr="00B548C7">
        <w:rPr>
          <w:b/>
          <w:bCs/>
        </w:rPr>
        <w:t>2013</w:t>
      </w:r>
      <w:r w:rsidRPr="00B548C7">
        <w:t xml:space="preserve">, </w:t>
      </w:r>
      <w:r w:rsidRPr="00B548C7">
        <w:rPr>
          <w:i/>
          <w:iCs/>
        </w:rPr>
        <w:t>75</w:t>
      </w:r>
      <w:r w:rsidRPr="00B548C7">
        <w:t xml:space="preserve"> (1), 244–253. https://doi.org/10.1111/j.1365-2125.2012.04314.x.</w:t>
      </w:r>
    </w:p>
    <w:p w14:paraId="5AEB6F08" w14:textId="77777777" w:rsidR="00B548C7" w:rsidRPr="00B548C7" w:rsidRDefault="00B548C7" w:rsidP="00B548C7">
      <w:pPr>
        <w:pStyle w:val="Bibliography"/>
      </w:pPr>
      <w:r w:rsidRPr="00B548C7">
        <w:t>(33)</w:t>
      </w:r>
      <w:r w:rsidRPr="00B548C7">
        <w:tab/>
        <w:t xml:space="preserve">Cho, D.-Y.; Shen, J. H. Q.; Lemler, S. M.; Skaar, T. C.; Li, L.; </w:t>
      </w:r>
      <w:proofErr w:type="spellStart"/>
      <w:r w:rsidRPr="00B548C7">
        <w:t>Blievernicht</w:t>
      </w:r>
      <w:proofErr w:type="spellEnd"/>
      <w:r w:rsidRPr="00B548C7">
        <w:t xml:space="preserve">, J.; Zanger, U. M.; Kim, K.-B.; Shin, J.-G.; Flockhart, D. A.; Desta, Z. Rifampin Enhances Cytochrome P450 (CYP) 2B6-Mediated Efavirenz 8-Hydroxylation in Healthy Volunteers. </w:t>
      </w:r>
      <w:r w:rsidRPr="00B548C7">
        <w:rPr>
          <w:i/>
          <w:iCs/>
        </w:rPr>
        <w:t xml:space="preserve">Drug </w:t>
      </w:r>
      <w:proofErr w:type="spellStart"/>
      <w:r w:rsidRPr="00B548C7">
        <w:rPr>
          <w:i/>
          <w:iCs/>
        </w:rPr>
        <w:t>Metab</w:t>
      </w:r>
      <w:proofErr w:type="spellEnd"/>
      <w:r w:rsidRPr="00B548C7">
        <w:rPr>
          <w:i/>
          <w:iCs/>
        </w:rPr>
        <w:t xml:space="preserve"> </w:t>
      </w:r>
      <w:proofErr w:type="spellStart"/>
      <w:r w:rsidRPr="00B548C7">
        <w:rPr>
          <w:i/>
          <w:iCs/>
        </w:rPr>
        <w:t>Pharmacokinet</w:t>
      </w:r>
      <w:proofErr w:type="spellEnd"/>
      <w:r w:rsidRPr="00B548C7">
        <w:t xml:space="preserve"> </w:t>
      </w:r>
      <w:r w:rsidRPr="00B548C7">
        <w:rPr>
          <w:b/>
          <w:bCs/>
        </w:rPr>
        <w:t>2016</w:t>
      </w:r>
      <w:r w:rsidRPr="00B548C7">
        <w:t xml:space="preserve">, </w:t>
      </w:r>
      <w:r w:rsidRPr="00B548C7">
        <w:rPr>
          <w:i/>
          <w:iCs/>
        </w:rPr>
        <w:t>31</w:t>
      </w:r>
      <w:r w:rsidRPr="00B548C7">
        <w:t xml:space="preserve"> (2), 107–116. https://doi.org/10.1016/j.dmpk.2015.07.002.</w:t>
      </w:r>
    </w:p>
    <w:p w14:paraId="150F734E" w14:textId="77777777" w:rsidR="00B548C7" w:rsidRPr="00B548C7" w:rsidRDefault="00B548C7" w:rsidP="00B548C7">
      <w:pPr>
        <w:pStyle w:val="Bibliography"/>
      </w:pPr>
      <w:r w:rsidRPr="00B548C7">
        <w:t>(34)</w:t>
      </w:r>
      <w:r w:rsidRPr="00B548C7">
        <w:tab/>
        <w:t xml:space="preserve">Yenny,  null; </w:t>
      </w:r>
      <w:proofErr w:type="spellStart"/>
      <w:r w:rsidRPr="00B548C7">
        <w:t>Nafrialdi</w:t>
      </w:r>
      <w:proofErr w:type="spellEnd"/>
      <w:r w:rsidRPr="00B548C7">
        <w:t xml:space="preserve">,  null; </w:t>
      </w:r>
      <w:proofErr w:type="spellStart"/>
      <w:r w:rsidRPr="00B548C7">
        <w:t>Djoerban</w:t>
      </w:r>
      <w:proofErr w:type="spellEnd"/>
      <w:r w:rsidRPr="00B548C7">
        <w:t xml:space="preserve">, Z.; </w:t>
      </w:r>
      <w:proofErr w:type="spellStart"/>
      <w:r w:rsidRPr="00B548C7">
        <w:t>Setiabudy</w:t>
      </w:r>
      <w:proofErr w:type="spellEnd"/>
      <w:r w:rsidRPr="00B548C7">
        <w:t xml:space="preserve">, R. Pharmacokinetic Interaction between Efavirenz and Rifampicin in Healthy Volunteers. </w:t>
      </w:r>
      <w:r w:rsidRPr="00B548C7">
        <w:rPr>
          <w:i/>
          <w:iCs/>
        </w:rPr>
        <w:t xml:space="preserve">Int J Clin </w:t>
      </w:r>
      <w:proofErr w:type="spellStart"/>
      <w:r w:rsidRPr="00B548C7">
        <w:rPr>
          <w:i/>
          <w:iCs/>
        </w:rPr>
        <w:t>Pharmacol</w:t>
      </w:r>
      <w:proofErr w:type="spellEnd"/>
      <w:r w:rsidRPr="00B548C7">
        <w:rPr>
          <w:i/>
          <w:iCs/>
        </w:rPr>
        <w:t xml:space="preserve"> Ther</w:t>
      </w:r>
      <w:r w:rsidRPr="00B548C7">
        <w:t xml:space="preserve"> </w:t>
      </w:r>
      <w:r w:rsidRPr="00B548C7">
        <w:rPr>
          <w:b/>
          <w:bCs/>
        </w:rPr>
        <w:t>2011</w:t>
      </w:r>
      <w:r w:rsidRPr="00B548C7">
        <w:t xml:space="preserve">, </w:t>
      </w:r>
      <w:r w:rsidRPr="00B548C7">
        <w:rPr>
          <w:i/>
          <w:iCs/>
        </w:rPr>
        <w:t>49</w:t>
      </w:r>
      <w:r w:rsidRPr="00B548C7">
        <w:t xml:space="preserve"> (2), 162–168. https://doi.org/10.5414/cp201473.</w:t>
      </w:r>
    </w:p>
    <w:p w14:paraId="0CC7324F" w14:textId="77777777" w:rsidR="00B548C7" w:rsidRPr="00B548C7" w:rsidRDefault="00B548C7" w:rsidP="00B548C7">
      <w:pPr>
        <w:pStyle w:val="Bibliography"/>
      </w:pPr>
      <w:r w:rsidRPr="00B548C7">
        <w:t>(35)</w:t>
      </w:r>
      <w:r w:rsidRPr="00B548C7">
        <w:tab/>
        <w:t xml:space="preserve">Stoltz, M.; </w:t>
      </w:r>
      <w:proofErr w:type="spellStart"/>
      <w:r w:rsidRPr="00B548C7">
        <w:t>Arumugham</w:t>
      </w:r>
      <w:proofErr w:type="spellEnd"/>
      <w:r w:rsidRPr="00B548C7">
        <w:t xml:space="preserve">, T.; Lippert, C.; Yu, D.; Bhargava, V.; Eller, M.; Weir, S. Effect of Food on the Bioavailability of Fexofenadine Hydrochloride (MDL 16 455A). </w:t>
      </w:r>
      <w:r w:rsidRPr="00B548C7">
        <w:rPr>
          <w:i/>
          <w:iCs/>
        </w:rPr>
        <w:t>Biopharmaceutics &amp; Drug Disposition</w:t>
      </w:r>
      <w:r w:rsidRPr="00B548C7">
        <w:t xml:space="preserve"> </w:t>
      </w:r>
      <w:r w:rsidRPr="00B548C7">
        <w:rPr>
          <w:b/>
          <w:bCs/>
        </w:rPr>
        <w:t>1997</w:t>
      </w:r>
      <w:r w:rsidRPr="00B548C7">
        <w:t xml:space="preserve">, </w:t>
      </w:r>
      <w:r w:rsidRPr="00B548C7">
        <w:rPr>
          <w:i/>
          <w:iCs/>
        </w:rPr>
        <w:t>18</w:t>
      </w:r>
      <w:r w:rsidRPr="00B548C7">
        <w:t xml:space="preserve"> (7), 645–648. https://doi.org/10.1002/(SICI)1099-081X(199710)18:7%3C645::AID-BDD50%3E3.0.CO;2-3.</w:t>
      </w:r>
    </w:p>
    <w:p w14:paraId="50E1B24D" w14:textId="77777777" w:rsidR="00B548C7" w:rsidRPr="00B548C7" w:rsidRDefault="00B548C7" w:rsidP="00B548C7">
      <w:pPr>
        <w:pStyle w:val="Bibliography"/>
      </w:pPr>
      <w:r w:rsidRPr="00B548C7">
        <w:t>(36)</w:t>
      </w:r>
      <w:r w:rsidRPr="00B548C7">
        <w:tab/>
        <w:t xml:space="preserve">Russell, T.; Stoltz, M.; Weir, S. Pharmacokinetics, Pharmacodynamics, and Tolerance of Single- and Multiple-Dose Fexofenadine Hydrochloride in Healthy Male Volunteers. </w:t>
      </w:r>
      <w:r w:rsidRPr="00B548C7">
        <w:rPr>
          <w:i/>
          <w:iCs/>
        </w:rPr>
        <w:t>Clinical Pharmacology &amp; Therapeutics</w:t>
      </w:r>
      <w:r w:rsidRPr="00B548C7">
        <w:t xml:space="preserve"> </w:t>
      </w:r>
      <w:r w:rsidRPr="00B548C7">
        <w:rPr>
          <w:b/>
          <w:bCs/>
        </w:rPr>
        <w:t>1998</w:t>
      </w:r>
      <w:r w:rsidRPr="00B548C7">
        <w:t xml:space="preserve">, </w:t>
      </w:r>
      <w:r w:rsidRPr="00B548C7">
        <w:rPr>
          <w:i/>
          <w:iCs/>
        </w:rPr>
        <w:t>64</w:t>
      </w:r>
      <w:r w:rsidRPr="00B548C7">
        <w:t xml:space="preserve"> (6), 612–621. https://doi.org/10.1016/S0009-9236(98)90052-2.</w:t>
      </w:r>
    </w:p>
    <w:p w14:paraId="7D821740" w14:textId="77777777" w:rsidR="00B548C7" w:rsidRPr="00B548C7" w:rsidRDefault="00B548C7" w:rsidP="00B548C7">
      <w:pPr>
        <w:pStyle w:val="Bibliography"/>
      </w:pPr>
      <w:r w:rsidRPr="00B548C7">
        <w:t>(37)</w:t>
      </w:r>
      <w:r w:rsidRPr="00B548C7">
        <w:tab/>
        <w:t xml:space="preserve">Van de Velde, V. J.; Van Peer, A. P.; </w:t>
      </w:r>
      <w:proofErr w:type="spellStart"/>
      <w:r w:rsidRPr="00B548C7">
        <w:t>Heykants</w:t>
      </w:r>
      <w:proofErr w:type="spellEnd"/>
      <w:r w:rsidRPr="00B548C7">
        <w:t xml:space="preserve">, J. </w:t>
      </w:r>
      <w:proofErr w:type="gramStart"/>
      <w:r w:rsidRPr="00B548C7">
        <w:t>J.;</w:t>
      </w:r>
      <w:proofErr w:type="gramEnd"/>
      <w:r w:rsidRPr="00B548C7">
        <w:t xml:space="preserve"> </w:t>
      </w:r>
      <w:proofErr w:type="spellStart"/>
      <w:r w:rsidRPr="00B548C7">
        <w:t>Woestenborghs</w:t>
      </w:r>
      <w:proofErr w:type="spellEnd"/>
      <w:r w:rsidRPr="00B548C7">
        <w:t xml:space="preserve">, R. J.; Van Rooy, P.; De Beule, K. L.; </w:t>
      </w:r>
      <w:proofErr w:type="spellStart"/>
      <w:r w:rsidRPr="00B548C7">
        <w:t>Cauwenbergh</w:t>
      </w:r>
      <w:proofErr w:type="spellEnd"/>
      <w:r w:rsidRPr="00B548C7">
        <w:t xml:space="preserve">, G. F. Effect of Food on the Pharmacokinetics of a New Hydroxypropyl-Beta-Cyclodextrin Formulation of Itraconazole. </w:t>
      </w:r>
      <w:r w:rsidRPr="00B548C7">
        <w:rPr>
          <w:i/>
          <w:iCs/>
        </w:rPr>
        <w:t>Pharmacotherapy</w:t>
      </w:r>
      <w:r w:rsidRPr="00B548C7">
        <w:t xml:space="preserve"> </w:t>
      </w:r>
      <w:r w:rsidRPr="00B548C7">
        <w:rPr>
          <w:b/>
          <w:bCs/>
        </w:rPr>
        <w:t>1996</w:t>
      </w:r>
      <w:r w:rsidRPr="00B548C7">
        <w:t xml:space="preserve">, </w:t>
      </w:r>
      <w:r w:rsidRPr="00B548C7">
        <w:rPr>
          <w:i/>
          <w:iCs/>
        </w:rPr>
        <w:t>16</w:t>
      </w:r>
      <w:r w:rsidRPr="00B548C7">
        <w:t xml:space="preserve"> (3), 424–428.</w:t>
      </w:r>
    </w:p>
    <w:p w14:paraId="02C2E5F1" w14:textId="77777777" w:rsidR="00B548C7" w:rsidRPr="00B548C7" w:rsidRDefault="00B548C7" w:rsidP="00B548C7">
      <w:pPr>
        <w:pStyle w:val="Bibliography"/>
      </w:pPr>
      <w:r w:rsidRPr="00B548C7">
        <w:t>(38)</w:t>
      </w:r>
      <w:r w:rsidRPr="00B548C7">
        <w:tab/>
        <w:t xml:space="preserve">Huang, Y. C.; Colaizzi, J. L.; Bierman, R. H.; </w:t>
      </w:r>
      <w:proofErr w:type="spellStart"/>
      <w:r w:rsidRPr="00B548C7">
        <w:t>Woestenborghs</w:t>
      </w:r>
      <w:proofErr w:type="spellEnd"/>
      <w:r w:rsidRPr="00B548C7">
        <w:t xml:space="preserve">, R.; </w:t>
      </w:r>
      <w:proofErr w:type="spellStart"/>
      <w:r w:rsidRPr="00B548C7">
        <w:t>Heykants</w:t>
      </w:r>
      <w:proofErr w:type="spellEnd"/>
      <w:r w:rsidRPr="00B548C7">
        <w:t xml:space="preserve">, J. Pharmacokinetics and Dose Proportionality of Ketoconazole in Normal Volunteers. </w:t>
      </w:r>
      <w:r w:rsidRPr="00B548C7">
        <w:rPr>
          <w:i/>
          <w:iCs/>
        </w:rPr>
        <w:t>Antimicrobial Agents and Chemotherapy</w:t>
      </w:r>
      <w:r w:rsidRPr="00B548C7">
        <w:t xml:space="preserve"> </w:t>
      </w:r>
      <w:r w:rsidRPr="00B548C7">
        <w:rPr>
          <w:b/>
          <w:bCs/>
        </w:rPr>
        <w:t>1986</w:t>
      </w:r>
      <w:r w:rsidRPr="00B548C7">
        <w:t xml:space="preserve">, </w:t>
      </w:r>
      <w:r w:rsidRPr="00B548C7">
        <w:rPr>
          <w:i/>
          <w:iCs/>
        </w:rPr>
        <w:t>30</w:t>
      </w:r>
      <w:r w:rsidRPr="00B548C7">
        <w:t xml:space="preserve"> (2), 206–210. https://doi.org/10.1128/aac.30.2.206.</w:t>
      </w:r>
    </w:p>
    <w:p w14:paraId="09FC136A" w14:textId="77777777" w:rsidR="00B548C7" w:rsidRPr="00B548C7" w:rsidRDefault="00B548C7" w:rsidP="00B548C7">
      <w:pPr>
        <w:pStyle w:val="Bibliography"/>
      </w:pPr>
      <w:r w:rsidRPr="00B548C7">
        <w:t>(39)</w:t>
      </w:r>
      <w:r w:rsidRPr="00B548C7">
        <w:tab/>
        <w:t xml:space="preserve">Chin, T. W.; Loeb, M.; Fong, I. W. Effects of an Acidic Beverage (Coca-Cola) on Absorption of Ketoconazole. </w:t>
      </w:r>
      <w:r w:rsidRPr="00B548C7">
        <w:rPr>
          <w:i/>
          <w:iCs/>
        </w:rPr>
        <w:t>Antimicrobial Agents and Chemotherapy</w:t>
      </w:r>
      <w:r w:rsidRPr="00B548C7">
        <w:t xml:space="preserve"> </w:t>
      </w:r>
      <w:r w:rsidRPr="00B548C7">
        <w:rPr>
          <w:b/>
          <w:bCs/>
        </w:rPr>
        <w:t>1995</w:t>
      </w:r>
      <w:r w:rsidRPr="00B548C7">
        <w:t xml:space="preserve">, </w:t>
      </w:r>
      <w:r w:rsidRPr="00B548C7">
        <w:rPr>
          <w:i/>
          <w:iCs/>
        </w:rPr>
        <w:t>39</w:t>
      </w:r>
      <w:r w:rsidRPr="00B548C7">
        <w:t xml:space="preserve"> (8), 1671–1675. https://doi.org/10.1128/aac.39.8.1671.</w:t>
      </w:r>
    </w:p>
    <w:p w14:paraId="26817A37" w14:textId="77777777" w:rsidR="00B548C7" w:rsidRPr="00B548C7" w:rsidRDefault="00B548C7" w:rsidP="00B548C7">
      <w:pPr>
        <w:pStyle w:val="Bibliography"/>
      </w:pPr>
      <w:r w:rsidRPr="00B548C7">
        <w:t>(40)</w:t>
      </w:r>
      <w:r w:rsidRPr="00B548C7">
        <w:tab/>
      </w:r>
      <w:proofErr w:type="spellStart"/>
      <w:r w:rsidRPr="00B548C7">
        <w:t>Daneshmend</w:t>
      </w:r>
      <w:proofErr w:type="spellEnd"/>
      <w:r w:rsidRPr="00B548C7">
        <w:t xml:space="preserve">, T. K.; Warnock, D. W.; Ene, M. D.; Johnson, E. M.; </w:t>
      </w:r>
      <w:proofErr w:type="spellStart"/>
      <w:r w:rsidRPr="00B548C7">
        <w:t>Potten</w:t>
      </w:r>
      <w:proofErr w:type="spellEnd"/>
      <w:r w:rsidRPr="00B548C7">
        <w:t xml:space="preserve">, M. R.; Richardson, M. D.; Williamson, P. J. Influence of Food on the Pharmacokinetics of Ketoconazole. </w:t>
      </w:r>
      <w:r w:rsidRPr="00B548C7">
        <w:rPr>
          <w:i/>
          <w:iCs/>
        </w:rPr>
        <w:t>Antimicrobial Agents and Chemotherapy</w:t>
      </w:r>
      <w:r w:rsidRPr="00B548C7">
        <w:t xml:space="preserve"> </w:t>
      </w:r>
      <w:r w:rsidRPr="00B548C7">
        <w:rPr>
          <w:b/>
          <w:bCs/>
        </w:rPr>
        <w:t>1984</w:t>
      </w:r>
      <w:r w:rsidRPr="00B548C7">
        <w:t xml:space="preserve">, </w:t>
      </w:r>
      <w:r w:rsidRPr="00B548C7">
        <w:rPr>
          <w:i/>
          <w:iCs/>
        </w:rPr>
        <w:t>25</w:t>
      </w:r>
      <w:r w:rsidRPr="00B548C7">
        <w:t xml:space="preserve"> (1), 1–3. https://doi.org/10.1128/aac.25.1.1.</w:t>
      </w:r>
    </w:p>
    <w:p w14:paraId="503A5CFF" w14:textId="77777777" w:rsidR="00B548C7" w:rsidRPr="00B548C7" w:rsidRDefault="00B548C7" w:rsidP="00B548C7">
      <w:pPr>
        <w:pStyle w:val="Bibliography"/>
      </w:pPr>
      <w:r w:rsidRPr="00B548C7">
        <w:t>(41)</w:t>
      </w:r>
      <w:r w:rsidRPr="00B548C7">
        <w:tab/>
        <w:t xml:space="preserve">Männistö, P. T.; Mäntylä, R.; Nykänen, S.; </w:t>
      </w:r>
      <w:proofErr w:type="spellStart"/>
      <w:r w:rsidRPr="00B548C7">
        <w:t>Lamminsivu</w:t>
      </w:r>
      <w:proofErr w:type="spellEnd"/>
      <w:r w:rsidRPr="00B548C7">
        <w:t xml:space="preserve">, U.; </w:t>
      </w:r>
      <w:proofErr w:type="spellStart"/>
      <w:r w:rsidRPr="00B548C7">
        <w:t>Ottoila</w:t>
      </w:r>
      <w:proofErr w:type="spellEnd"/>
      <w:r w:rsidRPr="00B548C7">
        <w:t xml:space="preserve">, P. Impairing Effect of Food on Ketoconazole Absorption. </w:t>
      </w:r>
      <w:proofErr w:type="spellStart"/>
      <w:r w:rsidRPr="00B548C7">
        <w:rPr>
          <w:i/>
          <w:iCs/>
        </w:rPr>
        <w:t>Antimicrob</w:t>
      </w:r>
      <w:proofErr w:type="spellEnd"/>
      <w:r w:rsidRPr="00B548C7">
        <w:rPr>
          <w:i/>
          <w:iCs/>
        </w:rPr>
        <w:t xml:space="preserve"> Agents </w:t>
      </w:r>
      <w:proofErr w:type="spellStart"/>
      <w:r w:rsidRPr="00B548C7">
        <w:rPr>
          <w:i/>
          <w:iCs/>
        </w:rPr>
        <w:t>Chemother</w:t>
      </w:r>
      <w:proofErr w:type="spellEnd"/>
      <w:r w:rsidRPr="00B548C7">
        <w:t xml:space="preserve"> </w:t>
      </w:r>
      <w:r w:rsidRPr="00B548C7">
        <w:rPr>
          <w:b/>
          <w:bCs/>
        </w:rPr>
        <w:t>1982</w:t>
      </w:r>
      <w:r w:rsidRPr="00B548C7">
        <w:t xml:space="preserve">, </w:t>
      </w:r>
      <w:r w:rsidRPr="00B548C7">
        <w:rPr>
          <w:i/>
          <w:iCs/>
        </w:rPr>
        <w:t>21</w:t>
      </w:r>
      <w:r w:rsidRPr="00B548C7">
        <w:t xml:space="preserve"> (5), 730–733. https://doi.org/10.1128/aac.21.5.730.</w:t>
      </w:r>
    </w:p>
    <w:p w14:paraId="6A0E8919" w14:textId="77777777" w:rsidR="00B548C7" w:rsidRPr="00B548C7" w:rsidRDefault="00B548C7" w:rsidP="00B548C7">
      <w:pPr>
        <w:pStyle w:val="Bibliography"/>
      </w:pPr>
      <w:r w:rsidRPr="00B548C7">
        <w:t>(42)</w:t>
      </w:r>
      <w:r w:rsidRPr="00B548C7">
        <w:tab/>
      </w:r>
      <w:r w:rsidRPr="00B548C7">
        <w:rPr>
          <w:i/>
          <w:iCs/>
        </w:rPr>
        <w:t xml:space="preserve">Orally Bioavailable Macrocyclic Peptide That Inhibits Binding of PCSK9 to the </w:t>
      </w:r>
      <w:proofErr w:type="gramStart"/>
      <w:r w:rsidRPr="00B548C7">
        <w:rPr>
          <w:i/>
          <w:iCs/>
        </w:rPr>
        <w:t>Low Density</w:t>
      </w:r>
      <w:proofErr w:type="gramEnd"/>
      <w:r w:rsidRPr="00B548C7">
        <w:rPr>
          <w:i/>
          <w:iCs/>
        </w:rPr>
        <w:t xml:space="preserve"> Lipoprotein Receptor | Circulation</w:t>
      </w:r>
      <w:r w:rsidRPr="00B548C7">
        <w:t xml:space="preserve">. </w:t>
      </w:r>
      <w:r w:rsidRPr="00B548C7">
        <w:lastRenderedPageBreak/>
        <w:t>https://www.ahajournals.org/doi/10.1161/CIRCULATIONAHA.122.063372?__cf_chl_f_tk=TqKzCgE9u3UZ3xRnfYZpewvCCBhyS_mSgrMIa6UTJBw-1782803387-1.0.1.1-4D7AKci2KsgtpTOQU11RAl7DZ9ZU9KYpQ7TyK0NP0jk (accessed 2026-06-30).</w:t>
      </w:r>
    </w:p>
    <w:p w14:paraId="4AAE802A" w14:textId="77777777" w:rsidR="00B548C7" w:rsidRPr="00B548C7" w:rsidRDefault="00B548C7" w:rsidP="00B548C7">
      <w:pPr>
        <w:pStyle w:val="Bibliography"/>
      </w:pPr>
      <w:r w:rsidRPr="00B548C7">
        <w:t>(43)</w:t>
      </w:r>
      <w:r w:rsidRPr="00B548C7">
        <w:tab/>
        <w:t xml:space="preserve">Omer, Z.; Danilov, A.; </w:t>
      </w:r>
      <w:proofErr w:type="spellStart"/>
      <w:r w:rsidRPr="00B548C7">
        <w:t>Forconi</w:t>
      </w:r>
      <w:proofErr w:type="spellEnd"/>
      <w:r w:rsidRPr="00B548C7">
        <w:t>, F.; Munir, T.; Gleeson, M.; Shah, N.; Collins, G.; Alencar, A.; Robertson, J.; Cohen, J.; Dixit, K.; Brander, D.; Byrd, J.; Winter, A.; Smith, J.; El-</w:t>
      </w:r>
      <w:proofErr w:type="spellStart"/>
      <w:r w:rsidRPr="00B548C7">
        <w:t>Sharkawi</w:t>
      </w:r>
      <w:proofErr w:type="spellEnd"/>
      <w:r w:rsidRPr="00B548C7">
        <w:t xml:space="preserve">, D.; Kwiatek, M.; Hus, I.; Islam, P.; </w:t>
      </w:r>
      <w:proofErr w:type="spellStart"/>
      <w:r w:rsidRPr="00B548C7">
        <w:t>Grosicki</w:t>
      </w:r>
      <w:proofErr w:type="spellEnd"/>
      <w:r w:rsidRPr="00B548C7">
        <w:t xml:space="preserve">, S.; Tees, M.; Zenz, T.; </w:t>
      </w:r>
      <w:proofErr w:type="spellStart"/>
      <w:r w:rsidRPr="00B548C7">
        <w:t>Romejko-Jarosinska</w:t>
      </w:r>
      <w:proofErr w:type="spellEnd"/>
      <w:r w:rsidRPr="00B548C7">
        <w:t xml:space="preserve">, J.; </w:t>
      </w:r>
      <w:proofErr w:type="spellStart"/>
      <w:r w:rsidRPr="00B548C7">
        <w:t>Injac</w:t>
      </w:r>
      <w:proofErr w:type="spellEnd"/>
      <w:r w:rsidRPr="00B548C7">
        <w:t xml:space="preserve">, S.; Jurczak, W. Bexobrutideg (NX-5948), a Novel Bruton’s Tyrosine Kinase (BTK) Degrader, Demonstrates Rapid and Durable Clinical Responses in Relapsed/Refractory Chronic Lymphocytic Leukemia (CLL): New and Updated Findings from an Ongoing Phase 1a/b Trial. </w:t>
      </w:r>
      <w:r w:rsidRPr="00B548C7">
        <w:rPr>
          <w:i/>
          <w:iCs/>
        </w:rPr>
        <w:t>Blood</w:t>
      </w:r>
      <w:r w:rsidRPr="00B548C7">
        <w:t xml:space="preserve"> </w:t>
      </w:r>
      <w:r w:rsidRPr="00B548C7">
        <w:rPr>
          <w:b/>
          <w:bCs/>
        </w:rPr>
        <w:t>2025</w:t>
      </w:r>
      <w:r w:rsidRPr="00B548C7">
        <w:t xml:space="preserve">, </w:t>
      </w:r>
      <w:r w:rsidRPr="00B548C7">
        <w:rPr>
          <w:i/>
          <w:iCs/>
        </w:rPr>
        <w:t>146</w:t>
      </w:r>
      <w:r w:rsidRPr="00B548C7">
        <w:t xml:space="preserve"> (Supplement 1), 86. https://doi.org/10.1182/blood-2025-86.</w:t>
      </w:r>
    </w:p>
    <w:p w14:paraId="23779D4E" w14:textId="77777777" w:rsidR="00B548C7" w:rsidRPr="00B548C7" w:rsidRDefault="00B548C7" w:rsidP="00B548C7">
      <w:pPr>
        <w:pStyle w:val="Bibliography"/>
      </w:pPr>
      <w:r w:rsidRPr="00B548C7">
        <w:t>(44)</w:t>
      </w:r>
      <w:r w:rsidRPr="00B548C7">
        <w:tab/>
        <w:t xml:space="preserve">Narang, P. K.; Lewis, R. C.; </w:t>
      </w:r>
      <w:proofErr w:type="spellStart"/>
      <w:r w:rsidRPr="00B548C7">
        <w:t>Bianchine</w:t>
      </w:r>
      <w:proofErr w:type="spellEnd"/>
      <w:r w:rsidRPr="00B548C7">
        <w:t xml:space="preserve">, J. R. Rifabutin Absorption in Humans: Relative Bioavailability and Food Effect. </w:t>
      </w:r>
      <w:r w:rsidRPr="00B548C7">
        <w:rPr>
          <w:i/>
          <w:iCs/>
        </w:rPr>
        <w:t xml:space="preserve">Clin </w:t>
      </w:r>
      <w:proofErr w:type="spellStart"/>
      <w:r w:rsidRPr="00B548C7">
        <w:rPr>
          <w:i/>
          <w:iCs/>
        </w:rPr>
        <w:t>Pharmacol</w:t>
      </w:r>
      <w:proofErr w:type="spellEnd"/>
      <w:r w:rsidRPr="00B548C7">
        <w:rPr>
          <w:i/>
          <w:iCs/>
        </w:rPr>
        <w:t xml:space="preserve"> Ther</w:t>
      </w:r>
      <w:r w:rsidRPr="00B548C7">
        <w:t xml:space="preserve"> </w:t>
      </w:r>
      <w:r w:rsidRPr="00B548C7">
        <w:rPr>
          <w:b/>
          <w:bCs/>
        </w:rPr>
        <w:t>1992</w:t>
      </w:r>
      <w:r w:rsidRPr="00B548C7">
        <w:t xml:space="preserve">, </w:t>
      </w:r>
      <w:r w:rsidRPr="00B548C7">
        <w:rPr>
          <w:i/>
          <w:iCs/>
        </w:rPr>
        <w:t>52</w:t>
      </w:r>
      <w:r w:rsidRPr="00B548C7">
        <w:t xml:space="preserve"> (4), 335–341. https://doi.org/10.1038/clpt.1992.152.</w:t>
      </w:r>
    </w:p>
    <w:p w14:paraId="3EDA8F34" w14:textId="77777777" w:rsidR="00B548C7" w:rsidRPr="00B548C7" w:rsidRDefault="00B548C7" w:rsidP="00B548C7">
      <w:pPr>
        <w:pStyle w:val="Bibliography"/>
      </w:pPr>
      <w:r w:rsidRPr="00B548C7">
        <w:t>(45)</w:t>
      </w:r>
      <w:r w:rsidRPr="00B548C7">
        <w:tab/>
        <w:t xml:space="preserve">Acocella, G.; Pagani, V.; Marchetti, M.; Baroni, G. C.; Nicolis, F. B. Kinetic Studies on Rifampicin. I. Serum Concentration Analysis in Subjects Treated with Different Oral Doses over a Period of Two Weeks. </w:t>
      </w:r>
      <w:r w:rsidRPr="00B548C7">
        <w:rPr>
          <w:i/>
          <w:iCs/>
        </w:rPr>
        <w:t>Chemotherapy</w:t>
      </w:r>
      <w:r w:rsidRPr="00B548C7">
        <w:t xml:space="preserve"> </w:t>
      </w:r>
      <w:r w:rsidRPr="00B548C7">
        <w:rPr>
          <w:b/>
          <w:bCs/>
        </w:rPr>
        <w:t>1971</w:t>
      </w:r>
      <w:r w:rsidRPr="00B548C7">
        <w:t xml:space="preserve">, </w:t>
      </w:r>
      <w:r w:rsidRPr="00B548C7">
        <w:rPr>
          <w:i/>
          <w:iCs/>
        </w:rPr>
        <w:t>16</w:t>
      </w:r>
      <w:r w:rsidRPr="00B548C7">
        <w:t xml:space="preserve"> (6), 356–370. https://doi.org/10.1159/000220750.</w:t>
      </w:r>
    </w:p>
    <w:p w14:paraId="61B49DDF" w14:textId="77777777" w:rsidR="00B548C7" w:rsidRPr="00B548C7" w:rsidRDefault="00B548C7" w:rsidP="00B548C7">
      <w:pPr>
        <w:pStyle w:val="Bibliography"/>
      </w:pPr>
      <w:r w:rsidRPr="00B548C7">
        <w:t>(46)</w:t>
      </w:r>
      <w:r w:rsidRPr="00B548C7">
        <w:tab/>
        <w:t xml:space="preserve">Peloquin, C. A.; </w:t>
      </w:r>
      <w:proofErr w:type="spellStart"/>
      <w:r w:rsidRPr="00B548C7">
        <w:t>Jaresko</w:t>
      </w:r>
      <w:proofErr w:type="spellEnd"/>
      <w:r w:rsidRPr="00B548C7">
        <w:t xml:space="preserve">, G. S.; Yong, C. L.; Keung, A. C.; Bulpitt, A. E.; Jelliffe, R. W. Population Pharmacokinetic Modeling of Isoniazid, Rifampin, and Pyrazinamide. </w:t>
      </w:r>
      <w:proofErr w:type="spellStart"/>
      <w:r w:rsidRPr="00B548C7">
        <w:rPr>
          <w:i/>
          <w:iCs/>
        </w:rPr>
        <w:t>Antimicrob</w:t>
      </w:r>
      <w:proofErr w:type="spellEnd"/>
      <w:r w:rsidRPr="00B548C7">
        <w:rPr>
          <w:i/>
          <w:iCs/>
        </w:rPr>
        <w:t xml:space="preserve"> Agents </w:t>
      </w:r>
      <w:proofErr w:type="spellStart"/>
      <w:r w:rsidRPr="00B548C7">
        <w:rPr>
          <w:i/>
          <w:iCs/>
        </w:rPr>
        <w:t>Chemother</w:t>
      </w:r>
      <w:proofErr w:type="spellEnd"/>
      <w:r w:rsidRPr="00B548C7">
        <w:t xml:space="preserve"> </w:t>
      </w:r>
      <w:r w:rsidRPr="00B548C7">
        <w:rPr>
          <w:b/>
          <w:bCs/>
        </w:rPr>
        <w:t>1997</w:t>
      </w:r>
      <w:r w:rsidRPr="00B548C7">
        <w:t xml:space="preserve">, </w:t>
      </w:r>
      <w:r w:rsidRPr="00B548C7">
        <w:rPr>
          <w:i/>
          <w:iCs/>
        </w:rPr>
        <w:t>41</w:t>
      </w:r>
      <w:r w:rsidRPr="00B548C7">
        <w:t xml:space="preserve"> (12), 2670–2679. https://doi.org/10.1128/AAC.41.12.2670.</w:t>
      </w:r>
    </w:p>
    <w:p w14:paraId="69196800" w14:textId="77777777" w:rsidR="00B548C7" w:rsidRPr="00B548C7" w:rsidRDefault="00B548C7" w:rsidP="00B548C7">
      <w:pPr>
        <w:pStyle w:val="Bibliography"/>
      </w:pPr>
      <w:r w:rsidRPr="00B548C7">
        <w:t>(47)</w:t>
      </w:r>
      <w:r w:rsidRPr="00B548C7">
        <w:tab/>
        <w:t>Nakagami, T.; Yasui-</w:t>
      </w:r>
      <w:proofErr w:type="spellStart"/>
      <w:r w:rsidRPr="00B548C7">
        <w:t>Furukori</w:t>
      </w:r>
      <w:proofErr w:type="spellEnd"/>
      <w:r w:rsidRPr="00B548C7">
        <w:t xml:space="preserve">, N.; Saito, M.; Tateishi, T.; Kaneo, S. Effect of Verapamil on Pharmacokinetics and Pharmacodynamics of Risperidone: In Vivo Evidence of Involvement of P-Glycoprotein in Risperidone Disposition. </w:t>
      </w:r>
      <w:r w:rsidRPr="00B548C7">
        <w:rPr>
          <w:i/>
          <w:iCs/>
        </w:rPr>
        <w:t xml:space="preserve">Clin </w:t>
      </w:r>
      <w:proofErr w:type="spellStart"/>
      <w:r w:rsidRPr="00B548C7">
        <w:rPr>
          <w:i/>
          <w:iCs/>
        </w:rPr>
        <w:t>Pharmacol</w:t>
      </w:r>
      <w:proofErr w:type="spellEnd"/>
      <w:r w:rsidRPr="00B548C7">
        <w:rPr>
          <w:i/>
          <w:iCs/>
        </w:rPr>
        <w:t xml:space="preserve"> Ther</w:t>
      </w:r>
      <w:r w:rsidRPr="00B548C7">
        <w:t xml:space="preserve"> </w:t>
      </w:r>
      <w:r w:rsidRPr="00B548C7">
        <w:rPr>
          <w:b/>
          <w:bCs/>
        </w:rPr>
        <w:t>2005</w:t>
      </w:r>
      <w:r w:rsidRPr="00B548C7">
        <w:t xml:space="preserve">, </w:t>
      </w:r>
      <w:r w:rsidRPr="00B548C7">
        <w:rPr>
          <w:i/>
          <w:iCs/>
        </w:rPr>
        <w:t>78</w:t>
      </w:r>
      <w:r w:rsidRPr="00B548C7">
        <w:t xml:space="preserve"> (1), 43–51. https://doi.org/10.1016/j.clpt.2005.03.009.</w:t>
      </w:r>
    </w:p>
    <w:p w14:paraId="0EB7A8BC" w14:textId="77777777" w:rsidR="00B548C7" w:rsidRPr="00B548C7" w:rsidRDefault="00B548C7" w:rsidP="00B548C7">
      <w:pPr>
        <w:pStyle w:val="Bibliography"/>
      </w:pPr>
      <w:r w:rsidRPr="00B548C7">
        <w:t>(48)</w:t>
      </w:r>
      <w:r w:rsidRPr="00B548C7">
        <w:tab/>
        <w:t xml:space="preserve">Gutierrez, R.; Lee, P. I.; Huang, M. L.; </w:t>
      </w:r>
      <w:proofErr w:type="spellStart"/>
      <w:r w:rsidRPr="00B548C7">
        <w:t>Woestenborghs</w:t>
      </w:r>
      <w:proofErr w:type="spellEnd"/>
      <w:r w:rsidRPr="00B548C7">
        <w:t xml:space="preserve">, R. Risperidone: Effects of Formulations on Oral Bioavailability. </w:t>
      </w:r>
      <w:r w:rsidRPr="00B548C7">
        <w:rPr>
          <w:i/>
          <w:iCs/>
        </w:rPr>
        <w:t>Pharmacotherapy</w:t>
      </w:r>
      <w:r w:rsidRPr="00B548C7">
        <w:t xml:space="preserve"> </w:t>
      </w:r>
      <w:r w:rsidRPr="00B548C7">
        <w:rPr>
          <w:b/>
          <w:bCs/>
        </w:rPr>
        <w:t>1997</w:t>
      </w:r>
      <w:r w:rsidRPr="00B548C7">
        <w:t xml:space="preserve">, </w:t>
      </w:r>
      <w:r w:rsidRPr="00B548C7">
        <w:rPr>
          <w:i/>
          <w:iCs/>
        </w:rPr>
        <w:t>17</w:t>
      </w:r>
      <w:r w:rsidRPr="00B548C7">
        <w:t xml:space="preserve"> (3), 599–605.</w:t>
      </w:r>
    </w:p>
    <w:p w14:paraId="36D0FAE1" w14:textId="77777777" w:rsidR="00B548C7" w:rsidRPr="00B548C7" w:rsidRDefault="00B548C7" w:rsidP="00B548C7">
      <w:pPr>
        <w:pStyle w:val="Bibliography"/>
      </w:pPr>
      <w:r w:rsidRPr="00B548C7">
        <w:t>(49)</w:t>
      </w:r>
      <w:r w:rsidRPr="00B548C7">
        <w:tab/>
        <w:t xml:space="preserve">Kim, K.-A.; Park, P.-W.; Liu, K.-H.; Kim, K.-B.; Lee, H.-J.; Shin, J.-G.; Park, J.-Y. Effect of Rifampin, an Inducer of CYP3A and P-Glycoprotein, on the Pharmacokinetics of Risperidone. </w:t>
      </w:r>
      <w:r w:rsidRPr="00B548C7">
        <w:rPr>
          <w:i/>
          <w:iCs/>
        </w:rPr>
        <w:t xml:space="preserve">J Clin </w:t>
      </w:r>
      <w:proofErr w:type="spellStart"/>
      <w:r w:rsidRPr="00B548C7">
        <w:rPr>
          <w:i/>
          <w:iCs/>
        </w:rPr>
        <w:t>Pharmacol</w:t>
      </w:r>
      <w:proofErr w:type="spellEnd"/>
      <w:r w:rsidRPr="00B548C7">
        <w:t xml:space="preserve"> </w:t>
      </w:r>
      <w:r w:rsidRPr="00B548C7">
        <w:rPr>
          <w:b/>
          <w:bCs/>
        </w:rPr>
        <w:t>2008</w:t>
      </w:r>
      <w:r w:rsidRPr="00B548C7">
        <w:t xml:space="preserve">, </w:t>
      </w:r>
      <w:r w:rsidRPr="00B548C7">
        <w:rPr>
          <w:i/>
          <w:iCs/>
        </w:rPr>
        <w:t>48</w:t>
      </w:r>
      <w:r w:rsidRPr="00B548C7">
        <w:t xml:space="preserve"> (1), 66–72. https://doi.org/10.1177/0091270007309888.</w:t>
      </w:r>
    </w:p>
    <w:p w14:paraId="0A3567A1" w14:textId="77777777" w:rsidR="00B548C7" w:rsidRPr="00B548C7" w:rsidRDefault="00B548C7" w:rsidP="00B548C7">
      <w:pPr>
        <w:pStyle w:val="Bibliography"/>
      </w:pPr>
      <w:r w:rsidRPr="00B548C7">
        <w:t>(50)</w:t>
      </w:r>
      <w:r w:rsidRPr="00B548C7">
        <w:tab/>
        <w:t xml:space="preserve">Kubitza, D.; Becka, M.; Voith, B.; Zuehlsdorf, M.; Wensing, G. Safety, Pharmacodynamics, and Pharmacokinetics of Single Doses of BAY 59-7939, an Oral, Direct Factor Xa Inhibitor. </w:t>
      </w:r>
      <w:r w:rsidRPr="00B548C7">
        <w:rPr>
          <w:i/>
          <w:iCs/>
        </w:rPr>
        <w:t xml:space="preserve">Clin </w:t>
      </w:r>
      <w:proofErr w:type="spellStart"/>
      <w:r w:rsidRPr="00B548C7">
        <w:rPr>
          <w:i/>
          <w:iCs/>
        </w:rPr>
        <w:t>Pharmacol</w:t>
      </w:r>
      <w:proofErr w:type="spellEnd"/>
      <w:r w:rsidRPr="00B548C7">
        <w:rPr>
          <w:i/>
          <w:iCs/>
        </w:rPr>
        <w:t xml:space="preserve"> Ther</w:t>
      </w:r>
      <w:r w:rsidRPr="00B548C7">
        <w:t xml:space="preserve"> </w:t>
      </w:r>
      <w:r w:rsidRPr="00B548C7">
        <w:rPr>
          <w:b/>
          <w:bCs/>
        </w:rPr>
        <w:t>2005</w:t>
      </w:r>
      <w:r w:rsidRPr="00B548C7">
        <w:t xml:space="preserve">, </w:t>
      </w:r>
      <w:r w:rsidRPr="00B548C7">
        <w:rPr>
          <w:i/>
          <w:iCs/>
        </w:rPr>
        <w:t>78</w:t>
      </w:r>
      <w:r w:rsidRPr="00B548C7">
        <w:t xml:space="preserve"> (4), 412–421. https://doi.org/10.1016/j.clpt.2005.06.011.</w:t>
      </w:r>
    </w:p>
    <w:p w14:paraId="3DD52F74" w14:textId="77777777" w:rsidR="00B548C7" w:rsidRPr="00B548C7" w:rsidRDefault="00B548C7" w:rsidP="00B548C7">
      <w:pPr>
        <w:pStyle w:val="Bibliography"/>
      </w:pPr>
      <w:r w:rsidRPr="00B548C7">
        <w:t>(51)</w:t>
      </w:r>
      <w:r w:rsidRPr="00B548C7">
        <w:tab/>
        <w:t>Clinical Pharmacology and Biopharmaceutics Review: Avandia (Rosiglitazone Maleate) (NDA 021071), 1999. https://www.accessdata.fda.gov/drugsatfda_docs/nda/99/21071_Avandia_biopharmr_P1.pdf.</w:t>
      </w:r>
    </w:p>
    <w:p w14:paraId="368A562C" w14:textId="77777777" w:rsidR="00B548C7" w:rsidRPr="00B548C7" w:rsidRDefault="00B548C7" w:rsidP="00B548C7">
      <w:pPr>
        <w:pStyle w:val="Bibliography"/>
      </w:pPr>
      <w:r w:rsidRPr="00B548C7">
        <w:t>(52)</w:t>
      </w:r>
      <w:r w:rsidRPr="00B548C7">
        <w:tab/>
        <w:t xml:space="preserve">Nichols, D. J.; Muirhead, G. J.; Harness, J. A. Pharmacokinetics of Sildenafil after Single Oral Doses in Healthy Male Subjects: Absolute Bioavailability, Food Effects and Dose Proportionality. </w:t>
      </w:r>
      <w:r w:rsidRPr="00B548C7">
        <w:rPr>
          <w:i/>
          <w:iCs/>
        </w:rPr>
        <w:t xml:space="preserve">Br J Clin </w:t>
      </w:r>
      <w:proofErr w:type="spellStart"/>
      <w:r w:rsidRPr="00B548C7">
        <w:rPr>
          <w:i/>
          <w:iCs/>
        </w:rPr>
        <w:t>Pharmacol</w:t>
      </w:r>
      <w:proofErr w:type="spellEnd"/>
      <w:r w:rsidRPr="00B548C7">
        <w:t xml:space="preserve"> </w:t>
      </w:r>
      <w:r w:rsidRPr="00B548C7">
        <w:rPr>
          <w:b/>
          <w:bCs/>
        </w:rPr>
        <w:t>2002</w:t>
      </w:r>
      <w:r w:rsidRPr="00B548C7">
        <w:t xml:space="preserve">, </w:t>
      </w:r>
      <w:r w:rsidRPr="00B548C7">
        <w:rPr>
          <w:i/>
          <w:iCs/>
        </w:rPr>
        <w:t>53 Suppl 1</w:t>
      </w:r>
      <w:r w:rsidRPr="00B548C7">
        <w:t xml:space="preserve"> (Suppl 1), 5S-12S. https://doi.org/10.1046/j.0306-5251.2001.00027.x.</w:t>
      </w:r>
    </w:p>
    <w:p w14:paraId="7418B870" w14:textId="77777777" w:rsidR="00B548C7" w:rsidRPr="00B548C7" w:rsidRDefault="00B548C7" w:rsidP="00B548C7">
      <w:pPr>
        <w:pStyle w:val="Bibliography"/>
      </w:pPr>
      <w:r w:rsidRPr="00B548C7">
        <w:t>(53)</w:t>
      </w:r>
      <w:r w:rsidRPr="00B548C7">
        <w:tab/>
      </w:r>
      <w:proofErr w:type="spellStart"/>
      <w:r w:rsidRPr="00B548C7">
        <w:t>Krecic</w:t>
      </w:r>
      <w:proofErr w:type="spellEnd"/>
      <w:r w:rsidRPr="00B548C7">
        <w:t xml:space="preserve">-Shepard, M. E.; Barnas, C. R.; Slimko, J.; Jones, M. P.; Schwartz, J. B. Gender-Specific Effects on Verapamil Pharmacokinetics and Pharmacodynamics in Humans. </w:t>
      </w:r>
      <w:r w:rsidRPr="00B548C7">
        <w:rPr>
          <w:i/>
          <w:iCs/>
        </w:rPr>
        <w:t xml:space="preserve">J Clin </w:t>
      </w:r>
      <w:proofErr w:type="spellStart"/>
      <w:r w:rsidRPr="00B548C7">
        <w:rPr>
          <w:i/>
          <w:iCs/>
        </w:rPr>
        <w:t>Pharmacol</w:t>
      </w:r>
      <w:proofErr w:type="spellEnd"/>
      <w:r w:rsidRPr="00B548C7">
        <w:t xml:space="preserve"> </w:t>
      </w:r>
      <w:r w:rsidRPr="00B548C7">
        <w:rPr>
          <w:b/>
          <w:bCs/>
        </w:rPr>
        <w:t>2000</w:t>
      </w:r>
      <w:r w:rsidRPr="00B548C7">
        <w:t xml:space="preserve">, </w:t>
      </w:r>
      <w:r w:rsidRPr="00B548C7">
        <w:rPr>
          <w:i/>
          <w:iCs/>
        </w:rPr>
        <w:t>40</w:t>
      </w:r>
      <w:r w:rsidRPr="00B548C7">
        <w:t xml:space="preserve"> (3), 219–230. https://doi.org/10.1177/00912700022008883.</w:t>
      </w:r>
    </w:p>
    <w:p w14:paraId="73689473" w14:textId="77777777" w:rsidR="00B548C7" w:rsidRPr="00B548C7" w:rsidRDefault="00B548C7" w:rsidP="00B548C7">
      <w:pPr>
        <w:pStyle w:val="Bibliography"/>
      </w:pPr>
      <w:r w:rsidRPr="00B548C7">
        <w:t>(54)</w:t>
      </w:r>
      <w:r w:rsidRPr="00B548C7">
        <w:tab/>
        <w:t xml:space="preserve">Chourey, S.; Ye, Q.; Reddy, C. N.; Wang, R.; Cossette, C.; Gravel, S.; </w:t>
      </w:r>
      <w:proofErr w:type="spellStart"/>
      <w:r w:rsidRPr="00B548C7">
        <w:t>Slobodchikova</w:t>
      </w:r>
      <w:proofErr w:type="spellEnd"/>
      <w:r w:rsidRPr="00B548C7">
        <w:t xml:space="preserve">, I.; Vuckovic, D.; Rokach, J.; Powell, W. S. Novel Highly Potent and Metabolically Resistant </w:t>
      </w:r>
      <w:proofErr w:type="spellStart"/>
      <w:r w:rsidRPr="00B548C7">
        <w:t>Oxoeicosanoid</w:t>
      </w:r>
      <w:proofErr w:type="spellEnd"/>
      <w:r w:rsidRPr="00B548C7">
        <w:t xml:space="preserve"> (OXE) Receptor Antagonists That Block the Actions of the Granulocyte Chemoattractant 5-Oxo-6,8,11,14-Eicosatetraenoic Acid (5-Oxo-ETE). </w:t>
      </w:r>
      <w:r w:rsidRPr="00B548C7">
        <w:rPr>
          <w:i/>
          <w:iCs/>
        </w:rPr>
        <w:t>J. Med. Chem.</w:t>
      </w:r>
      <w:r w:rsidRPr="00B548C7">
        <w:t xml:space="preserve"> </w:t>
      </w:r>
      <w:r w:rsidRPr="00B548C7">
        <w:rPr>
          <w:b/>
          <w:bCs/>
        </w:rPr>
        <w:t>2018</w:t>
      </w:r>
      <w:r w:rsidRPr="00B548C7">
        <w:t xml:space="preserve">, </w:t>
      </w:r>
      <w:r w:rsidRPr="00B548C7">
        <w:rPr>
          <w:i/>
          <w:iCs/>
        </w:rPr>
        <w:t>61</w:t>
      </w:r>
      <w:r w:rsidRPr="00B548C7">
        <w:t xml:space="preserve"> (14), 5934–5948. https://doi.org/10.1021/acs.jmedchem.8b00154.</w:t>
      </w:r>
    </w:p>
    <w:p w14:paraId="0E13F20C" w14:textId="77777777" w:rsidR="00B548C7" w:rsidRPr="00B548C7" w:rsidRDefault="00B548C7" w:rsidP="00B548C7">
      <w:pPr>
        <w:pStyle w:val="Bibliography"/>
      </w:pPr>
      <w:r w:rsidRPr="00B548C7">
        <w:t>(55)</w:t>
      </w:r>
      <w:r w:rsidRPr="00B548C7">
        <w:tab/>
        <w:t xml:space="preserve">Gu, X.; Wang, L.; Gan, J.; Fancher, R. M.; Tian, Y.; Hong, Y.; Lai, Y.; Sinz, M.; Shen, H. Absorption and Disposition of Coproporphyrin I (CPI) in Cynomolgus Monkeys and Mice: Pharmacokinetic Evidence to Support the Use of CPI to Inform the Potential for Organic Anion-Transporting Polypeptide Inhibition. </w:t>
      </w:r>
      <w:r w:rsidRPr="00B548C7">
        <w:rPr>
          <w:i/>
          <w:iCs/>
        </w:rPr>
        <w:t>Drug Metabolism and Disposition</w:t>
      </w:r>
      <w:r w:rsidRPr="00B548C7">
        <w:t xml:space="preserve"> </w:t>
      </w:r>
      <w:r w:rsidRPr="00B548C7">
        <w:rPr>
          <w:b/>
          <w:bCs/>
        </w:rPr>
        <w:t>2020</w:t>
      </w:r>
      <w:r w:rsidRPr="00B548C7">
        <w:t xml:space="preserve">, </w:t>
      </w:r>
      <w:r w:rsidRPr="00B548C7">
        <w:rPr>
          <w:i/>
          <w:iCs/>
        </w:rPr>
        <w:t>48</w:t>
      </w:r>
      <w:r w:rsidRPr="00B548C7">
        <w:t xml:space="preserve"> (8), 724–734. https://doi.org/10.1124/dmd.120.090670.</w:t>
      </w:r>
    </w:p>
    <w:p w14:paraId="2E3969FD" w14:textId="77777777" w:rsidR="00B548C7" w:rsidRPr="00B548C7" w:rsidRDefault="00B548C7" w:rsidP="00B548C7">
      <w:pPr>
        <w:pStyle w:val="Bibliography"/>
      </w:pPr>
      <w:r w:rsidRPr="00B548C7">
        <w:lastRenderedPageBreak/>
        <w:t>(56)</w:t>
      </w:r>
      <w:r w:rsidRPr="00B548C7">
        <w:tab/>
        <w:t xml:space="preserve">Actis, M.; Cresser-Brown, J.; Caine, E. A.; Steger, M.; Aggarwal, A.; </w:t>
      </w:r>
      <w:proofErr w:type="spellStart"/>
      <w:r w:rsidRPr="00B548C7">
        <w:t>Mayasundari</w:t>
      </w:r>
      <w:proofErr w:type="spellEnd"/>
      <w:r w:rsidRPr="00B548C7">
        <w:t xml:space="preserve">, A.; Murphy, N.; </w:t>
      </w:r>
      <w:proofErr w:type="spellStart"/>
      <w:r w:rsidRPr="00B548C7">
        <w:t>Valinciute</w:t>
      </w:r>
      <w:proofErr w:type="spellEnd"/>
      <w:r w:rsidRPr="00B548C7">
        <w:t xml:space="preserve">, G.; Li, Y.; Fu, X.; Yang, L.; Marsh, G.; Hughes, G.; </w:t>
      </w:r>
      <w:proofErr w:type="spellStart"/>
      <w:r w:rsidRPr="00B548C7">
        <w:t>Karadogan</w:t>
      </w:r>
      <w:proofErr w:type="spellEnd"/>
      <w:r w:rsidRPr="00B548C7">
        <w:t xml:space="preserve">, B.; Wheeler, D.; Norley, M.; Spain, F.; Urh, M.; Roussel, M. F.; Schwalb, B.; Daub, H.; </w:t>
      </w:r>
      <w:proofErr w:type="spellStart"/>
      <w:r w:rsidRPr="00B548C7">
        <w:t>Riching</w:t>
      </w:r>
      <w:proofErr w:type="spellEnd"/>
      <w:r w:rsidRPr="00B548C7">
        <w:t xml:space="preserve">, K. M.; Maple, H.; Nishiguchi, G.; </w:t>
      </w:r>
      <w:proofErr w:type="spellStart"/>
      <w:r w:rsidRPr="00B548C7">
        <w:t>Rankovic</w:t>
      </w:r>
      <w:proofErr w:type="spellEnd"/>
      <w:r w:rsidRPr="00B548C7">
        <w:t xml:space="preserve">, Z. Evaluation of </w:t>
      </w:r>
      <w:proofErr w:type="spellStart"/>
      <w:r w:rsidRPr="00B548C7">
        <w:t>Cereblon</w:t>
      </w:r>
      <w:proofErr w:type="spellEnd"/>
      <w:r w:rsidRPr="00B548C7">
        <w:t xml:space="preserve">-Directing Warheads for the Development of Orally Bioavailable PROTACs. </w:t>
      </w:r>
      <w:r w:rsidRPr="00B548C7">
        <w:rPr>
          <w:i/>
          <w:iCs/>
        </w:rPr>
        <w:t>J. Med. Chem.</w:t>
      </w:r>
      <w:r w:rsidRPr="00B548C7">
        <w:t xml:space="preserve"> </w:t>
      </w:r>
      <w:r w:rsidRPr="00B548C7">
        <w:rPr>
          <w:b/>
          <w:bCs/>
        </w:rPr>
        <w:t>2025</w:t>
      </w:r>
      <w:r w:rsidRPr="00B548C7">
        <w:t xml:space="preserve">, </w:t>
      </w:r>
      <w:r w:rsidRPr="00B548C7">
        <w:rPr>
          <w:i/>
          <w:iCs/>
        </w:rPr>
        <w:t>68</w:t>
      </w:r>
      <w:r w:rsidRPr="00B548C7">
        <w:t xml:space="preserve"> (3), 3591–3611. https://doi.org/10.1021/acs.jmedchem.4c02709.</w:t>
      </w:r>
    </w:p>
    <w:p w14:paraId="6BA3C827" w14:textId="77777777" w:rsidR="00B548C7" w:rsidRPr="00B548C7" w:rsidRDefault="00B548C7" w:rsidP="00B548C7">
      <w:pPr>
        <w:pStyle w:val="Bibliography"/>
      </w:pPr>
      <w:r w:rsidRPr="00B548C7">
        <w:t>(57)</w:t>
      </w:r>
      <w:r w:rsidRPr="00B548C7">
        <w:tab/>
        <w:t xml:space="preserve">Dong, Y.; Wang, X.; Kamaraj, S.; </w:t>
      </w:r>
      <w:proofErr w:type="spellStart"/>
      <w:r w:rsidRPr="00B548C7">
        <w:t>Bulbule</w:t>
      </w:r>
      <w:proofErr w:type="spellEnd"/>
      <w:r w:rsidRPr="00B548C7">
        <w:t xml:space="preserve">, V. J.; Chiu, F. C. K.; Chollet, J.; Dhanasekaran, M.; Hein, C. D.; </w:t>
      </w:r>
      <w:proofErr w:type="spellStart"/>
      <w:r w:rsidRPr="00B548C7">
        <w:t>Papastogiannidis</w:t>
      </w:r>
      <w:proofErr w:type="spellEnd"/>
      <w:r w:rsidRPr="00B548C7">
        <w:t xml:space="preserve">, P.; </w:t>
      </w:r>
      <w:proofErr w:type="spellStart"/>
      <w:r w:rsidRPr="00B548C7">
        <w:t>Morizzi</w:t>
      </w:r>
      <w:proofErr w:type="spellEnd"/>
      <w:r w:rsidRPr="00B548C7">
        <w:t xml:space="preserve">, J.; Shackleford, D. M.; Barker, H.; Ryan, E.; Scheurer, C.; Tang, Y.; Zhao, Q.; Zhou, L.; White, K. L.; </w:t>
      </w:r>
      <w:proofErr w:type="spellStart"/>
      <w:r w:rsidRPr="00B548C7">
        <w:t>Urwyler</w:t>
      </w:r>
      <w:proofErr w:type="spellEnd"/>
      <w:r w:rsidRPr="00B548C7">
        <w:t xml:space="preserve">, H.; Charman, W. N.; Matile, H.; Wittlin, S.; Charman, S. A.; </w:t>
      </w:r>
      <w:proofErr w:type="spellStart"/>
      <w:r w:rsidRPr="00B548C7">
        <w:t>Vennerstrom</w:t>
      </w:r>
      <w:proofErr w:type="spellEnd"/>
      <w:r w:rsidRPr="00B548C7">
        <w:t xml:space="preserve">, J. L. Structure–Activity Relationship of the Antimalarial Ozonide </w:t>
      </w:r>
      <w:proofErr w:type="spellStart"/>
      <w:r w:rsidRPr="00B548C7">
        <w:t>Artefenomel</w:t>
      </w:r>
      <w:proofErr w:type="spellEnd"/>
      <w:r w:rsidRPr="00B548C7">
        <w:t xml:space="preserve"> (OZ439). </w:t>
      </w:r>
      <w:r w:rsidRPr="00B548C7">
        <w:rPr>
          <w:i/>
          <w:iCs/>
        </w:rPr>
        <w:t>J. Med. Chem.</w:t>
      </w:r>
      <w:r w:rsidRPr="00B548C7">
        <w:t xml:space="preserve"> </w:t>
      </w:r>
      <w:r w:rsidRPr="00B548C7">
        <w:rPr>
          <w:b/>
          <w:bCs/>
        </w:rPr>
        <w:t>2017</w:t>
      </w:r>
      <w:r w:rsidRPr="00B548C7">
        <w:t xml:space="preserve">, </w:t>
      </w:r>
      <w:r w:rsidRPr="00B548C7">
        <w:rPr>
          <w:i/>
          <w:iCs/>
        </w:rPr>
        <w:t>60</w:t>
      </w:r>
      <w:r w:rsidRPr="00B548C7">
        <w:t xml:space="preserve"> (7), 2654–2668. https://doi.org/10.1021/acs.jmedchem.6b01586.</w:t>
      </w:r>
    </w:p>
    <w:p w14:paraId="054277AF" w14:textId="77777777" w:rsidR="00B548C7" w:rsidRPr="00B548C7" w:rsidRDefault="00B548C7" w:rsidP="00B548C7">
      <w:pPr>
        <w:pStyle w:val="Bibliography"/>
      </w:pPr>
      <w:r w:rsidRPr="00B548C7">
        <w:t>(58)</w:t>
      </w:r>
      <w:r w:rsidRPr="00B548C7">
        <w:tab/>
      </w:r>
      <w:r w:rsidRPr="00B548C7">
        <w:rPr>
          <w:i/>
          <w:iCs/>
        </w:rPr>
        <w:t>Discovery of an Oral, Beyond-Rule-of-Five Mcl-1 Protein–Protein Interaction Modulator with the Potential of Treating Hematological Malignancies | Journal of Medicinal Chemistry</w:t>
      </w:r>
      <w:r w:rsidRPr="00B548C7">
        <w:t>. https://pubs.acs.org/doi/full/10.1021/acs.jmedchem.2c01953 (accessed 2026-06-30).</w:t>
      </w:r>
    </w:p>
    <w:p w14:paraId="61F61D42" w14:textId="77777777" w:rsidR="00B548C7" w:rsidRPr="00B548C7" w:rsidRDefault="00B548C7" w:rsidP="00B548C7">
      <w:pPr>
        <w:pStyle w:val="Bibliography"/>
      </w:pPr>
      <w:r w:rsidRPr="00B548C7">
        <w:t>(59)</w:t>
      </w:r>
      <w:r w:rsidRPr="00B548C7">
        <w:tab/>
        <w:t xml:space="preserve">Shi, S.; Du, Y.; Zou, Y.; Niu, J.; Cai, Z.; Wang, X.; Qiu, F.; Ding, Y.; Yang, G.; Wu, Y.; Xu, Y.; Zhu, Q. Rational Design for </w:t>
      </w:r>
      <w:proofErr w:type="spellStart"/>
      <w:r w:rsidRPr="00B548C7">
        <w:t>Nitroreductase</w:t>
      </w:r>
      <w:proofErr w:type="spellEnd"/>
      <w:r w:rsidRPr="00B548C7">
        <w:t xml:space="preserve"> (NTR)-Responsive Proteolysis Targeting Chimeras (PROTACs) Selectively Targeting Tumor Tissues. </w:t>
      </w:r>
      <w:r w:rsidRPr="00B548C7">
        <w:rPr>
          <w:i/>
          <w:iCs/>
        </w:rPr>
        <w:t>J. Med. Chem.</w:t>
      </w:r>
      <w:r w:rsidRPr="00B548C7">
        <w:t xml:space="preserve"> </w:t>
      </w:r>
      <w:r w:rsidRPr="00B548C7">
        <w:rPr>
          <w:b/>
          <w:bCs/>
        </w:rPr>
        <w:t>2022</w:t>
      </w:r>
      <w:r w:rsidRPr="00B548C7">
        <w:t xml:space="preserve">, </w:t>
      </w:r>
      <w:r w:rsidRPr="00B548C7">
        <w:rPr>
          <w:i/>
          <w:iCs/>
        </w:rPr>
        <w:t>65</w:t>
      </w:r>
      <w:r w:rsidRPr="00B548C7">
        <w:t xml:space="preserve"> (6), 5057–5071. https://doi.org/10.1021/acs.jmedchem.1c02221.</w:t>
      </w:r>
    </w:p>
    <w:p w14:paraId="39CD5F05" w14:textId="77777777" w:rsidR="00B548C7" w:rsidRPr="00B548C7" w:rsidRDefault="00B548C7" w:rsidP="00B548C7">
      <w:pPr>
        <w:pStyle w:val="Bibliography"/>
      </w:pPr>
      <w:r w:rsidRPr="00B548C7">
        <w:t>(60)</w:t>
      </w:r>
      <w:r w:rsidRPr="00B548C7">
        <w:tab/>
      </w:r>
      <w:proofErr w:type="spellStart"/>
      <w:r w:rsidRPr="00B548C7">
        <w:t>Takwale</w:t>
      </w:r>
      <w:proofErr w:type="spellEnd"/>
      <w:r w:rsidRPr="00B548C7">
        <w:t xml:space="preserve">, A. D.; Jo, S.-H.; Jeon, Y. U.; Kim, H. S.; Shin, C. H.; Lee, H. K.; Ahn, S.; Lee, C. O.; Du Ha, J.; Kim, J.-H.; Hwang, J. Y. Design and Characterization of </w:t>
      </w:r>
      <w:proofErr w:type="spellStart"/>
      <w:r w:rsidRPr="00B548C7">
        <w:t>Cereblon</w:t>
      </w:r>
      <w:proofErr w:type="spellEnd"/>
      <w:r w:rsidRPr="00B548C7">
        <w:t xml:space="preserve">-Mediated Androgen Receptor Proteolysis-Targeting Chimeras. </w:t>
      </w:r>
      <w:r w:rsidRPr="00B548C7">
        <w:rPr>
          <w:i/>
          <w:iCs/>
        </w:rPr>
        <w:t>European Journal of Medicinal Chemistry</w:t>
      </w:r>
      <w:r w:rsidRPr="00B548C7">
        <w:t xml:space="preserve"> </w:t>
      </w:r>
      <w:r w:rsidRPr="00B548C7">
        <w:rPr>
          <w:b/>
          <w:bCs/>
        </w:rPr>
        <w:t>2020</w:t>
      </w:r>
      <w:r w:rsidRPr="00B548C7">
        <w:t xml:space="preserve">, </w:t>
      </w:r>
      <w:r w:rsidRPr="00B548C7">
        <w:rPr>
          <w:i/>
          <w:iCs/>
        </w:rPr>
        <w:t>208</w:t>
      </w:r>
      <w:r w:rsidRPr="00B548C7">
        <w:t>, 112769. https://doi.org/10.1016/j.ejmech.2020.112769.</w:t>
      </w:r>
    </w:p>
    <w:p w14:paraId="16C307D4" w14:textId="77777777" w:rsidR="00B548C7" w:rsidRPr="00B548C7" w:rsidRDefault="00B548C7" w:rsidP="00B548C7">
      <w:pPr>
        <w:pStyle w:val="Bibliography"/>
      </w:pPr>
      <w:r w:rsidRPr="00B548C7">
        <w:t>(61)</w:t>
      </w:r>
      <w:r w:rsidRPr="00B548C7">
        <w:tab/>
      </w:r>
      <w:proofErr w:type="spellStart"/>
      <w:r w:rsidRPr="00B548C7">
        <w:t>Kurawattimath</w:t>
      </w:r>
      <w:proofErr w:type="spellEnd"/>
      <w:r w:rsidRPr="00B548C7">
        <w:t xml:space="preserve">, V.; Pocha, K.; Mariappan, T. T.; Trivedi, R. K.; Mandlekar, S. A Modified Serial Blood Sampling Technique and Utility of Dried-Blood Spot Technique in Estimation of Blood Concentration: Application in Mouse Pharmacokinetics. </w:t>
      </w:r>
      <w:proofErr w:type="spellStart"/>
      <w:r w:rsidRPr="00B548C7">
        <w:rPr>
          <w:i/>
          <w:iCs/>
        </w:rPr>
        <w:t>Eur</w:t>
      </w:r>
      <w:proofErr w:type="spellEnd"/>
      <w:r w:rsidRPr="00B548C7">
        <w:rPr>
          <w:i/>
          <w:iCs/>
        </w:rPr>
        <w:t xml:space="preserve"> J Drug </w:t>
      </w:r>
      <w:proofErr w:type="spellStart"/>
      <w:r w:rsidRPr="00B548C7">
        <w:rPr>
          <w:i/>
          <w:iCs/>
        </w:rPr>
        <w:t>Metab</w:t>
      </w:r>
      <w:proofErr w:type="spellEnd"/>
      <w:r w:rsidRPr="00B548C7">
        <w:rPr>
          <w:i/>
          <w:iCs/>
        </w:rPr>
        <w:t xml:space="preserve"> </w:t>
      </w:r>
      <w:proofErr w:type="spellStart"/>
      <w:r w:rsidRPr="00B548C7">
        <w:rPr>
          <w:i/>
          <w:iCs/>
        </w:rPr>
        <w:t>Pharmacokinet</w:t>
      </w:r>
      <w:proofErr w:type="spellEnd"/>
      <w:r w:rsidRPr="00B548C7">
        <w:t xml:space="preserve"> </w:t>
      </w:r>
      <w:r w:rsidRPr="00B548C7">
        <w:rPr>
          <w:b/>
          <w:bCs/>
        </w:rPr>
        <w:t>2012</w:t>
      </w:r>
      <w:r w:rsidRPr="00B548C7">
        <w:t xml:space="preserve">, </w:t>
      </w:r>
      <w:r w:rsidRPr="00B548C7">
        <w:rPr>
          <w:i/>
          <w:iCs/>
        </w:rPr>
        <w:t>37</w:t>
      </w:r>
      <w:r w:rsidRPr="00B548C7">
        <w:t xml:space="preserve"> (1), 23–30. https://doi.org/10.1007/s13318-011-0066-5.</w:t>
      </w:r>
    </w:p>
    <w:p w14:paraId="53100EA8" w14:textId="77777777" w:rsidR="00B548C7" w:rsidRPr="00B548C7" w:rsidRDefault="00B548C7" w:rsidP="00B548C7">
      <w:pPr>
        <w:pStyle w:val="Bibliography"/>
      </w:pPr>
      <w:r w:rsidRPr="00B548C7">
        <w:t>(62)</w:t>
      </w:r>
      <w:r w:rsidRPr="00B548C7">
        <w:tab/>
      </w:r>
      <w:proofErr w:type="spellStart"/>
      <w:r w:rsidRPr="00B548C7">
        <w:t>Rahavendran</w:t>
      </w:r>
      <w:proofErr w:type="spellEnd"/>
      <w:r w:rsidRPr="00B548C7">
        <w:t xml:space="preserve">, S. V.; Vekich, S.; Skor, H.; </w:t>
      </w:r>
      <w:proofErr w:type="spellStart"/>
      <w:r w:rsidRPr="00B548C7">
        <w:t>Batugo</w:t>
      </w:r>
      <w:proofErr w:type="spellEnd"/>
      <w:r w:rsidRPr="00B548C7">
        <w:t xml:space="preserve">, M.; Nguyen, L.; Shetty, B.; Shen, Z. Discovery Pharmacokinetic Studies in Mice Using Serial </w:t>
      </w:r>
      <w:proofErr w:type="spellStart"/>
      <w:r w:rsidRPr="00B548C7">
        <w:t>Microsampling</w:t>
      </w:r>
      <w:proofErr w:type="spellEnd"/>
      <w:r w:rsidRPr="00B548C7">
        <w:t xml:space="preserve">, Dried Blood Spots </w:t>
      </w:r>
      <w:proofErr w:type="gramStart"/>
      <w:r w:rsidRPr="00B548C7">
        <w:t>And</w:t>
      </w:r>
      <w:proofErr w:type="gramEnd"/>
      <w:r w:rsidRPr="00B548C7">
        <w:t xml:space="preserve"> Microbore Lc–MS/MS. </w:t>
      </w:r>
      <w:r w:rsidRPr="00B548C7">
        <w:rPr>
          <w:i/>
          <w:iCs/>
        </w:rPr>
        <w:t>Bioanalysis</w:t>
      </w:r>
      <w:r w:rsidRPr="00B548C7">
        <w:t xml:space="preserve"> </w:t>
      </w:r>
      <w:r w:rsidRPr="00B548C7">
        <w:rPr>
          <w:b/>
          <w:bCs/>
        </w:rPr>
        <w:t>2012</w:t>
      </w:r>
      <w:r w:rsidRPr="00B548C7">
        <w:t xml:space="preserve">, </w:t>
      </w:r>
      <w:r w:rsidRPr="00B548C7">
        <w:rPr>
          <w:i/>
          <w:iCs/>
        </w:rPr>
        <w:t>4</w:t>
      </w:r>
      <w:r w:rsidRPr="00B548C7">
        <w:t xml:space="preserve"> (9), 1077–1095. https://doi.org/10.4155/bio.12.85.</w:t>
      </w:r>
    </w:p>
    <w:p w14:paraId="2A0F172D" w14:textId="77777777" w:rsidR="00B548C7" w:rsidRPr="00B548C7" w:rsidRDefault="00B548C7" w:rsidP="00B548C7">
      <w:pPr>
        <w:pStyle w:val="Bibliography"/>
      </w:pPr>
      <w:r w:rsidRPr="00B548C7">
        <w:t>(63)</w:t>
      </w:r>
      <w:r w:rsidRPr="00B548C7">
        <w:tab/>
        <w:t xml:space="preserve">Lee, D.; Lee, S.; Choi, J.; Song, Y.-K.; Kim, M. J.; Shin, D.-S.; Bae, M. A.; Kim, Y.-C.; Park, C.-J.; Lee, K.-R.; Choi, J.-H.; Seo, J. Interplay among Conformation, Intramolecular Hydrogen Bonds, and </w:t>
      </w:r>
      <w:proofErr w:type="spellStart"/>
      <w:r w:rsidRPr="00B548C7">
        <w:t>Chameleonicity</w:t>
      </w:r>
      <w:proofErr w:type="spellEnd"/>
      <w:r w:rsidRPr="00B548C7">
        <w:t xml:space="preserve"> in the Membrane Permeability and Cyclophilin A Binding of Macrocyclic Peptide Cyclosporin O Derivatives. </w:t>
      </w:r>
      <w:r w:rsidRPr="00B548C7">
        <w:rPr>
          <w:i/>
          <w:iCs/>
        </w:rPr>
        <w:t>J. Med. Chem.</w:t>
      </w:r>
      <w:r w:rsidRPr="00B548C7">
        <w:t xml:space="preserve"> </w:t>
      </w:r>
      <w:r w:rsidRPr="00B548C7">
        <w:rPr>
          <w:b/>
          <w:bCs/>
        </w:rPr>
        <w:t>2021</w:t>
      </w:r>
      <w:r w:rsidRPr="00B548C7">
        <w:t xml:space="preserve">, </w:t>
      </w:r>
      <w:r w:rsidRPr="00B548C7">
        <w:rPr>
          <w:i/>
          <w:iCs/>
        </w:rPr>
        <w:t>64</w:t>
      </w:r>
      <w:r w:rsidRPr="00B548C7">
        <w:t xml:space="preserve"> (12), 8272–8286. https://doi.org/10.1021/acs.jmedchem.1c00211.</w:t>
      </w:r>
    </w:p>
    <w:p w14:paraId="1FF8F284" w14:textId="77777777" w:rsidR="00B548C7" w:rsidRPr="00B548C7" w:rsidRDefault="00B548C7" w:rsidP="00B548C7">
      <w:pPr>
        <w:pStyle w:val="Bibliography"/>
      </w:pPr>
      <w:r w:rsidRPr="00B548C7">
        <w:t>(64)</w:t>
      </w:r>
      <w:r w:rsidRPr="00B548C7">
        <w:tab/>
        <w:t xml:space="preserve">Smith, N. F.; Baker, S. D.; Gonzalez, F. J.; Harris, J. W.; Figg, W. D.; </w:t>
      </w:r>
      <w:proofErr w:type="spellStart"/>
      <w:r w:rsidRPr="00B548C7">
        <w:t>Sparreboom</w:t>
      </w:r>
      <w:proofErr w:type="spellEnd"/>
      <w:r w:rsidRPr="00B548C7">
        <w:t xml:space="preserve">, A. Modulation of Erlotinib Pharmacokinetics in Mice by a Novel Cytochrome P450 3A4 Inhibitor, BAS 100. </w:t>
      </w:r>
      <w:r w:rsidRPr="00B548C7">
        <w:rPr>
          <w:i/>
          <w:iCs/>
        </w:rPr>
        <w:t>Br J Cancer</w:t>
      </w:r>
      <w:r w:rsidRPr="00B548C7">
        <w:t xml:space="preserve"> </w:t>
      </w:r>
      <w:r w:rsidRPr="00B548C7">
        <w:rPr>
          <w:b/>
          <w:bCs/>
        </w:rPr>
        <w:t>2008</w:t>
      </w:r>
      <w:r w:rsidRPr="00B548C7">
        <w:t xml:space="preserve">, </w:t>
      </w:r>
      <w:r w:rsidRPr="00B548C7">
        <w:rPr>
          <w:i/>
          <w:iCs/>
        </w:rPr>
        <w:t>98</w:t>
      </w:r>
      <w:r w:rsidRPr="00B548C7">
        <w:t xml:space="preserve"> (10), 1630–1632. https://doi.org/10.1038/sj.bjc.6604353.</w:t>
      </w:r>
    </w:p>
    <w:p w14:paraId="2C7C6B46" w14:textId="77777777" w:rsidR="00B548C7" w:rsidRPr="00B548C7" w:rsidRDefault="00B548C7" w:rsidP="00B548C7">
      <w:pPr>
        <w:pStyle w:val="Bibliography"/>
      </w:pPr>
      <w:r w:rsidRPr="00B548C7">
        <w:t>(65)</w:t>
      </w:r>
      <w:r w:rsidRPr="00B548C7">
        <w:tab/>
      </w:r>
      <w:proofErr w:type="spellStart"/>
      <w:r w:rsidRPr="00B548C7">
        <w:t>Pawaskar</w:t>
      </w:r>
      <w:proofErr w:type="spellEnd"/>
      <w:r w:rsidRPr="00B548C7">
        <w:t xml:space="preserve">, D. K.; Straubinger, R. M.; Fetterly, G. J.; Hylander, B. H.; Repasky, E. A.; Ma, W. </w:t>
      </w:r>
      <w:proofErr w:type="gramStart"/>
      <w:r w:rsidRPr="00B548C7">
        <w:t>W.;</w:t>
      </w:r>
      <w:proofErr w:type="gramEnd"/>
      <w:r w:rsidRPr="00B548C7">
        <w:t xml:space="preserve"> Jusko, W. J. Physiologically Based Pharmacokinetic Models for Everolimus and Sorafenib in Mice. </w:t>
      </w:r>
      <w:r w:rsidRPr="00B548C7">
        <w:rPr>
          <w:i/>
          <w:iCs/>
        </w:rPr>
        <w:t xml:space="preserve">Cancer </w:t>
      </w:r>
      <w:proofErr w:type="spellStart"/>
      <w:r w:rsidRPr="00B548C7">
        <w:rPr>
          <w:i/>
          <w:iCs/>
        </w:rPr>
        <w:t>Chemother</w:t>
      </w:r>
      <w:proofErr w:type="spellEnd"/>
      <w:r w:rsidRPr="00B548C7">
        <w:rPr>
          <w:i/>
          <w:iCs/>
        </w:rPr>
        <w:t xml:space="preserve"> </w:t>
      </w:r>
      <w:proofErr w:type="spellStart"/>
      <w:r w:rsidRPr="00B548C7">
        <w:rPr>
          <w:i/>
          <w:iCs/>
        </w:rPr>
        <w:t>Pharmacol</w:t>
      </w:r>
      <w:proofErr w:type="spellEnd"/>
      <w:r w:rsidRPr="00B548C7">
        <w:t xml:space="preserve"> </w:t>
      </w:r>
      <w:r w:rsidRPr="00B548C7">
        <w:rPr>
          <w:b/>
          <w:bCs/>
        </w:rPr>
        <w:t>2013</w:t>
      </w:r>
      <w:r w:rsidRPr="00B548C7">
        <w:t xml:space="preserve">, </w:t>
      </w:r>
      <w:r w:rsidRPr="00B548C7">
        <w:rPr>
          <w:i/>
          <w:iCs/>
        </w:rPr>
        <w:t>71</w:t>
      </w:r>
      <w:r w:rsidRPr="00B548C7">
        <w:t xml:space="preserve"> (5), 1219–1229. https://doi.org/10.1007/s00280-013-2116-y.</w:t>
      </w:r>
    </w:p>
    <w:p w14:paraId="3C2C348C" w14:textId="77777777" w:rsidR="00B548C7" w:rsidRPr="00B548C7" w:rsidRDefault="00B548C7" w:rsidP="00B548C7">
      <w:pPr>
        <w:pStyle w:val="Bibliography"/>
      </w:pPr>
      <w:r w:rsidRPr="00B548C7">
        <w:t>(66)</w:t>
      </w:r>
      <w:r w:rsidRPr="00B548C7">
        <w:tab/>
      </w:r>
      <w:r w:rsidRPr="00B548C7">
        <w:rPr>
          <w:i/>
          <w:iCs/>
        </w:rPr>
        <w:t xml:space="preserve">In Vivo Activity of the </w:t>
      </w:r>
      <w:proofErr w:type="spellStart"/>
      <w:r w:rsidRPr="00B548C7">
        <w:rPr>
          <w:i/>
          <w:iCs/>
        </w:rPr>
        <w:t>Pyrrolopyrazolyl</w:t>
      </w:r>
      <w:proofErr w:type="spellEnd"/>
      <w:r w:rsidRPr="00B548C7">
        <w:rPr>
          <w:i/>
          <w:iCs/>
        </w:rPr>
        <w:t>-Substituted Oxazolidinone RWJ-416457 | Antimicrobial Agents and Chemotherapy</w:t>
      </w:r>
      <w:r w:rsidRPr="00B548C7">
        <w:t>. https://journals.asm.org/doi/10.1128/aac.00833-08 (accessed 2026-06-30).</w:t>
      </w:r>
    </w:p>
    <w:p w14:paraId="06E8A9B7" w14:textId="77777777" w:rsidR="00B548C7" w:rsidRPr="00B548C7" w:rsidRDefault="00B548C7" w:rsidP="00B548C7">
      <w:pPr>
        <w:pStyle w:val="Bibliography"/>
      </w:pPr>
      <w:r w:rsidRPr="00B548C7">
        <w:t>(67)</w:t>
      </w:r>
      <w:r w:rsidRPr="00B548C7">
        <w:tab/>
      </w:r>
      <w:r w:rsidRPr="00B548C7">
        <w:rPr>
          <w:i/>
          <w:iCs/>
        </w:rPr>
        <w:t>Linker-free PROTACs efficiently induce the degradation of oncoproteins | Nature Communications</w:t>
      </w:r>
      <w:r w:rsidRPr="00B548C7">
        <w:t>. https://www.nature.com/articles/s41467-025-60107-7 (accessed 2026-06-30).</w:t>
      </w:r>
    </w:p>
    <w:p w14:paraId="26C39691" w14:textId="77777777" w:rsidR="00B548C7" w:rsidRPr="00B548C7" w:rsidRDefault="00B548C7" w:rsidP="00B548C7">
      <w:pPr>
        <w:pStyle w:val="Bibliography"/>
      </w:pPr>
      <w:r w:rsidRPr="00B548C7">
        <w:t>(68)</w:t>
      </w:r>
      <w:r w:rsidRPr="00B548C7">
        <w:tab/>
        <w:t xml:space="preserve">Bins, S.; van Doorn, L.; Phelps, M.; Gibson, A.; Hu, S.; Li, L.; Vasilyeva, A.; Du, G.; Hamberg, P.; Eskens, F.; de Bruijn, P.; </w:t>
      </w:r>
      <w:proofErr w:type="spellStart"/>
      <w:r w:rsidRPr="00B548C7">
        <w:t>Sparreboom</w:t>
      </w:r>
      <w:proofErr w:type="spellEnd"/>
      <w:r w:rsidRPr="00B548C7">
        <w:t xml:space="preserve">, A.; </w:t>
      </w:r>
      <w:proofErr w:type="spellStart"/>
      <w:r w:rsidRPr="00B548C7">
        <w:t>Mathijssen</w:t>
      </w:r>
      <w:proofErr w:type="spellEnd"/>
      <w:r w:rsidRPr="00B548C7">
        <w:t>, R.; Baker, S. Influence of OATP1B1 Function on the Disposition of Sorafenib</w:t>
      </w:r>
      <w:r w:rsidRPr="00B548C7">
        <w:rPr>
          <w:rFonts w:ascii="Cambria Math" w:hAnsi="Cambria Math" w:cs="Cambria Math"/>
        </w:rPr>
        <w:t>‐</w:t>
      </w:r>
      <w:r w:rsidRPr="00B548C7">
        <w:rPr>
          <w:rFonts w:ascii="Aptos" w:hAnsi="Aptos" w:cs="Aptos"/>
        </w:rPr>
        <w:t>β</w:t>
      </w:r>
      <w:r w:rsidRPr="00B548C7">
        <w:rPr>
          <w:rFonts w:ascii="Cambria Math" w:hAnsi="Cambria Math" w:cs="Cambria Math"/>
        </w:rPr>
        <w:t>‐</w:t>
      </w:r>
      <w:r w:rsidRPr="00B548C7">
        <w:t>D</w:t>
      </w:r>
      <w:r w:rsidRPr="00B548C7">
        <w:rPr>
          <w:rFonts w:ascii="Cambria Math" w:hAnsi="Cambria Math" w:cs="Cambria Math"/>
        </w:rPr>
        <w:t>‐</w:t>
      </w:r>
      <w:r w:rsidRPr="00B548C7">
        <w:t xml:space="preserve">Glucuronide. </w:t>
      </w:r>
      <w:r w:rsidRPr="00B548C7">
        <w:rPr>
          <w:i/>
          <w:iCs/>
        </w:rPr>
        <w:t xml:space="preserve">Clin </w:t>
      </w:r>
      <w:proofErr w:type="spellStart"/>
      <w:r w:rsidRPr="00B548C7">
        <w:rPr>
          <w:i/>
          <w:iCs/>
        </w:rPr>
        <w:t>Transl</w:t>
      </w:r>
      <w:proofErr w:type="spellEnd"/>
      <w:r w:rsidRPr="00B548C7">
        <w:rPr>
          <w:i/>
          <w:iCs/>
        </w:rPr>
        <w:t xml:space="preserve"> Sci</w:t>
      </w:r>
      <w:r w:rsidRPr="00B548C7">
        <w:t xml:space="preserve"> </w:t>
      </w:r>
      <w:r w:rsidRPr="00B548C7">
        <w:rPr>
          <w:b/>
          <w:bCs/>
        </w:rPr>
        <w:t>2017</w:t>
      </w:r>
      <w:r w:rsidRPr="00B548C7">
        <w:t xml:space="preserve">, </w:t>
      </w:r>
      <w:r w:rsidRPr="00B548C7">
        <w:rPr>
          <w:i/>
          <w:iCs/>
        </w:rPr>
        <w:t>10</w:t>
      </w:r>
      <w:r w:rsidRPr="00B548C7">
        <w:t xml:space="preserve"> (4), 271–279. https://doi.org/10.1111/cts.12458.</w:t>
      </w:r>
    </w:p>
    <w:p w14:paraId="3873FE49" w14:textId="77777777" w:rsidR="00B548C7" w:rsidRPr="00B548C7" w:rsidRDefault="00B548C7" w:rsidP="00B548C7">
      <w:pPr>
        <w:pStyle w:val="Bibliography"/>
      </w:pPr>
      <w:r w:rsidRPr="00B548C7">
        <w:lastRenderedPageBreak/>
        <w:t>(69)</w:t>
      </w:r>
      <w:r w:rsidRPr="00B548C7">
        <w:tab/>
        <w:t xml:space="preserve">Merz, M. L.; Habeshian, S.; Li, B.; David, J.-A. G. L.; Nielsen, A. L.; Ji, X.; Il </w:t>
      </w:r>
      <w:proofErr w:type="spellStart"/>
      <w:r w:rsidRPr="00B548C7">
        <w:t>Khwildy</w:t>
      </w:r>
      <w:proofErr w:type="spellEnd"/>
      <w:r w:rsidRPr="00B548C7">
        <w:t xml:space="preserve">, K.; Duany Benitez, M. M.; Phothirath, P.; Heinis, C. De Novo Development of Small Cyclic Peptides That Are Orally Bioavailable. </w:t>
      </w:r>
      <w:r w:rsidRPr="00B548C7">
        <w:rPr>
          <w:i/>
          <w:iCs/>
        </w:rPr>
        <w:t>Nat Chem Biol</w:t>
      </w:r>
      <w:r w:rsidRPr="00B548C7">
        <w:t xml:space="preserve"> </w:t>
      </w:r>
      <w:r w:rsidRPr="00B548C7">
        <w:rPr>
          <w:b/>
          <w:bCs/>
        </w:rPr>
        <w:t>2024</w:t>
      </w:r>
      <w:r w:rsidRPr="00B548C7">
        <w:t xml:space="preserve">, </w:t>
      </w:r>
      <w:r w:rsidRPr="00B548C7">
        <w:rPr>
          <w:i/>
          <w:iCs/>
        </w:rPr>
        <w:t>20</w:t>
      </w:r>
      <w:r w:rsidRPr="00B548C7">
        <w:t xml:space="preserve"> (5), 624–633. https://doi.org/10.1038/s41589-023-01496-y.</w:t>
      </w:r>
    </w:p>
    <w:p w14:paraId="54EF068B" w14:textId="77777777" w:rsidR="00B548C7" w:rsidRPr="00B548C7" w:rsidRDefault="00B548C7" w:rsidP="00B548C7">
      <w:pPr>
        <w:pStyle w:val="Bibliography"/>
      </w:pPr>
      <w:r w:rsidRPr="00B548C7">
        <w:t>(70)</w:t>
      </w:r>
      <w:r w:rsidRPr="00B548C7">
        <w:tab/>
        <w:t xml:space="preserve">Zhong, Y.; Lu, Y.; Li, J.; Ren, Q.; Fan, Y.; Meng, X.; Shao, J.; Qian, H. Discovery of Novel SHP2 ATTEC Degraders against Pancreatic Ductal Adenocarcinoma Harboring KRAS(G12D) Mutations. </w:t>
      </w:r>
      <w:r w:rsidRPr="00B548C7">
        <w:rPr>
          <w:i/>
          <w:iCs/>
        </w:rPr>
        <w:t>J. Med. Chem.</w:t>
      </w:r>
      <w:r w:rsidRPr="00B548C7">
        <w:t xml:space="preserve"> </w:t>
      </w:r>
      <w:r w:rsidRPr="00B548C7">
        <w:rPr>
          <w:b/>
          <w:bCs/>
        </w:rPr>
        <w:t>2025</w:t>
      </w:r>
      <w:r w:rsidRPr="00B548C7">
        <w:t xml:space="preserve">, </w:t>
      </w:r>
      <w:r w:rsidRPr="00B548C7">
        <w:rPr>
          <w:i/>
          <w:iCs/>
        </w:rPr>
        <w:t>68</w:t>
      </w:r>
      <w:r w:rsidRPr="00B548C7">
        <w:t xml:space="preserve"> (8), 8143–8162. https://doi.org/10.1021/acs.jmedchem.4c02682.</w:t>
      </w:r>
    </w:p>
    <w:p w14:paraId="70DADC08" w14:textId="77777777" w:rsidR="00B548C7" w:rsidRPr="00B548C7" w:rsidRDefault="00B548C7" w:rsidP="00B548C7">
      <w:pPr>
        <w:pStyle w:val="Bibliography"/>
      </w:pPr>
      <w:r w:rsidRPr="00B548C7">
        <w:t>(71)</w:t>
      </w:r>
      <w:r w:rsidRPr="00B548C7">
        <w:tab/>
        <w:t xml:space="preserve">Cooper, M.; Llinas, A.; Hansen, P.; Caffrey, M.; Ray, A.; </w:t>
      </w:r>
      <w:proofErr w:type="spellStart"/>
      <w:r w:rsidRPr="00B548C7">
        <w:t>Sjödin</w:t>
      </w:r>
      <w:proofErr w:type="spellEnd"/>
      <w:r w:rsidRPr="00B548C7">
        <w:t xml:space="preserve">, S.; </w:t>
      </w:r>
      <w:proofErr w:type="spellStart"/>
      <w:r w:rsidRPr="00B548C7">
        <w:t>Shamovsky</w:t>
      </w:r>
      <w:proofErr w:type="spellEnd"/>
      <w:r w:rsidRPr="00B548C7">
        <w:t xml:space="preserve">, I.; Wada, H.; Jellesmark Jensen, T.; </w:t>
      </w:r>
      <w:proofErr w:type="spellStart"/>
      <w:r w:rsidRPr="00B548C7">
        <w:t>Sivars</w:t>
      </w:r>
      <w:proofErr w:type="spellEnd"/>
      <w:r w:rsidRPr="00B548C7">
        <w:t xml:space="preserve">, U.; Hultin, L.; Andersson, U.; Lundqvist, S.; Gedda, K.; </w:t>
      </w:r>
      <w:proofErr w:type="spellStart"/>
      <w:r w:rsidRPr="00B548C7">
        <w:t>Jinton</w:t>
      </w:r>
      <w:proofErr w:type="spellEnd"/>
      <w:r w:rsidRPr="00B548C7">
        <w:t xml:space="preserve">, L.; </w:t>
      </w:r>
      <w:proofErr w:type="spellStart"/>
      <w:r w:rsidRPr="00B548C7">
        <w:t>Krutrök</w:t>
      </w:r>
      <w:proofErr w:type="spellEnd"/>
      <w:r w:rsidRPr="00B548C7">
        <w:t xml:space="preserve">, N.; Lewis, R.; Jansson, P.; Gardelli, C. Identification and Optimization of Pyrrolidine Derivatives as Highly Potent Ghrelin Receptor Full Agonists. </w:t>
      </w:r>
      <w:r w:rsidRPr="00B548C7">
        <w:rPr>
          <w:i/>
          <w:iCs/>
        </w:rPr>
        <w:t>J. Med. Chem.</w:t>
      </w:r>
      <w:r w:rsidRPr="00B548C7">
        <w:t xml:space="preserve"> </w:t>
      </w:r>
      <w:r w:rsidRPr="00B548C7">
        <w:rPr>
          <w:b/>
          <w:bCs/>
        </w:rPr>
        <w:t>2020</w:t>
      </w:r>
      <w:r w:rsidRPr="00B548C7">
        <w:t xml:space="preserve">, </w:t>
      </w:r>
      <w:r w:rsidRPr="00B548C7">
        <w:rPr>
          <w:i/>
          <w:iCs/>
        </w:rPr>
        <w:t>63</w:t>
      </w:r>
      <w:r w:rsidRPr="00B548C7">
        <w:t xml:space="preserve"> (17), 9705–9730. https://doi.org/10.1021/acs.jmedchem.0c00828.</w:t>
      </w:r>
    </w:p>
    <w:p w14:paraId="1738216F" w14:textId="77777777" w:rsidR="00B548C7" w:rsidRPr="00B548C7" w:rsidRDefault="00B548C7" w:rsidP="00B548C7">
      <w:pPr>
        <w:pStyle w:val="Bibliography"/>
      </w:pPr>
      <w:r w:rsidRPr="00B548C7">
        <w:t>(72)</w:t>
      </w:r>
      <w:r w:rsidRPr="00B548C7">
        <w:tab/>
        <w:t xml:space="preserve">Murugesan, D.; Mital, A.; Kaiser, M.; Shackleford, D. M.; </w:t>
      </w:r>
      <w:proofErr w:type="spellStart"/>
      <w:r w:rsidRPr="00B548C7">
        <w:t>Morizzi</w:t>
      </w:r>
      <w:proofErr w:type="spellEnd"/>
      <w:r w:rsidRPr="00B548C7">
        <w:t xml:space="preserve">, J.; </w:t>
      </w:r>
      <w:proofErr w:type="spellStart"/>
      <w:r w:rsidRPr="00B548C7">
        <w:t>Katneni</w:t>
      </w:r>
      <w:proofErr w:type="spellEnd"/>
      <w:r w:rsidRPr="00B548C7">
        <w:t xml:space="preserve">, K.; Campbell, M.; Hudson, A.; Charman, S. A.; Yeates, C.; Gilbert, I. H. Discovery and Structure–Activity Relationships of </w:t>
      </w:r>
      <w:proofErr w:type="spellStart"/>
      <w:r w:rsidRPr="00B548C7">
        <w:t>Pyrrolone</w:t>
      </w:r>
      <w:proofErr w:type="spellEnd"/>
      <w:r w:rsidRPr="00B548C7">
        <w:t xml:space="preserve"> Antimalarials. </w:t>
      </w:r>
      <w:r w:rsidRPr="00B548C7">
        <w:rPr>
          <w:i/>
          <w:iCs/>
        </w:rPr>
        <w:t>J. Med. Chem.</w:t>
      </w:r>
      <w:r w:rsidRPr="00B548C7">
        <w:t xml:space="preserve"> </w:t>
      </w:r>
      <w:r w:rsidRPr="00B548C7">
        <w:rPr>
          <w:b/>
          <w:bCs/>
        </w:rPr>
        <w:t>2013</w:t>
      </w:r>
      <w:r w:rsidRPr="00B548C7">
        <w:t xml:space="preserve">, </w:t>
      </w:r>
      <w:r w:rsidRPr="00B548C7">
        <w:rPr>
          <w:i/>
          <w:iCs/>
        </w:rPr>
        <w:t>56</w:t>
      </w:r>
      <w:r w:rsidRPr="00B548C7">
        <w:t xml:space="preserve"> (7), 2975–2990. https://doi.org/10.1021/jm400009c.</w:t>
      </w:r>
    </w:p>
    <w:p w14:paraId="5F6762FC" w14:textId="77777777" w:rsidR="00B548C7" w:rsidRPr="00B548C7" w:rsidRDefault="00B548C7" w:rsidP="00B548C7">
      <w:pPr>
        <w:pStyle w:val="Bibliography"/>
      </w:pPr>
      <w:r w:rsidRPr="00B548C7">
        <w:t>(73)</w:t>
      </w:r>
      <w:r w:rsidRPr="00B548C7">
        <w:tab/>
        <w:t xml:space="preserve">Zhang, J.; Che, J.; Luo, X.; Wu, M.; Kan, W.; Jin, Y.; Wang, H.; Pang, A.; Li, C.; Huang, W.; Zeng, S.; Zhuang, W.; Wu, Y.; Xu, Y.; Zhou, Y.; Li, J.; Dong, X. Structural Feature Analyzation Strategies toward Discovery of Orally Bioavailable PROTACs of Bruton’s Tyrosine Kinase for the Treatment of Lymphoma. </w:t>
      </w:r>
      <w:r w:rsidRPr="00B548C7">
        <w:rPr>
          <w:i/>
          <w:iCs/>
        </w:rPr>
        <w:t>J. Med. Chem.</w:t>
      </w:r>
      <w:r w:rsidRPr="00B548C7">
        <w:t xml:space="preserve"> </w:t>
      </w:r>
      <w:r w:rsidRPr="00B548C7">
        <w:rPr>
          <w:b/>
          <w:bCs/>
        </w:rPr>
        <w:t>2022</w:t>
      </w:r>
      <w:r w:rsidRPr="00B548C7">
        <w:t xml:space="preserve">, </w:t>
      </w:r>
      <w:r w:rsidRPr="00B548C7">
        <w:rPr>
          <w:i/>
          <w:iCs/>
        </w:rPr>
        <w:t>65</w:t>
      </w:r>
      <w:r w:rsidRPr="00B548C7">
        <w:t xml:space="preserve"> (13), 9096–9125. https://doi.org/10.1021/acs.jmedchem.2c00324.</w:t>
      </w:r>
    </w:p>
    <w:p w14:paraId="1C4D3836" w14:textId="77777777" w:rsidR="00B548C7" w:rsidRPr="00B548C7" w:rsidRDefault="00B548C7" w:rsidP="00B548C7">
      <w:pPr>
        <w:pStyle w:val="Bibliography"/>
      </w:pPr>
      <w:r w:rsidRPr="00B548C7">
        <w:t>(74)</w:t>
      </w:r>
      <w:r w:rsidRPr="00B548C7">
        <w:tab/>
        <w:t xml:space="preserve">Akiyama, Y.; Matsumura, N.; Ono, A.; Hayashi, S.; Funaki, S.; Tamura, N.; Kimoto, T.; Jiko, M.; Haruna, Y.; </w:t>
      </w:r>
      <w:proofErr w:type="spellStart"/>
      <w:r w:rsidRPr="00B548C7">
        <w:t>Sarashina</w:t>
      </w:r>
      <w:proofErr w:type="spellEnd"/>
      <w:r w:rsidRPr="00B548C7">
        <w:t xml:space="preserve">, A.; Ishida, M.; Nishiyama, K.; Fushimi, M.; Kojima, Y.; Fujita, T.; Sugano, K. Prediction of Oral Drug Absorption in Rats from In Vitro Data. </w:t>
      </w:r>
      <w:r w:rsidRPr="00B548C7">
        <w:rPr>
          <w:i/>
          <w:iCs/>
        </w:rPr>
        <w:t>Pharm Res</w:t>
      </w:r>
      <w:r w:rsidRPr="00B548C7">
        <w:t xml:space="preserve"> </w:t>
      </w:r>
      <w:r w:rsidRPr="00B548C7">
        <w:rPr>
          <w:b/>
          <w:bCs/>
        </w:rPr>
        <w:t>2023</w:t>
      </w:r>
      <w:r w:rsidRPr="00B548C7">
        <w:t xml:space="preserve">, </w:t>
      </w:r>
      <w:r w:rsidRPr="00B548C7">
        <w:rPr>
          <w:i/>
          <w:iCs/>
        </w:rPr>
        <w:t>40</w:t>
      </w:r>
      <w:r w:rsidRPr="00B548C7">
        <w:t xml:space="preserve"> (2), 359–373. https://doi.org/10.1007/s11095-022-03173-6.</w:t>
      </w:r>
    </w:p>
    <w:p w14:paraId="59724136" w14:textId="77777777" w:rsidR="00B548C7" w:rsidRPr="00B548C7" w:rsidRDefault="00B548C7" w:rsidP="00B548C7">
      <w:pPr>
        <w:pStyle w:val="Bibliography"/>
      </w:pPr>
      <w:r w:rsidRPr="00B548C7">
        <w:t>(75)</w:t>
      </w:r>
      <w:r w:rsidRPr="00B548C7">
        <w:tab/>
        <w:t xml:space="preserve">Bi, K.; Cheng, J.; He, S.; Fang, Y.; Huang, M.; Sheng, C.; Dong, G. Discovery of Highly Potent Nicotinamide </w:t>
      </w:r>
      <w:proofErr w:type="spellStart"/>
      <w:r w:rsidRPr="00B548C7">
        <w:t>Phosphoribosyltransferase</w:t>
      </w:r>
      <w:proofErr w:type="spellEnd"/>
      <w:r w:rsidRPr="00B548C7">
        <w:t xml:space="preserve"> Degraders for Efficient Treatment of Ovarian Cancer. </w:t>
      </w:r>
      <w:r w:rsidRPr="00B548C7">
        <w:rPr>
          <w:i/>
          <w:iCs/>
        </w:rPr>
        <w:t>J. Med. Chem.</w:t>
      </w:r>
      <w:r w:rsidRPr="00B548C7">
        <w:t xml:space="preserve"> </w:t>
      </w:r>
      <w:r w:rsidRPr="00B548C7">
        <w:rPr>
          <w:b/>
          <w:bCs/>
        </w:rPr>
        <w:t>2023</w:t>
      </w:r>
      <w:r w:rsidRPr="00B548C7">
        <w:t xml:space="preserve">, </w:t>
      </w:r>
      <w:r w:rsidRPr="00B548C7">
        <w:rPr>
          <w:i/>
          <w:iCs/>
        </w:rPr>
        <w:t>66</w:t>
      </w:r>
      <w:r w:rsidRPr="00B548C7">
        <w:t xml:space="preserve"> (1), 1048–1062. https://doi.org/10.1021/acs.jmedchem.2c01990.</w:t>
      </w:r>
    </w:p>
    <w:p w14:paraId="0F3CAD68" w14:textId="77777777" w:rsidR="00B548C7" w:rsidRPr="00B548C7" w:rsidRDefault="00B548C7" w:rsidP="00B548C7">
      <w:pPr>
        <w:pStyle w:val="Bibliography"/>
      </w:pPr>
      <w:r w:rsidRPr="00B548C7">
        <w:t>(76)</w:t>
      </w:r>
      <w:r w:rsidRPr="00B548C7">
        <w:tab/>
      </w:r>
      <w:r w:rsidRPr="00B548C7">
        <w:rPr>
          <w:i/>
          <w:iCs/>
        </w:rPr>
        <w:t>Efficacy, Pharmacokinetics, and Metabolism of Tetrahydroquinoline Inhibitors of Plasmodium falciparum Protein Farnesyltransferase | Antimicrobial Agents and Chemotherapy</w:t>
      </w:r>
      <w:r w:rsidRPr="00B548C7">
        <w:t>. https://journals.asm.org/doi/10.1128/aac.00246-07 (accessed 2026-06-30).</w:t>
      </w:r>
    </w:p>
    <w:p w14:paraId="5DC558FB" w14:textId="2A33CFA1" w:rsidR="00B548C7" w:rsidRDefault="00B548C7">
      <w:r>
        <w:fldChar w:fldCharType="end"/>
      </w:r>
    </w:p>
    <w:sectPr w:rsidR="00B548C7" w:rsidSect="0036756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563"/>
    <w:rsid w:val="00026A8F"/>
    <w:rsid w:val="000279F7"/>
    <w:rsid w:val="00046636"/>
    <w:rsid w:val="000777C6"/>
    <w:rsid w:val="000A2592"/>
    <w:rsid w:val="000B41D8"/>
    <w:rsid w:val="000F782B"/>
    <w:rsid w:val="0017632F"/>
    <w:rsid w:val="00180448"/>
    <w:rsid w:val="002141CB"/>
    <w:rsid w:val="00273566"/>
    <w:rsid w:val="00274CA1"/>
    <w:rsid w:val="00367563"/>
    <w:rsid w:val="00387F88"/>
    <w:rsid w:val="00506E1E"/>
    <w:rsid w:val="00574934"/>
    <w:rsid w:val="005F019F"/>
    <w:rsid w:val="0067523C"/>
    <w:rsid w:val="00690945"/>
    <w:rsid w:val="007455A5"/>
    <w:rsid w:val="00791665"/>
    <w:rsid w:val="00855DA0"/>
    <w:rsid w:val="00876D34"/>
    <w:rsid w:val="008838F6"/>
    <w:rsid w:val="008A4FDD"/>
    <w:rsid w:val="008E641C"/>
    <w:rsid w:val="00927C0C"/>
    <w:rsid w:val="00A840AD"/>
    <w:rsid w:val="00B548C7"/>
    <w:rsid w:val="00B8309A"/>
    <w:rsid w:val="00B9660C"/>
    <w:rsid w:val="00BB27B6"/>
    <w:rsid w:val="00C52F87"/>
    <w:rsid w:val="00C92566"/>
    <w:rsid w:val="00CA3A28"/>
    <w:rsid w:val="00CC4BC0"/>
    <w:rsid w:val="00D20272"/>
    <w:rsid w:val="00DA3012"/>
    <w:rsid w:val="00DC0559"/>
    <w:rsid w:val="00DC0E37"/>
    <w:rsid w:val="00DF228A"/>
    <w:rsid w:val="00DF2D35"/>
    <w:rsid w:val="00E25CDC"/>
    <w:rsid w:val="00ED4B96"/>
    <w:rsid w:val="00F46050"/>
    <w:rsid w:val="00F55142"/>
    <w:rsid w:val="00F82694"/>
    <w:rsid w:val="00F841A2"/>
    <w:rsid w:val="00FC471F"/>
    <w:rsid w:val="00FD74E3"/>
    <w:rsid w:val="00FF2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EE888"/>
  <w15:chartTrackingRefBased/>
  <w15:docId w15:val="{3AFFB602-2AE7-4678-A2F4-327B32F87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75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75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75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75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75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75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75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75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75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5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75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75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75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75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75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75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75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7563"/>
    <w:rPr>
      <w:rFonts w:eastAsiaTheme="majorEastAsia" w:cstheme="majorBidi"/>
      <w:color w:val="272727" w:themeColor="text1" w:themeTint="D8"/>
    </w:rPr>
  </w:style>
  <w:style w:type="paragraph" w:styleId="Title">
    <w:name w:val="Title"/>
    <w:basedOn w:val="Normal"/>
    <w:next w:val="Normal"/>
    <w:link w:val="TitleChar"/>
    <w:uiPriority w:val="10"/>
    <w:qFormat/>
    <w:rsid w:val="00367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75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75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75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7563"/>
    <w:pPr>
      <w:spacing w:before="160"/>
      <w:jc w:val="center"/>
    </w:pPr>
    <w:rPr>
      <w:i/>
      <w:iCs/>
      <w:color w:val="404040" w:themeColor="text1" w:themeTint="BF"/>
    </w:rPr>
  </w:style>
  <w:style w:type="character" w:customStyle="1" w:styleId="QuoteChar">
    <w:name w:val="Quote Char"/>
    <w:basedOn w:val="DefaultParagraphFont"/>
    <w:link w:val="Quote"/>
    <w:uiPriority w:val="29"/>
    <w:rsid w:val="00367563"/>
    <w:rPr>
      <w:i/>
      <w:iCs/>
      <w:color w:val="404040" w:themeColor="text1" w:themeTint="BF"/>
    </w:rPr>
  </w:style>
  <w:style w:type="paragraph" w:styleId="ListParagraph">
    <w:name w:val="List Paragraph"/>
    <w:basedOn w:val="Normal"/>
    <w:uiPriority w:val="34"/>
    <w:qFormat/>
    <w:rsid w:val="00367563"/>
    <w:pPr>
      <w:ind w:left="720"/>
      <w:contextualSpacing/>
    </w:pPr>
  </w:style>
  <w:style w:type="character" w:styleId="IntenseEmphasis">
    <w:name w:val="Intense Emphasis"/>
    <w:basedOn w:val="DefaultParagraphFont"/>
    <w:uiPriority w:val="21"/>
    <w:qFormat/>
    <w:rsid w:val="00367563"/>
    <w:rPr>
      <w:i/>
      <w:iCs/>
      <w:color w:val="0F4761" w:themeColor="accent1" w:themeShade="BF"/>
    </w:rPr>
  </w:style>
  <w:style w:type="paragraph" w:styleId="IntenseQuote">
    <w:name w:val="Intense Quote"/>
    <w:basedOn w:val="Normal"/>
    <w:next w:val="Normal"/>
    <w:link w:val="IntenseQuoteChar"/>
    <w:uiPriority w:val="30"/>
    <w:qFormat/>
    <w:rsid w:val="003675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7563"/>
    <w:rPr>
      <w:i/>
      <w:iCs/>
      <w:color w:val="0F4761" w:themeColor="accent1" w:themeShade="BF"/>
    </w:rPr>
  </w:style>
  <w:style w:type="character" w:styleId="IntenseReference">
    <w:name w:val="Intense Reference"/>
    <w:basedOn w:val="DefaultParagraphFont"/>
    <w:uiPriority w:val="32"/>
    <w:qFormat/>
    <w:rsid w:val="00367563"/>
    <w:rPr>
      <w:b/>
      <w:bCs/>
      <w:smallCaps/>
      <w:color w:val="0F4761" w:themeColor="accent1" w:themeShade="BF"/>
      <w:spacing w:val="5"/>
    </w:rPr>
  </w:style>
  <w:style w:type="character" w:styleId="Hyperlink">
    <w:name w:val="Hyperlink"/>
    <w:basedOn w:val="DefaultParagraphFont"/>
    <w:uiPriority w:val="99"/>
    <w:semiHidden/>
    <w:unhideWhenUsed/>
    <w:rsid w:val="00367563"/>
    <w:rPr>
      <w:color w:val="467886"/>
      <w:u w:val="single"/>
    </w:rPr>
  </w:style>
  <w:style w:type="character" w:styleId="FollowedHyperlink">
    <w:name w:val="FollowedHyperlink"/>
    <w:basedOn w:val="DefaultParagraphFont"/>
    <w:uiPriority w:val="99"/>
    <w:semiHidden/>
    <w:unhideWhenUsed/>
    <w:rsid w:val="00367563"/>
    <w:rPr>
      <w:color w:val="96607D"/>
      <w:u w:val="single"/>
    </w:rPr>
  </w:style>
  <w:style w:type="paragraph" w:customStyle="1" w:styleId="msonormal0">
    <w:name w:val="msonormal"/>
    <w:basedOn w:val="Normal"/>
    <w:rsid w:val="0036756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ibliography">
    <w:name w:val="Bibliography"/>
    <w:basedOn w:val="Normal"/>
    <w:next w:val="Normal"/>
    <w:uiPriority w:val="37"/>
    <w:unhideWhenUsed/>
    <w:rsid w:val="00B548C7"/>
    <w:pPr>
      <w:tabs>
        <w:tab w:val="left" w:pos="504"/>
      </w:tabs>
      <w:spacing w:after="0" w:line="240" w:lineRule="auto"/>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738</TotalTime>
  <Pages>10</Pages>
  <Words>90191</Words>
  <Characters>396843</Characters>
  <Application>Microsoft Office Word</Application>
  <DocSecurity>0</DocSecurity>
  <Lines>132281</Lines>
  <Paragraphs>97406</Paragraphs>
  <ScaleCrop>false</ScaleCrop>
  <Company/>
  <LinksUpToDate>false</LinksUpToDate>
  <CharactersWithSpaces>389628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Jones</dc:creator>
  <cp:keywords/>
  <dc:description/>
  <cp:lastModifiedBy>Jeremy Jones</cp:lastModifiedBy>
  <cp:revision>29</cp:revision>
  <dcterms:created xsi:type="dcterms:W3CDTF">2026-06-08T23:56:00Z</dcterms:created>
  <dcterms:modified xsi:type="dcterms:W3CDTF">2026-06-30T08:32:00Z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id="ISV7QyTC"/&gt;&lt;style id="http://www.zotero.org/styles/american-chemical-society" hasBibliography="1" bibliographyStyleHasBeenSet="1"/&gt;&lt;prefs&gt;&lt;pref name="fieldType" value="Field"/&gt;&lt;pref name="dontAskD</vt:lpwstr>
  </property>
  <property fmtid="{D5CDD505-2E9C-101B-9397-08002B2CF9AE}" pid="3" name="ZOTERO_PREF_2">
    <vt:lpwstr>elayCitationUpdates" value="true"/&gt;&lt;/prefs&gt;&lt;/data&gt;</vt:lpwstr>
  </property>
</Properties>
</file>