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B8BE1" w14:textId="19F06A3F" w:rsidR="00DC0E37" w:rsidRDefault="002410F9">
      <w:r>
        <w:t>Supplementary Figures:</w:t>
      </w:r>
    </w:p>
    <w:p w14:paraId="30A22B81" w14:textId="793068B5" w:rsidR="002410F9" w:rsidRDefault="002410F9">
      <w:r w:rsidRPr="002410F9">
        <w:rPr>
          <w:noProof/>
        </w:rPr>
        <w:drawing>
          <wp:inline distT="0" distB="0" distL="0" distR="0" wp14:anchorId="512DD440" wp14:editId="1153C5AF">
            <wp:extent cx="3749040" cy="2179303"/>
            <wp:effectExtent l="0" t="0" r="3810" b="0"/>
            <wp:docPr id="12" name="Content Placeholder 11">
              <a:extLst xmlns:a="http://schemas.openxmlformats.org/drawingml/2006/main">
                <a:ext uri="{FF2B5EF4-FFF2-40B4-BE49-F238E27FC236}">
                  <a16:creationId xmlns:a16="http://schemas.microsoft.com/office/drawing/2014/main" id="{7630260C-ED64-7FF0-1CA9-F01D041C816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2" name="Content Placeholder 11">
                      <a:extLst>
                        <a:ext uri="{FF2B5EF4-FFF2-40B4-BE49-F238E27FC236}">
                          <a16:creationId xmlns:a16="http://schemas.microsoft.com/office/drawing/2014/main" id="{7630260C-ED64-7FF0-1CA9-F01D041C8160}"/>
                        </a:ext>
                      </a:extLst>
                    </pic:cNvPr>
                    <pic:cNvPicPr>
                      <a:picLocks noGrp="1" noChangeAspect="1"/>
                    </pic:cNvPicPr>
                  </pic:nvPicPr>
                  <pic:blipFill>
                    <a:blip r:embed="rId4" cstate="print">
                      <a:extLst>
                        <a:ext uri="{28A0092B-C50C-407E-A947-70E740481C1C}">
                          <a14:useLocalDpi xmlns:a14="http://schemas.microsoft.com/office/drawing/2010/main" val="0"/>
                        </a:ext>
                      </a:extLst>
                    </a:blip>
                    <a:srcRect t="6989"/>
                    <a:stretch>
                      <a:fillRect/>
                    </a:stretch>
                  </pic:blipFill>
                  <pic:spPr>
                    <a:xfrm>
                      <a:off x="0" y="0"/>
                      <a:ext cx="3756286" cy="2183515"/>
                    </a:xfrm>
                    <a:prstGeom prst="rect">
                      <a:avLst/>
                    </a:prstGeom>
                  </pic:spPr>
                </pic:pic>
              </a:graphicData>
            </a:graphic>
          </wp:inline>
        </w:drawing>
      </w:r>
    </w:p>
    <w:p w14:paraId="7302013C" w14:textId="33F7FC62" w:rsidR="002410F9" w:rsidRDefault="002410F9">
      <w:r w:rsidRPr="002410F9">
        <w:t>Supplementary Figure 1: Histogram of molecular weights of clinical stage compounds from ChEMBL and the cases from the PK database (multiplied by 30 to visualize comparative distributions)</w:t>
      </w:r>
    </w:p>
    <w:p w14:paraId="601B5BC1" w14:textId="77777777" w:rsidR="004A0749" w:rsidRDefault="004A0749"/>
    <w:p w14:paraId="2692B517" w14:textId="77777777" w:rsidR="002410F9" w:rsidRDefault="002410F9">
      <w:r>
        <w:rPr>
          <w:noProof/>
        </w:rPr>
        <w:drawing>
          <wp:inline distT="0" distB="0" distL="0" distR="0" wp14:anchorId="528E5EB9" wp14:editId="043472EA">
            <wp:extent cx="3805036" cy="2926080"/>
            <wp:effectExtent l="0" t="0" r="0" b="0"/>
            <wp:docPr id="1345543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2108" cy="2931519"/>
                    </a:xfrm>
                    <a:prstGeom prst="rect">
                      <a:avLst/>
                    </a:prstGeom>
                    <a:noFill/>
                  </pic:spPr>
                </pic:pic>
              </a:graphicData>
            </a:graphic>
          </wp:inline>
        </w:drawing>
      </w:r>
    </w:p>
    <w:p w14:paraId="1A760598" w14:textId="25D9FEFB" w:rsidR="002410F9" w:rsidRDefault="002410F9">
      <w:r w:rsidRPr="002410F9">
        <w:t>Supplementary Fig</w:t>
      </w:r>
      <w:r w:rsidR="0067199E">
        <w:t>ure</w:t>
      </w:r>
      <w:r w:rsidRPr="002410F9">
        <w:t xml:space="preserve"> 2: Out of Scope (</w:t>
      </w:r>
      <w:proofErr w:type="spellStart"/>
      <w:r w:rsidRPr="002410F9">
        <w:t>OoS</w:t>
      </w:r>
      <w:proofErr w:type="spellEnd"/>
      <w:r w:rsidRPr="002410F9">
        <w:t xml:space="preserve">) analysis. The ADMET Predictor software flags ML model predictions as </w:t>
      </w:r>
      <w:proofErr w:type="spellStart"/>
      <w:r w:rsidRPr="002410F9">
        <w:t>OoS</w:t>
      </w:r>
      <w:proofErr w:type="spellEnd"/>
      <w:r w:rsidRPr="002410F9">
        <w:t xml:space="preserve"> if a compound has any descriptor values outside the range of th</w:t>
      </w:r>
      <w:r>
        <w:t xml:space="preserve">e </w:t>
      </w:r>
      <w:r w:rsidRPr="002410F9">
        <w:t xml:space="preserve">compounds used to train the model. The nine major ML models used to parameterize HTPK are shown in the radar plot, with the percent of cases (n=180) that were flagged as </w:t>
      </w:r>
      <w:proofErr w:type="spellStart"/>
      <w:r w:rsidRPr="002410F9">
        <w:t>OoS</w:t>
      </w:r>
      <w:proofErr w:type="spellEnd"/>
      <w:r w:rsidRPr="002410F9">
        <w:t xml:space="preserve"> for each model. </w:t>
      </w:r>
    </w:p>
    <w:p w14:paraId="575DF950" w14:textId="57A46B3D" w:rsidR="009268E5" w:rsidRDefault="009268E5">
      <w:r>
        <w:rPr>
          <w:noProof/>
        </w:rPr>
        <w:lastRenderedPageBreak/>
        <w:drawing>
          <wp:inline distT="0" distB="0" distL="0" distR="0" wp14:anchorId="675C8322" wp14:editId="149BE8E3">
            <wp:extent cx="4283147" cy="2832100"/>
            <wp:effectExtent l="0" t="0" r="3175" b="0"/>
            <wp:docPr id="2902685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84653" cy="2833096"/>
                    </a:xfrm>
                    <a:prstGeom prst="rect">
                      <a:avLst/>
                    </a:prstGeom>
                    <a:noFill/>
                  </pic:spPr>
                </pic:pic>
              </a:graphicData>
            </a:graphic>
          </wp:inline>
        </w:drawing>
      </w:r>
    </w:p>
    <w:p w14:paraId="4EE46FD0" w14:textId="5D1F30E0" w:rsidR="009268E5" w:rsidRDefault="009268E5">
      <w:r w:rsidRPr="009268E5">
        <w:t>Supplementary Figure 3: HTPK performance by number of out of scope (</w:t>
      </w:r>
      <w:proofErr w:type="spellStart"/>
      <w:r w:rsidRPr="009268E5">
        <w:t>OoS</w:t>
      </w:r>
      <w:proofErr w:type="spellEnd"/>
      <w:r w:rsidRPr="009268E5">
        <w:t xml:space="preserve">) predictions. HTPK was performed using species-specific liver microsome clearance models and the average absolute log(2) error is shown for all cases grouped by number of </w:t>
      </w:r>
      <w:proofErr w:type="spellStart"/>
      <w:r w:rsidRPr="009268E5">
        <w:t>OoS</w:t>
      </w:r>
      <w:proofErr w:type="spellEnd"/>
      <w:r w:rsidRPr="009268E5">
        <w:t xml:space="preserve"> predictions for the following models: LMCL, </w:t>
      </w:r>
      <w:proofErr w:type="spellStart"/>
      <w:r w:rsidRPr="009268E5">
        <w:t>fup</w:t>
      </w:r>
      <w:proofErr w:type="spellEnd"/>
      <w:r w:rsidRPr="009268E5">
        <w:t xml:space="preserve">, RBP, permeability, log P, aqueous solubility, solubility factor, and </w:t>
      </w:r>
      <w:proofErr w:type="spellStart"/>
      <w:r w:rsidRPr="009268E5">
        <w:t>FaSSIF</w:t>
      </w:r>
      <w:proofErr w:type="spellEnd"/>
      <w:r w:rsidRPr="009268E5">
        <w:t>/</w:t>
      </w:r>
      <w:proofErr w:type="spellStart"/>
      <w:r w:rsidRPr="009268E5">
        <w:t>FeSSIF</w:t>
      </w:r>
      <w:proofErr w:type="spellEnd"/>
      <w:r w:rsidRPr="009268E5">
        <w:t xml:space="preserve"> solubility</w:t>
      </w:r>
      <w:r>
        <w:t>.</w:t>
      </w:r>
    </w:p>
    <w:p w14:paraId="07D3989D" w14:textId="77777777" w:rsidR="004A0749" w:rsidRDefault="004A0749"/>
    <w:p w14:paraId="27C0D7CB" w14:textId="77777777" w:rsidR="004A0749" w:rsidRDefault="004A0749"/>
    <w:p w14:paraId="5527C2FA" w14:textId="197A491B" w:rsidR="009268E5" w:rsidRDefault="003B3E92">
      <w:r w:rsidRPr="003B3E92">
        <w:rPr>
          <w:noProof/>
        </w:rPr>
        <w:drawing>
          <wp:inline distT="0" distB="0" distL="0" distR="0" wp14:anchorId="03535CF1" wp14:editId="30212BA5">
            <wp:extent cx="6655435" cy="2611120"/>
            <wp:effectExtent l="0" t="0" r="0" b="0"/>
            <wp:docPr id="2" name="Picture 1">
              <a:extLst xmlns:a="http://schemas.openxmlformats.org/drawingml/2006/main">
                <a:ext uri="{FF2B5EF4-FFF2-40B4-BE49-F238E27FC236}">
                  <a16:creationId xmlns:a16="http://schemas.microsoft.com/office/drawing/2014/main" id="{BD9FE240-F59B-0F24-8FB4-E34BAD7206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BD9FE240-F59B-0F24-8FB4-E34BAD720624}"/>
                        </a:ext>
                      </a:extLst>
                    </pic:cNvPr>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55435" cy="2611120"/>
                    </a:xfrm>
                    <a:prstGeom prst="rect">
                      <a:avLst/>
                    </a:prstGeom>
                    <a:noFill/>
                  </pic:spPr>
                </pic:pic>
              </a:graphicData>
            </a:graphic>
          </wp:inline>
        </w:drawing>
      </w:r>
    </w:p>
    <w:p w14:paraId="62BD5A57" w14:textId="41FF4A63" w:rsidR="003B3E92" w:rsidRDefault="003B3E92">
      <w:r w:rsidRPr="003B3E92">
        <w:t xml:space="preserve">Supplementary Figure 4: Predicted vs Observed plots for HTPK endpoints. The predicted/observed value is shown for each case for the indicated PK endpoint. Data is organized from lowest to highest observed value, as estimated by </w:t>
      </w:r>
      <w:proofErr w:type="spellStart"/>
      <w:r w:rsidRPr="003B3E92">
        <w:t>Pkanalix</w:t>
      </w:r>
      <w:proofErr w:type="spellEnd"/>
      <w:r w:rsidRPr="003B3E92">
        <w:t xml:space="preserve"> from fitted curves. Solid line represents 10-fold </w:t>
      </w:r>
      <w:proofErr w:type="gramStart"/>
      <w:r w:rsidRPr="003B3E92">
        <w:t>error</w:t>
      </w:r>
      <w:proofErr w:type="gramEnd"/>
      <w:r w:rsidRPr="003B3E92">
        <w:t xml:space="preserve"> and the dotted line represents 2-fold error.</w:t>
      </w:r>
    </w:p>
    <w:p w14:paraId="1295DF38" w14:textId="06E64E85" w:rsidR="004A0749" w:rsidRDefault="004A0749">
      <w:r w:rsidRPr="004A0749">
        <w:lastRenderedPageBreak/>
        <w:drawing>
          <wp:inline distT="0" distB="0" distL="0" distR="0" wp14:anchorId="4C5EE582" wp14:editId="6F9797F9">
            <wp:extent cx="4618336" cy="2916969"/>
            <wp:effectExtent l="0" t="0" r="0" b="0"/>
            <wp:docPr id="1097327541" name="Content Placeholder 13">
              <a:extLst xmlns:a="http://schemas.openxmlformats.org/drawingml/2006/main">
                <a:ext uri="{FF2B5EF4-FFF2-40B4-BE49-F238E27FC236}">
                  <a16:creationId xmlns:a16="http://schemas.microsoft.com/office/drawing/2014/main" id="{EB59EB98-DC87-C61F-228D-2FA0AA09C9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tent Placeholder 13">
                      <a:extLst>
                        <a:ext uri="{FF2B5EF4-FFF2-40B4-BE49-F238E27FC236}">
                          <a16:creationId xmlns:a16="http://schemas.microsoft.com/office/drawing/2014/main" id="{EB59EB98-DC87-C61F-228D-2FA0AA09C907}"/>
                        </a:ext>
                      </a:extLst>
                    </pic:cNvPr>
                    <pic:cNvPicPr>
                      <a:picLocks noChangeAspect="1"/>
                    </pic:cNvPicPr>
                  </pic:nvPicPr>
                  <pic:blipFill>
                    <a:blip r:embed="rId8">
                      <a:extLst>
                        <a:ext uri="{28A0092B-C50C-407E-A947-70E740481C1C}">
                          <a14:useLocalDpi xmlns:a14="http://schemas.microsoft.com/office/drawing/2010/main" val="0"/>
                        </a:ext>
                      </a:extLst>
                    </a:blip>
                    <a:srcRect l="3292" t="6685" r="8063"/>
                    <a:stretch>
                      <a:fillRect/>
                    </a:stretch>
                  </pic:blipFill>
                  <pic:spPr>
                    <a:xfrm>
                      <a:off x="0" y="0"/>
                      <a:ext cx="4618336" cy="2916969"/>
                    </a:xfrm>
                    <a:prstGeom prst="rect">
                      <a:avLst/>
                    </a:prstGeom>
                  </pic:spPr>
                </pic:pic>
              </a:graphicData>
            </a:graphic>
          </wp:inline>
        </w:drawing>
      </w:r>
    </w:p>
    <w:p w14:paraId="30C58504" w14:textId="327A6337" w:rsidR="004A0749" w:rsidRDefault="004A0749">
      <w:r>
        <w:t xml:space="preserve">Supplementary Figure 5: </w:t>
      </w:r>
      <w:r w:rsidRPr="004A0749">
        <w:t>Comparison of HTPK-simulated Cp-time curve (blue) and curve fitted to measured data (yellow) for dogs treated orally with theophylline. Upon careful inspection of the primary literature, the formulation was found to be extended release, which HTPK does not model.</w:t>
      </w:r>
    </w:p>
    <w:p w14:paraId="7D195FDA" w14:textId="77777777" w:rsidR="002410F9" w:rsidRDefault="002410F9"/>
    <w:p w14:paraId="49B2EAAD" w14:textId="77777777" w:rsidR="002410F9" w:rsidRDefault="002410F9"/>
    <w:sectPr w:rsidR="002410F9" w:rsidSect="002410F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0F9"/>
    <w:rsid w:val="000279F7"/>
    <w:rsid w:val="002410F9"/>
    <w:rsid w:val="003B3E92"/>
    <w:rsid w:val="004A0749"/>
    <w:rsid w:val="005F019F"/>
    <w:rsid w:val="0067199E"/>
    <w:rsid w:val="00855DA0"/>
    <w:rsid w:val="008977AB"/>
    <w:rsid w:val="009268E5"/>
    <w:rsid w:val="00927C0C"/>
    <w:rsid w:val="00BB27B6"/>
    <w:rsid w:val="00DC0E37"/>
    <w:rsid w:val="00DE65F9"/>
    <w:rsid w:val="00DF2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4E0C6"/>
  <w15:chartTrackingRefBased/>
  <w15:docId w15:val="{C432EA09-00AA-42EB-9A20-DA8A4D7CF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10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10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10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10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10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10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10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10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10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0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10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10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10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10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10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10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10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10F9"/>
    <w:rPr>
      <w:rFonts w:eastAsiaTheme="majorEastAsia" w:cstheme="majorBidi"/>
      <w:color w:val="272727" w:themeColor="text1" w:themeTint="D8"/>
    </w:rPr>
  </w:style>
  <w:style w:type="paragraph" w:styleId="Title">
    <w:name w:val="Title"/>
    <w:basedOn w:val="Normal"/>
    <w:next w:val="Normal"/>
    <w:link w:val="TitleChar"/>
    <w:uiPriority w:val="10"/>
    <w:qFormat/>
    <w:rsid w:val="002410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10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10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10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10F9"/>
    <w:pPr>
      <w:spacing w:before="160"/>
      <w:jc w:val="center"/>
    </w:pPr>
    <w:rPr>
      <w:i/>
      <w:iCs/>
      <w:color w:val="404040" w:themeColor="text1" w:themeTint="BF"/>
    </w:rPr>
  </w:style>
  <w:style w:type="character" w:customStyle="1" w:styleId="QuoteChar">
    <w:name w:val="Quote Char"/>
    <w:basedOn w:val="DefaultParagraphFont"/>
    <w:link w:val="Quote"/>
    <w:uiPriority w:val="29"/>
    <w:rsid w:val="002410F9"/>
    <w:rPr>
      <w:i/>
      <w:iCs/>
      <w:color w:val="404040" w:themeColor="text1" w:themeTint="BF"/>
    </w:rPr>
  </w:style>
  <w:style w:type="paragraph" w:styleId="ListParagraph">
    <w:name w:val="List Paragraph"/>
    <w:basedOn w:val="Normal"/>
    <w:uiPriority w:val="34"/>
    <w:qFormat/>
    <w:rsid w:val="002410F9"/>
    <w:pPr>
      <w:ind w:left="720"/>
      <w:contextualSpacing/>
    </w:pPr>
  </w:style>
  <w:style w:type="character" w:styleId="IntenseEmphasis">
    <w:name w:val="Intense Emphasis"/>
    <w:basedOn w:val="DefaultParagraphFont"/>
    <w:uiPriority w:val="21"/>
    <w:qFormat/>
    <w:rsid w:val="002410F9"/>
    <w:rPr>
      <w:i/>
      <w:iCs/>
      <w:color w:val="0F4761" w:themeColor="accent1" w:themeShade="BF"/>
    </w:rPr>
  </w:style>
  <w:style w:type="paragraph" w:styleId="IntenseQuote">
    <w:name w:val="Intense Quote"/>
    <w:basedOn w:val="Normal"/>
    <w:next w:val="Normal"/>
    <w:link w:val="IntenseQuoteChar"/>
    <w:uiPriority w:val="30"/>
    <w:qFormat/>
    <w:rsid w:val="002410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10F9"/>
    <w:rPr>
      <w:i/>
      <w:iCs/>
      <w:color w:val="0F4761" w:themeColor="accent1" w:themeShade="BF"/>
    </w:rPr>
  </w:style>
  <w:style w:type="character" w:styleId="IntenseReference">
    <w:name w:val="Intense Reference"/>
    <w:basedOn w:val="DefaultParagraphFont"/>
    <w:uiPriority w:val="32"/>
    <w:qFormat/>
    <w:rsid w:val="002410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246</Words>
  <Characters>1369</Characters>
  <Application>Microsoft Office Word</Application>
  <DocSecurity>0</DocSecurity>
  <Lines>26</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Jones</dc:creator>
  <cp:keywords/>
  <dc:description/>
  <cp:lastModifiedBy>Jeremy Jones</cp:lastModifiedBy>
  <cp:revision>3</cp:revision>
  <dcterms:created xsi:type="dcterms:W3CDTF">2026-06-26T01:57:00Z</dcterms:created>
  <dcterms:modified xsi:type="dcterms:W3CDTF">2026-08-02T22:41:00Z</dcterms:modified>
</cp:coreProperties>
</file>