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45FE9" w14:textId="4F49C7F0" w:rsidR="00AC7491" w:rsidRDefault="00450E2F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CB3D93D" wp14:editId="553343D9">
            <wp:simplePos x="0" y="0"/>
            <wp:positionH relativeFrom="column">
              <wp:posOffset>-305538</wp:posOffset>
            </wp:positionH>
            <wp:positionV relativeFrom="paragraph">
              <wp:posOffset>187496</wp:posOffset>
            </wp:positionV>
            <wp:extent cx="6245860" cy="3039745"/>
            <wp:effectExtent l="0" t="0" r="2540" b="8255"/>
            <wp:wrapSquare wrapText="bothSides"/>
            <wp:docPr id="97875410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303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953C34" w14:textId="77777777" w:rsidR="00450E2F" w:rsidRDefault="00450E2F" w:rsidP="00450E2F">
      <w:pPr>
        <w:pStyle w:val="pdq2pgselectionanchorcontainer"/>
        <w:rPr>
          <w:rFonts w:hint="eastAsia"/>
        </w:rPr>
      </w:pPr>
      <w:r>
        <w:rPr>
          <w:rStyle w:val="af2"/>
        </w:rPr>
        <w:t>Supplementary Figure 1. Scatter plots for bidirectional Mendelian randomization analyses between essential tremor and Parkinson’s disease.</w:t>
      </w:r>
      <w:r>
        <w:br/>
        <w:t xml:space="preserve">Scatter plots showing the SNP-specific associations for the bidirectional Mendelian randomization (MR) analyses between essential tremor (ET) and Parkinson’s disease (PD). Panel A shows the ET-to-PD analysis, with SNP effects on ET plotted on the x-axis and the corresponding SNP effects on PD plotted on the y-axis. Panel B shows the PD-to-ET analysis, with SNP effects on PD plotted on the x-axis and the corresponding SNP effects on ET plotted on the y-axis. Each point represents one genetic instrument, and error bars represent standard errors. Regression lines are shown for the inverse-variance weighted (IVW), weighted median, simple mode, and MR-Egger methods. </w:t>
      </w:r>
    </w:p>
    <w:p w14:paraId="38F8BAC4" w14:textId="1E710940" w:rsidR="00450E2F" w:rsidRPr="00450E2F" w:rsidRDefault="00450E2F">
      <w:pPr>
        <w:rPr>
          <w:rFonts w:hint="eastAsia"/>
          <w:b/>
          <w:bCs/>
        </w:rPr>
      </w:pPr>
    </w:p>
    <w:p w14:paraId="29EDC72A" w14:textId="5A38A9AD" w:rsidR="005F23C0" w:rsidRDefault="005F23C0">
      <w:pPr>
        <w:rPr>
          <w:rFonts w:hint="eastAsia"/>
        </w:rPr>
      </w:pPr>
    </w:p>
    <w:p w14:paraId="0B2541EC" w14:textId="77777777" w:rsidR="00E71F7D" w:rsidRDefault="00E71F7D">
      <w:pPr>
        <w:rPr>
          <w:rFonts w:hint="eastAsia"/>
        </w:rPr>
      </w:pPr>
    </w:p>
    <w:p w14:paraId="60E061AC" w14:textId="77777777" w:rsidR="00E71F7D" w:rsidRDefault="00E71F7D">
      <w:pPr>
        <w:rPr>
          <w:rFonts w:hint="eastAsia"/>
        </w:rPr>
      </w:pPr>
    </w:p>
    <w:p w14:paraId="4CE69116" w14:textId="77777777" w:rsidR="00E71F7D" w:rsidRDefault="00E71F7D">
      <w:pPr>
        <w:rPr>
          <w:rFonts w:hint="eastAsia"/>
        </w:rPr>
      </w:pPr>
    </w:p>
    <w:p w14:paraId="2220BE93" w14:textId="77777777" w:rsidR="00E71F7D" w:rsidRDefault="00E71F7D">
      <w:pPr>
        <w:rPr>
          <w:rFonts w:hint="eastAsia"/>
        </w:rPr>
      </w:pPr>
    </w:p>
    <w:p w14:paraId="5A7CD13A" w14:textId="77777777" w:rsidR="00E71F7D" w:rsidRDefault="00E71F7D">
      <w:pPr>
        <w:rPr>
          <w:rFonts w:hint="eastAsia"/>
        </w:rPr>
      </w:pPr>
    </w:p>
    <w:p w14:paraId="57F22AC9" w14:textId="55BB0C3A" w:rsidR="00E71F7D" w:rsidRDefault="001051F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B66246D" wp14:editId="70A33A14">
            <wp:extent cx="5274310" cy="3269615"/>
            <wp:effectExtent l="0" t="0" r="2540" b="6985"/>
            <wp:docPr id="49945000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6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4EC35" w14:textId="7E8C0870" w:rsidR="00E71F7D" w:rsidRDefault="00E71F7D">
      <w:pPr>
        <w:rPr>
          <w:rFonts w:hint="eastAsia"/>
        </w:rPr>
      </w:pPr>
      <w:r w:rsidRPr="00E71F7D">
        <w:rPr>
          <w:b/>
          <w:bCs/>
        </w:rPr>
        <w:t>Supplementary Figure 2. Leave-one-out analysis for the ET-to-PD Mendelian randomization analysis.</w:t>
      </w:r>
      <w:r w:rsidRPr="00E71F7D">
        <w:br/>
        <w:t>Leave-one-out analysis for the ET-to-PD direction. Each point represents the causal estimate obtained after removing one SNP at a time from the Mendelian randomization analysis, and the horizontal lines represent 95% confidence intervals. The row labeled “All” indicates the overall estimate using all SNPs. The consistency of the leave-one-out estimates indicates that the overall result was not driven by any single SNP.</w:t>
      </w:r>
    </w:p>
    <w:p w14:paraId="61D79867" w14:textId="77777777" w:rsidR="00E71F7D" w:rsidRDefault="00E71F7D">
      <w:pPr>
        <w:rPr>
          <w:rFonts w:hint="eastAsia"/>
        </w:rPr>
      </w:pPr>
    </w:p>
    <w:p w14:paraId="0DC41657" w14:textId="77777777" w:rsidR="00E71F7D" w:rsidRDefault="00E71F7D">
      <w:pPr>
        <w:rPr>
          <w:rFonts w:hint="eastAsia"/>
        </w:rPr>
      </w:pPr>
    </w:p>
    <w:p w14:paraId="41A27233" w14:textId="77777777" w:rsidR="00E71F7D" w:rsidRDefault="00E71F7D">
      <w:pPr>
        <w:rPr>
          <w:rFonts w:hint="eastAsia"/>
        </w:rPr>
      </w:pPr>
    </w:p>
    <w:p w14:paraId="0038785C" w14:textId="77777777" w:rsidR="00E71F7D" w:rsidRDefault="00E71F7D">
      <w:pPr>
        <w:rPr>
          <w:rFonts w:hint="eastAsia"/>
        </w:rPr>
      </w:pPr>
    </w:p>
    <w:p w14:paraId="4797880E" w14:textId="77777777" w:rsidR="00E71F7D" w:rsidRDefault="00E71F7D">
      <w:pPr>
        <w:rPr>
          <w:rFonts w:hint="eastAsia"/>
        </w:rPr>
      </w:pPr>
    </w:p>
    <w:p w14:paraId="354D0B6D" w14:textId="77777777" w:rsidR="00E71F7D" w:rsidRDefault="00E71F7D">
      <w:pPr>
        <w:rPr>
          <w:rFonts w:hint="eastAsia"/>
        </w:rPr>
      </w:pPr>
    </w:p>
    <w:p w14:paraId="35E7578C" w14:textId="77777777" w:rsidR="00E71F7D" w:rsidRDefault="00E71F7D">
      <w:pPr>
        <w:rPr>
          <w:rFonts w:hint="eastAsia"/>
        </w:rPr>
      </w:pPr>
    </w:p>
    <w:p w14:paraId="001EB65B" w14:textId="77777777" w:rsidR="00E71F7D" w:rsidRDefault="00E71F7D">
      <w:pPr>
        <w:rPr>
          <w:rFonts w:hint="eastAsia"/>
        </w:rPr>
      </w:pPr>
    </w:p>
    <w:p w14:paraId="04227D30" w14:textId="77777777" w:rsidR="001051FF" w:rsidRDefault="001051FF">
      <w:pPr>
        <w:rPr>
          <w:rFonts w:hint="eastAsia"/>
        </w:rPr>
      </w:pPr>
    </w:p>
    <w:p w14:paraId="5ABC1CEA" w14:textId="77777777" w:rsidR="001051FF" w:rsidRDefault="001051FF">
      <w:pPr>
        <w:rPr>
          <w:rFonts w:hint="eastAsia"/>
        </w:rPr>
      </w:pPr>
    </w:p>
    <w:p w14:paraId="1E1C0D10" w14:textId="77777777" w:rsidR="001051FF" w:rsidRDefault="001051FF">
      <w:pPr>
        <w:rPr>
          <w:rFonts w:hint="eastAsia"/>
        </w:rPr>
      </w:pPr>
    </w:p>
    <w:p w14:paraId="3B36A38E" w14:textId="77777777" w:rsidR="001051FF" w:rsidRDefault="001051FF">
      <w:pPr>
        <w:rPr>
          <w:rFonts w:hint="eastAsia"/>
        </w:rPr>
      </w:pPr>
    </w:p>
    <w:p w14:paraId="75EE7E90" w14:textId="33EEF0F7" w:rsidR="001051FF" w:rsidRDefault="001051FF">
      <w:pPr>
        <w:rPr>
          <w:rFonts w:hint="eastAsia"/>
        </w:rPr>
      </w:pPr>
      <w:r>
        <w:rPr>
          <w:noProof/>
        </w:rPr>
        <w:drawing>
          <wp:inline distT="0" distB="0" distL="0" distR="0" wp14:anchorId="4AF80872" wp14:editId="082438C9">
            <wp:extent cx="4657255" cy="7537621"/>
            <wp:effectExtent l="0" t="0" r="0" b="6350"/>
            <wp:docPr id="18366709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985" cy="754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7EED6" w14:textId="77777777" w:rsidR="001051FF" w:rsidRPr="001051FF" w:rsidRDefault="001051FF" w:rsidP="001051FF">
      <w:pPr>
        <w:rPr>
          <w:rFonts w:hint="eastAsia"/>
        </w:rPr>
      </w:pPr>
      <w:r w:rsidRPr="001051FF">
        <w:rPr>
          <w:b/>
          <w:bCs/>
        </w:rPr>
        <w:t>Supplementary Figure 3. Leave-one-out analysis for the PD-to-ET Mendelian randomization analysis.</w:t>
      </w:r>
      <w:r w:rsidRPr="001051FF">
        <w:br/>
        <w:t xml:space="preserve">Leave-one-out analysis for the PD-to-ET direction. Each point represents the causal </w:t>
      </w:r>
      <w:r w:rsidRPr="001051FF">
        <w:lastRenderedPageBreak/>
        <w:t>estimate obtained after removing one SNP at a time from the Mendelian randomization analysis, and the horizontal lines represent 95% confidence intervals. The row labeled “All” indicates the overall estimate using all SNPs. The consistency of the leave-one-out estimates indicates that the overall result was not driven by any single SNP.</w:t>
      </w:r>
    </w:p>
    <w:p w14:paraId="72FC0D67" w14:textId="77777777" w:rsidR="001051FF" w:rsidRPr="001051FF" w:rsidRDefault="001051FF">
      <w:pPr>
        <w:rPr>
          <w:rFonts w:hint="eastAsia"/>
        </w:rPr>
      </w:pPr>
    </w:p>
    <w:sectPr w:rsidR="001051FF" w:rsidRPr="001051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E053B" w14:textId="77777777" w:rsidR="000510E8" w:rsidRDefault="000510E8" w:rsidP="005F23C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4691F67" w14:textId="77777777" w:rsidR="000510E8" w:rsidRDefault="000510E8" w:rsidP="005F23C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A8660" w14:textId="77777777" w:rsidR="000510E8" w:rsidRDefault="000510E8" w:rsidP="005F23C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442EE4D" w14:textId="77777777" w:rsidR="000510E8" w:rsidRDefault="000510E8" w:rsidP="005F23C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491"/>
    <w:rsid w:val="000510E8"/>
    <w:rsid w:val="00067B5E"/>
    <w:rsid w:val="001051FF"/>
    <w:rsid w:val="001E1A54"/>
    <w:rsid w:val="00450E2F"/>
    <w:rsid w:val="005F23C0"/>
    <w:rsid w:val="008164F9"/>
    <w:rsid w:val="009E3E55"/>
    <w:rsid w:val="00A02700"/>
    <w:rsid w:val="00A14962"/>
    <w:rsid w:val="00AC7491"/>
    <w:rsid w:val="00B6030C"/>
    <w:rsid w:val="00BC07DA"/>
    <w:rsid w:val="00DF102E"/>
    <w:rsid w:val="00E7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D2F575"/>
  <w15:chartTrackingRefBased/>
  <w15:docId w15:val="{C01E4F75-EB74-497D-B760-45EE86DE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749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4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74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749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749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749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749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749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749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749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C74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C74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C749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C749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C749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C749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C749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C749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C749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C7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749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C74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74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C74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749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C749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74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C749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C749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F23C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F23C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F23C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F23C0"/>
    <w:rPr>
      <w:sz w:val="18"/>
      <w:szCs w:val="18"/>
    </w:rPr>
  </w:style>
  <w:style w:type="paragraph" w:customStyle="1" w:styleId="pdq2pgselectionanchorcontainer">
    <w:name w:val="pdq2pg_selectionanchorcontainer"/>
    <w:basedOn w:val="a"/>
    <w:rsid w:val="00450E2F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styleId="af2">
    <w:name w:val="Strong"/>
    <w:basedOn w:val="a0"/>
    <w:uiPriority w:val="22"/>
    <w:qFormat/>
    <w:rsid w:val="00450E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267</Words>
  <Characters>1611</Characters>
  <Application>Microsoft Office Word</Application>
  <DocSecurity>0</DocSecurity>
  <Lines>50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林净 张</dc:creator>
  <cp:keywords/>
  <dc:description/>
  <cp:lastModifiedBy>林净 张</cp:lastModifiedBy>
  <cp:revision>3</cp:revision>
  <dcterms:created xsi:type="dcterms:W3CDTF">2026-07-01T11:42:00Z</dcterms:created>
  <dcterms:modified xsi:type="dcterms:W3CDTF">2026-07-19T02:28:00Z</dcterms:modified>
</cp:coreProperties>
</file>