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658BC" w:rsidR="00644D4D" w:rsidP="40F53B98" w:rsidRDefault="7DE390A8" w14:paraId="118DF350" w14:textId="7AE39F19">
      <w:pPr>
        <w:pStyle w:val="Heading1"/>
        <w:spacing w:line="480" w:lineRule="auto"/>
        <w:rPr>
          <w:rFonts w:ascii="Arial" w:hAnsi="Arial" w:eastAsia="Arial" w:cs="Arial"/>
          <w:sz w:val="24"/>
          <w:szCs w:val="24"/>
        </w:rPr>
      </w:pPr>
      <w:r w:rsidRPr="000658BC">
        <w:rPr>
          <w:rFonts w:ascii="Arial" w:hAnsi="Arial" w:eastAsia="Arial" w:cs="Arial"/>
          <w:sz w:val="24"/>
          <w:szCs w:val="24"/>
        </w:rPr>
        <w:t xml:space="preserve">Distinct lesions </w:t>
      </w:r>
      <w:r w:rsidRPr="000658BC" w:rsidR="4800E6D1">
        <w:rPr>
          <w:rFonts w:ascii="Arial" w:hAnsi="Arial" w:eastAsia="Arial" w:cs="Arial"/>
          <w:sz w:val="24"/>
          <w:szCs w:val="24"/>
        </w:rPr>
        <w:t>and connected-component filtering</w:t>
      </w:r>
    </w:p>
    <w:p w:rsidRPr="000658BC" w:rsidR="00644D4D" w:rsidP="40F53B98" w:rsidRDefault="4800E6D1" w14:paraId="0DBBFDB0" w14:textId="7E1E1D03">
      <w:pPr>
        <w:spacing w:line="480" w:lineRule="auto"/>
        <w:jc w:val="both"/>
        <w:rPr>
          <w:rFonts w:ascii="Arial" w:hAnsi="Arial" w:eastAsia="Arial" w:cs="Arial"/>
        </w:rPr>
      </w:pPr>
      <w:r w:rsidRPr="000658BC">
        <w:rPr>
          <w:rFonts w:ascii="Arial" w:hAnsi="Arial" w:eastAsia="Arial" w:cs="Arial"/>
        </w:rPr>
        <w:t xml:space="preserve">Distinct lesions were identified as spatially connected components within the </w:t>
      </w:r>
      <w:r w:rsidRPr="000658BC" w:rsidR="6CC81AE9">
        <w:rPr>
          <w:rFonts w:ascii="Arial" w:hAnsi="Arial" w:eastAsia="Arial" w:cs="Arial"/>
        </w:rPr>
        <w:t>enface</w:t>
      </w:r>
      <w:r w:rsidRPr="000658BC">
        <w:rPr>
          <w:rFonts w:ascii="Arial" w:hAnsi="Arial" w:eastAsia="Arial" w:cs="Arial"/>
        </w:rPr>
        <w:t xml:space="preserve"> projections of each OCT-derived biomarker. Connectivity was defined using an 8-neighbourhood criterion, whereby pixels sharing either an edge or a corner were considered connected.</w:t>
      </w:r>
    </w:p>
    <w:p w:rsidRPr="00EE331C" w:rsidR="00644D4D" w:rsidP="00EE331C" w:rsidRDefault="4800E6D1" w14:paraId="18AEB543" w14:textId="78A5D99D">
      <w:pPr>
        <w:spacing w:line="480" w:lineRule="auto"/>
        <w:jc w:val="both"/>
        <w:rPr>
          <w:rFonts w:ascii="Arial" w:hAnsi="Arial" w:eastAsia="Arial" w:cs="Arial"/>
        </w:rPr>
      </w:pPr>
      <w:r w:rsidRPr="000658BC">
        <w:rPr>
          <w:rFonts w:ascii="Arial" w:hAnsi="Arial" w:eastAsia="Arial" w:cs="Arial"/>
        </w:rPr>
        <w:t>To reduce spurious detections from small segmentation artefacts, connected components were required to satisfy all predefined morphological thresholds listed in Table S1. Components failing any of these criteria were excluded. The same filtering criteria were applied uniformly across all biomarkers and cohorts.</w:t>
      </w:r>
    </w:p>
    <w:tbl>
      <w:tblPr>
        <w:tblStyle w:val="TableGrid"/>
        <w:tblW w:w="0" w:type="auto"/>
        <w:jc w:val="center"/>
        <w:tblBorders>
          <w:top w:val="none" w:color="000000" w:themeColor="text1" w:sz="12"/>
          <w:left w:val="none" w:color="000000" w:themeColor="text1" w:sz="12"/>
          <w:bottom w:val="none" w:color="000000" w:themeColor="text1" w:sz="12"/>
          <w:right w:val="none" w:color="000000" w:themeColor="text1" w:sz="12"/>
          <w:insideH w:val="none" w:color="000000" w:themeColor="text1" w:sz="12"/>
          <w:insideV w:val="none" w:color="000000" w:themeColor="text1" w:sz="12"/>
        </w:tblBorders>
        <w:tblLook w:val="04A0" w:firstRow="1" w:lastRow="0" w:firstColumn="1" w:lastColumn="0" w:noHBand="0" w:noVBand="1"/>
      </w:tblPr>
      <w:tblGrid>
        <w:gridCol w:w="4968"/>
        <w:gridCol w:w="4968"/>
      </w:tblGrid>
      <w:tr w:rsidRPr="000658BC" w:rsidR="00644D4D" w:rsidTr="5E4E44FE" w14:paraId="06FD4FFC" w14:textId="77777777">
        <w:trPr>
          <w:trHeight w:val="454"/>
        </w:trPr>
        <w:tc>
          <w:tcPr>
            <w:tcW w:w="4968" w:type="dxa"/>
            <w:tcBorders>
              <w:top w:val="single" w:color="000000" w:themeColor="text1" w:sz="12"/>
              <w:bottom w:val="single" w:color="000000" w:themeColor="text1" w:sz="12"/>
            </w:tcBorders>
            <w:shd w:val="clear" w:color="auto" w:fill="F2F2F2" w:themeFill="background1" w:themeFillShade="F2"/>
            <w:tcMar/>
            <w:vAlign w:val="center"/>
          </w:tcPr>
          <w:p w:rsidRPr="00BC3F25" w:rsidR="00644D4D" w:rsidP="00BC3F25" w:rsidRDefault="4800E6D1" w14:paraId="016C9200" w14:textId="77777777">
            <w:pPr>
              <w:pStyle w:val="NoSpacing"/>
              <w:rPr>
                <w:rFonts w:ascii="Arial" w:hAnsi="Arial" w:cs="Arial"/>
                <w:b/>
                <w:bCs/>
                <w:sz w:val="20"/>
                <w:szCs w:val="20"/>
              </w:rPr>
            </w:pPr>
            <w:r w:rsidRPr="00BC3F25">
              <w:rPr>
                <w:rFonts w:ascii="Arial" w:hAnsi="Arial" w:cs="Arial"/>
                <w:b/>
                <w:bCs/>
                <w:sz w:val="20"/>
                <w:szCs w:val="20"/>
              </w:rPr>
              <w:t>Criterion</w:t>
            </w:r>
          </w:p>
        </w:tc>
        <w:tc>
          <w:tcPr>
            <w:tcW w:w="4968" w:type="dxa"/>
            <w:tcBorders>
              <w:top w:val="single" w:color="000000" w:themeColor="text1" w:sz="12"/>
              <w:bottom w:val="single" w:color="000000" w:themeColor="text1" w:sz="12"/>
            </w:tcBorders>
            <w:shd w:val="clear" w:color="auto" w:fill="F2F2F2" w:themeFill="background1" w:themeFillShade="F2"/>
            <w:tcMar/>
            <w:vAlign w:val="center"/>
          </w:tcPr>
          <w:p w:rsidRPr="00BC3F25" w:rsidR="00644D4D" w:rsidP="00BC3F25" w:rsidRDefault="4800E6D1" w14:paraId="3D29C87E" w14:textId="77777777">
            <w:pPr>
              <w:pStyle w:val="NoSpacing"/>
              <w:rPr>
                <w:rFonts w:ascii="Arial" w:hAnsi="Arial" w:cs="Arial"/>
                <w:b/>
                <w:bCs/>
                <w:sz w:val="20"/>
                <w:szCs w:val="20"/>
              </w:rPr>
            </w:pPr>
            <w:r w:rsidRPr="00BC3F25">
              <w:rPr>
                <w:rFonts w:ascii="Arial" w:hAnsi="Arial" w:cs="Arial"/>
                <w:b/>
                <w:bCs/>
                <w:sz w:val="20"/>
                <w:szCs w:val="20"/>
              </w:rPr>
              <w:t>Threshold for retention</w:t>
            </w:r>
          </w:p>
        </w:tc>
      </w:tr>
      <w:tr w:rsidRPr="000658BC" w:rsidR="00644D4D" w:rsidTr="5E4E44FE" w14:paraId="6D5509D0" w14:textId="77777777">
        <w:trPr>
          <w:trHeight w:val="454"/>
        </w:trPr>
        <w:tc>
          <w:tcPr>
            <w:tcW w:w="4968" w:type="dxa"/>
            <w:tcBorders>
              <w:top w:val="single" w:color="000000" w:themeColor="text1" w:sz="12"/>
            </w:tcBorders>
            <w:tcMar/>
            <w:vAlign w:val="center"/>
          </w:tcPr>
          <w:p w:rsidRPr="00BC3F25" w:rsidR="00644D4D" w:rsidP="00BC3F25" w:rsidRDefault="4800E6D1" w14:paraId="3EF23D0E" w14:textId="77777777">
            <w:pPr>
              <w:pStyle w:val="NoSpacing"/>
              <w:rPr>
                <w:rFonts w:ascii="Arial" w:hAnsi="Arial" w:cs="Arial"/>
                <w:sz w:val="20"/>
                <w:szCs w:val="20"/>
              </w:rPr>
            </w:pPr>
            <w:r w:rsidRPr="00BC3F25">
              <w:rPr>
                <w:rFonts w:ascii="Arial" w:hAnsi="Arial" w:cs="Arial"/>
                <w:sz w:val="20"/>
                <w:szCs w:val="20"/>
              </w:rPr>
              <w:t>Horizontal extent</w:t>
            </w:r>
          </w:p>
        </w:tc>
        <w:tc>
          <w:tcPr>
            <w:tcW w:w="4968" w:type="dxa"/>
            <w:tcBorders>
              <w:top w:val="single" w:color="000000" w:themeColor="text1" w:sz="12"/>
            </w:tcBorders>
            <w:tcMar/>
            <w:vAlign w:val="center"/>
          </w:tcPr>
          <w:p w:rsidRPr="00BC3F25" w:rsidR="00644D4D" w:rsidP="00BC3F25" w:rsidRDefault="4800E6D1" w14:paraId="6E1D1900" w14:textId="77777777">
            <w:pPr>
              <w:pStyle w:val="NoSpacing"/>
              <w:rPr>
                <w:rFonts w:ascii="Arial" w:hAnsi="Arial" w:cs="Arial"/>
                <w:sz w:val="20"/>
                <w:szCs w:val="20"/>
              </w:rPr>
            </w:pPr>
            <w:r w:rsidRPr="00BC3F25">
              <w:rPr>
                <w:rFonts w:ascii="Arial" w:hAnsi="Arial" w:cs="Arial"/>
                <w:sz w:val="20"/>
                <w:szCs w:val="20"/>
              </w:rPr>
              <w:t>≥0.4 mm</w:t>
            </w:r>
          </w:p>
        </w:tc>
      </w:tr>
      <w:tr w:rsidRPr="000658BC" w:rsidR="00644D4D" w:rsidTr="5E4E44FE" w14:paraId="543CF0A1" w14:textId="77777777">
        <w:trPr>
          <w:trHeight w:val="454"/>
        </w:trPr>
        <w:tc>
          <w:tcPr>
            <w:tcW w:w="4968" w:type="dxa"/>
            <w:tcMar/>
            <w:vAlign w:val="center"/>
          </w:tcPr>
          <w:p w:rsidRPr="00BC3F25" w:rsidR="00644D4D" w:rsidP="00BC3F25" w:rsidRDefault="4800E6D1" w14:paraId="7266514B" w14:textId="77777777">
            <w:pPr>
              <w:pStyle w:val="NoSpacing"/>
              <w:rPr>
                <w:rFonts w:ascii="Arial" w:hAnsi="Arial" w:cs="Arial"/>
                <w:sz w:val="20"/>
                <w:szCs w:val="20"/>
              </w:rPr>
            </w:pPr>
            <w:r w:rsidRPr="00BC3F25">
              <w:rPr>
                <w:rFonts w:ascii="Arial" w:hAnsi="Arial" w:cs="Arial"/>
                <w:sz w:val="20"/>
                <w:szCs w:val="20"/>
              </w:rPr>
              <w:t>Vertical extent</w:t>
            </w:r>
          </w:p>
        </w:tc>
        <w:tc>
          <w:tcPr>
            <w:tcW w:w="4968" w:type="dxa"/>
            <w:tcMar/>
            <w:vAlign w:val="center"/>
          </w:tcPr>
          <w:p w:rsidRPr="00BC3F25" w:rsidR="00644D4D" w:rsidP="00BC3F25" w:rsidRDefault="4800E6D1" w14:paraId="5A499744" w14:textId="77777777">
            <w:pPr>
              <w:pStyle w:val="NoSpacing"/>
              <w:rPr>
                <w:rFonts w:ascii="Arial" w:hAnsi="Arial" w:cs="Arial"/>
                <w:sz w:val="20"/>
                <w:szCs w:val="20"/>
              </w:rPr>
            </w:pPr>
            <w:r w:rsidRPr="00BC3F25">
              <w:rPr>
                <w:rFonts w:ascii="Arial" w:hAnsi="Arial" w:cs="Arial"/>
                <w:sz w:val="20"/>
                <w:szCs w:val="20"/>
              </w:rPr>
              <w:t>≥0.4 mm</w:t>
            </w:r>
          </w:p>
        </w:tc>
      </w:tr>
      <w:tr w:rsidRPr="000658BC" w:rsidR="00644D4D" w:rsidTr="5E4E44FE" w14:paraId="2C61AD53" w14:textId="77777777">
        <w:trPr>
          <w:trHeight w:val="454"/>
        </w:trPr>
        <w:tc>
          <w:tcPr>
            <w:tcW w:w="4968" w:type="dxa"/>
            <w:tcMar/>
            <w:vAlign w:val="center"/>
          </w:tcPr>
          <w:p w:rsidRPr="00BC3F25" w:rsidR="00644D4D" w:rsidP="00BC3F25" w:rsidRDefault="4800E6D1" w14:paraId="40E84407" w14:textId="77777777">
            <w:pPr>
              <w:pStyle w:val="NoSpacing"/>
              <w:rPr>
                <w:rFonts w:ascii="Arial" w:hAnsi="Arial" w:cs="Arial"/>
                <w:sz w:val="20"/>
                <w:szCs w:val="20"/>
              </w:rPr>
            </w:pPr>
            <w:r w:rsidRPr="00BC3F25">
              <w:rPr>
                <w:rFonts w:ascii="Arial" w:hAnsi="Arial" w:cs="Arial"/>
                <w:sz w:val="20"/>
                <w:szCs w:val="20"/>
              </w:rPr>
              <w:t>Total area</w:t>
            </w:r>
          </w:p>
        </w:tc>
        <w:tc>
          <w:tcPr>
            <w:tcW w:w="4968" w:type="dxa"/>
            <w:tcMar/>
            <w:vAlign w:val="center"/>
          </w:tcPr>
          <w:p w:rsidRPr="00BC3F25" w:rsidR="00644D4D" w:rsidP="00BC3F25" w:rsidRDefault="4800E6D1" w14:paraId="29869DD5" w14:textId="77777777">
            <w:pPr>
              <w:pStyle w:val="NoSpacing"/>
              <w:rPr>
                <w:rFonts w:ascii="Arial" w:hAnsi="Arial" w:cs="Arial"/>
                <w:sz w:val="20"/>
                <w:szCs w:val="20"/>
              </w:rPr>
            </w:pPr>
            <w:r w:rsidRPr="00BC3F25">
              <w:rPr>
                <w:rFonts w:ascii="Arial" w:hAnsi="Arial" w:cs="Arial"/>
                <w:sz w:val="20"/>
                <w:szCs w:val="20"/>
              </w:rPr>
              <w:t>≥0.04 mm²</w:t>
            </w:r>
          </w:p>
        </w:tc>
      </w:tr>
      <w:tr w:rsidRPr="000658BC" w:rsidR="00644D4D" w:rsidTr="5E4E44FE" w14:paraId="0D7C79AF" w14:textId="77777777">
        <w:trPr>
          <w:trHeight w:val="454"/>
        </w:trPr>
        <w:tc>
          <w:tcPr>
            <w:tcW w:w="4968" w:type="dxa"/>
            <w:tcBorders>
              <w:bottom w:val="single" w:color="000000" w:themeColor="text1" w:sz="12"/>
            </w:tcBorders>
            <w:tcMar/>
            <w:vAlign w:val="center"/>
          </w:tcPr>
          <w:p w:rsidRPr="00BC3F25" w:rsidR="00644D4D" w:rsidP="00BC3F25" w:rsidRDefault="4800E6D1" w14:paraId="3A4324CA" w14:textId="77777777">
            <w:pPr>
              <w:pStyle w:val="NoSpacing"/>
              <w:rPr>
                <w:rFonts w:ascii="Arial" w:hAnsi="Arial" w:cs="Arial"/>
                <w:sz w:val="20"/>
                <w:szCs w:val="20"/>
              </w:rPr>
            </w:pPr>
            <w:r w:rsidRPr="00BC3F25">
              <w:rPr>
                <w:rFonts w:ascii="Arial" w:hAnsi="Arial" w:cs="Arial"/>
                <w:sz w:val="20"/>
                <w:szCs w:val="20"/>
              </w:rPr>
              <w:t>Connectivity</w:t>
            </w:r>
          </w:p>
        </w:tc>
        <w:tc>
          <w:tcPr>
            <w:tcW w:w="4968" w:type="dxa"/>
            <w:tcBorders>
              <w:bottom w:val="single" w:color="000000" w:themeColor="text1" w:sz="12"/>
            </w:tcBorders>
            <w:tcMar/>
            <w:vAlign w:val="center"/>
          </w:tcPr>
          <w:p w:rsidRPr="00BC3F25" w:rsidR="00644D4D" w:rsidP="00BC3F25" w:rsidRDefault="4800E6D1" w14:paraId="3CE738D8" w14:textId="77777777">
            <w:pPr>
              <w:pStyle w:val="NoSpacing"/>
              <w:rPr>
                <w:rFonts w:ascii="Arial" w:hAnsi="Arial" w:cs="Arial"/>
                <w:sz w:val="20"/>
                <w:szCs w:val="20"/>
              </w:rPr>
            </w:pPr>
            <w:r w:rsidRPr="00BC3F25">
              <w:rPr>
                <w:rFonts w:ascii="Arial" w:hAnsi="Arial" w:cs="Arial"/>
                <w:sz w:val="20"/>
                <w:szCs w:val="20"/>
              </w:rPr>
              <w:t>8-neighbourhood connectivity</w:t>
            </w:r>
          </w:p>
        </w:tc>
      </w:tr>
    </w:tbl>
    <w:p w:rsidRPr="00EE331C" w:rsidR="00EE331C" w:rsidP="40F53B98" w:rsidRDefault="00EE331C" w14:paraId="55C9794F" w14:textId="664A1CE0">
      <w:pPr>
        <w:pStyle w:val="Heading1"/>
        <w:spacing w:line="480" w:lineRule="auto"/>
        <w:rPr>
          <w:rFonts w:ascii="Arial" w:hAnsi="Arial" w:eastAsia="Arial" w:cs="Arial"/>
          <w:color w:val="595959" w:themeColor="text1" w:themeTint="A6"/>
          <w:sz w:val="16"/>
          <w:szCs w:val="16"/>
        </w:rPr>
      </w:pPr>
      <w:r w:rsidRPr="00EE331C">
        <w:rPr>
          <w:rFonts w:ascii="Arial" w:hAnsi="Arial" w:cs="Arial"/>
          <w:color w:val="595959" w:themeColor="text1" w:themeTint="A6"/>
          <w:sz w:val="16"/>
          <w:szCs w:val="16"/>
        </w:rPr>
        <w:t>Supplementary Table S1. Morphological criteria used to retain distinct lesions.</w:t>
      </w:r>
    </w:p>
    <w:p w:rsidRPr="005F031B" w:rsidR="00644D4D" w:rsidP="40F53B98" w:rsidRDefault="4800E6D1" w14:paraId="7B54DF6D" w14:textId="3B1CAA99">
      <w:pPr>
        <w:pStyle w:val="Heading1"/>
        <w:spacing w:line="480" w:lineRule="auto"/>
        <w:rPr>
          <w:rFonts w:ascii="Arial" w:hAnsi="Arial" w:eastAsia="Arial" w:cs="Arial"/>
          <w:sz w:val="24"/>
          <w:szCs w:val="24"/>
        </w:rPr>
      </w:pPr>
      <w:r w:rsidRPr="005F031B">
        <w:rPr>
          <w:rFonts w:ascii="Arial" w:hAnsi="Arial" w:eastAsia="Arial" w:cs="Arial"/>
          <w:sz w:val="24"/>
          <w:szCs w:val="24"/>
        </w:rPr>
        <w:t>Recorded lesion-level measurements</w:t>
      </w:r>
    </w:p>
    <w:p w:rsidRPr="000658BC" w:rsidR="00644D4D" w:rsidP="40F53B98" w:rsidRDefault="4800E6D1" w14:paraId="020C42ED" w14:textId="37A97B70">
      <w:pPr>
        <w:spacing w:line="480" w:lineRule="auto"/>
        <w:jc w:val="both"/>
        <w:rPr>
          <w:rFonts w:ascii="Arial" w:hAnsi="Arial" w:eastAsia="Arial" w:cs="Arial"/>
        </w:rPr>
      </w:pPr>
      <w:r w:rsidRPr="000658BC">
        <w:rPr>
          <w:rFonts w:ascii="Arial" w:hAnsi="Arial" w:eastAsia="Arial" w:cs="Arial"/>
        </w:rPr>
        <w:t xml:space="preserve">For each retained distinct lesion, area, perimeter, spatial location, and lesion count were recorded. Thresholds were selected empirically based on qualitative review of lesion morphology across the study cohorts, with the aim of excluding </w:t>
      </w:r>
      <w:proofErr w:type="gramStart"/>
      <w:r w:rsidRPr="000658BC">
        <w:rPr>
          <w:rFonts w:ascii="Arial" w:hAnsi="Arial" w:eastAsia="Arial" w:cs="Arial"/>
        </w:rPr>
        <w:t>small isolated</w:t>
      </w:r>
      <w:proofErr w:type="gramEnd"/>
      <w:r w:rsidRPr="000658BC">
        <w:rPr>
          <w:rFonts w:ascii="Arial" w:hAnsi="Arial" w:eastAsia="Arial" w:cs="Arial"/>
        </w:rPr>
        <w:t xml:space="preserve"> noise-related components while preserving contiguous lesion structures considered meaningful on </w:t>
      </w:r>
      <w:r w:rsidRPr="000658BC" w:rsidR="6CC81AE9">
        <w:rPr>
          <w:rFonts w:ascii="Arial" w:hAnsi="Arial" w:eastAsia="Arial" w:cs="Arial"/>
        </w:rPr>
        <w:t>enface</w:t>
      </w:r>
      <w:r w:rsidRPr="000658BC">
        <w:rPr>
          <w:rFonts w:ascii="Arial" w:hAnsi="Arial" w:eastAsia="Arial" w:cs="Arial"/>
        </w:rPr>
        <w:t xml:space="preserve"> OCT projections.</w:t>
      </w:r>
    </w:p>
    <w:p w:rsidRPr="005F031B" w:rsidR="00644D4D" w:rsidP="3A6B0623" w:rsidRDefault="26D0FADE" w14:paraId="225DFF6F" w14:textId="27569355">
      <w:pPr>
        <w:pStyle w:val="Heading1"/>
        <w:spacing w:line="480" w:lineRule="auto"/>
        <w:rPr>
          <w:rFonts w:ascii="Arial" w:hAnsi="Arial" w:eastAsia="Arial" w:cs="Arial"/>
          <w:sz w:val="24"/>
          <w:szCs w:val="24"/>
        </w:rPr>
      </w:pPr>
    </w:p>
    <w:p w:rsidRPr="005F031B" w:rsidR="00644D4D" w:rsidP="3A6B0623" w:rsidRDefault="26D0FADE" w14:paraId="401EE6B4" w14:textId="4DAF62D4">
      <w:pPr>
        <w:spacing w:line="480" w:lineRule="auto"/>
      </w:pPr>
      <w:r>
        <w:br w:type="page"/>
      </w:r>
    </w:p>
    <w:p w:rsidRPr="005F031B" w:rsidR="00644D4D" w:rsidP="40F53B98" w:rsidRDefault="26D0FADE" w14:paraId="08BAB6A2" w14:textId="6793FD99">
      <w:pPr>
        <w:pStyle w:val="Heading1"/>
        <w:spacing w:line="480" w:lineRule="auto"/>
        <w:rPr>
          <w:rFonts w:ascii="Arial" w:hAnsi="Arial" w:eastAsia="Arial" w:cs="Arial"/>
          <w:sz w:val="24"/>
          <w:szCs w:val="24"/>
        </w:rPr>
      </w:pPr>
      <w:r w:rsidRPr="3A6B0623" w:rsidR="755DE0AB">
        <w:rPr>
          <w:rFonts w:ascii="Arial" w:hAnsi="Arial" w:eastAsia="Arial" w:cs="Arial"/>
          <w:sz w:val="24"/>
          <w:szCs w:val="24"/>
        </w:rPr>
        <w:t>I</w:t>
      </w:r>
      <w:r w:rsidRPr="3A6B0623" w:rsidR="73910847">
        <w:rPr>
          <w:rFonts w:ascii="Arial" w:hAnsi="Arial" w:eastAsia="Arial" w:cs="Arial"/>
          <w:sz w:val="24"/>
          <w:szCs w:val="24"/>
        </w:rPr>
        <w:t>llustrative example of component filtering</w:t>
      </w:r>
    </w:p>
    <w:p w:rsidRPr="000658BC" w:rsidR="005F031B" w:rsidP="40F53B98" w:rsidRDefault="005F031B" w14:paraId="7464992A" w14:textId="1AFE1F7A">
      <w:pPr>
        <w:spacing w:line="480" w:lineRule="auto"/>
        <w:jc w:val="both"/>
      </w:pPr>
      <w:r w:rsidRPr="5E4E44FE" w:rsidR="4B8A7918">
        <w:rPr>
          <w:rFonts w:ascii="Arial" w:hAnsi="Arial" w:eastAsia="Arial" w:cs="Arial"/>
        </w:rPr>
        <w:t>Figure S1 illustrates the connected-component filtering process in a representative right eye. The panels show the original biomarker projection before filtering, the retained distinct lesion projection after applying the morphological criteria, and the retained projection with excluded small components highlighted.</w:t>
      </w:r>
    </w:p>
    <w:p w:rsidRPr="000658BC" w:rsidR="00644D4D" w:rsidP="5E4E44FE" w:rsidRDefault="4800E6D1" w14:paraId="4E39CBF3" w14:textId="074CD534">
      <w:pPr>
        <w:pStyle w:val="Normal"/>
        <w:spacing w:after="40" w:line="480" w:lineRule="auto"/>
        <w:jc w:val="center"/>
      </w:pPr>
      <w:r w:rsidR="0A7A1709">
        <w:drawing>
          <wp:inline wp14:editId="1E2890F6" wp14:anchorId="2C4B3A16">
            <wp:extent cx="6324600" cy="2047875"/>
            <wp:effectExtent l="0" t="0" r="0" b="0"/>
            <wp:docPr id="36519468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65194687" name="Picture 365194687"/>
                    <pic:cNvPicPr/>
                  </pic:nvPicPr>
                  <pic:blipFill>
                    <a:blip xmlns:r="http://schemas.openxmlformats.org/officeDocument/2006/relationships" r:embed="rId1872055791">
                      <a:extLst>
                        <a:ext uri="{28A0092B-C50C-407E-A947-70E740481C1C}">
                          <a14:useLocalDpi xmlns:a14="http://schemas.microsoft.com/office/drawing/2010/main"/>
                        </a:ext>
                      </a:extLst>
                    </a:blip>
                    <a:stretch>
                      <a:fillRect/>
                    </a:stretch>
                  </pic:blipFill>
                  <pic:spPr>
                    <a:xfrm>
                      <a:off x="0" y="0"/>
                      <a:ext cx="6324600" cy="2047875"/>
                    </a:xfrm>
                    <a:prstGeom prst="rect">
                      <a:avLst/>
                    </a:prstGeom>
                  </pic:spPr>
                </pic:pic>
              </a:graphicData>
            </a:graphic>
          </wp:inline>
        </w:drawing>
      </w:r>
    </w:p>
    <w:p w:rsidRPr="000658BC" w:rsidR="6EE11D5F" w:rsidP="40F53B98" w:rsidRDefault="6EE11D5F" w14:paraId="5BAF4F38" w14:textId="423253D7">
      <w:pPr>
        <w:spacing w:before="40" w:after="0" w:line="480" w:lineRule="auto"/>
        <w:jc w:val="both"/>
      </w:pPr>
      <w:r w:rsidRPr="3A6B0623" w:rsidR="34BFAA5D">
        <w:rPr>
          <w:rFonts w:ascii="Arial" w:hAnsi="Arial" w:eastAsia="Arial" w:cs="Arial"/>
          <w:b w:val="1"/>
          <w:bCs w:val="1"/>
          <w:color w:val="000000" w:themeColor="text1" w:themeTint="FF" w:themeShade="FF"/>
          <w:sz w:val="20"/>
          <w:szCs w:val="20"/>
        </w:rPr>
        <w:t xml:space="preserve">Supplementary </w:t>
      </w:r>
      <w:r w:rsidRPr="3A6B0623" w:rsidR="73910847">
        <w:rPr>
          <w:rFonts w:ascii="Arial" w:hAnsi="Arial" w:eastAsia="Arial" w:cs="Arial"/>
          <w:b w:val="1"/>
          <w:bCs w:val="1"/>
          <w:color w:val="000000" w:themeColor="text1" w:themeTint="FF" w:themeShade="FF"/>
          <w:sz w:val="20"/>
          <w:szCs w:val="20"/>
        </w:rPr>
        <w:t xml:space="preserve">Figure S1. Example of distinct lesion thresholding and exclusion of </w:t>
      </w:r>
      <w:r w:rsidRPr="3A6B0623" w:rsidR="73910847">
        <w:rPr>
          <w:rFonts w:ascii="Arial" w:hAnsi="Arial" w:eastAsia="Arial" w:cs="Arial"/>
          <w:b w:val="1"/>
          <w:bCs w:val="1"/>
          <w:color w:val="000000" w:themeColor="text1" w:themeTint="FF" w:themeShade="FF"/>
          <w:sz w:val="20"/>
          <w:szCs w:val="20"/>
        </w:rPr>
        <w:t>small connected</w:t>
      </w:r>
      <w:r w:rsidRPr="3A6B0623" w:rsidR="73910847">
        <w:rPr>
          <w:rFonts w:ascii="Arial" w:hAnsi="Arial" w:eastAsia="Arial" w:cs="Arial"/>
          <w:b w:val="1"/>
          <w:bCs w:val="1"/>
          <w:color w:val="000000" w:themeColor="text1" w:themeTint="FF" w:themeShade="FF"/>
          <w:sz w:val="20"/>
          <w:szCs w:val="20"/>
        </w:rPr>
        <w:t xml:space="preserve"> components. </w:t>
      </w:r>
      <w:r w:rsidRPr="3A6B0623" w:rsidR="23FBEE2C">
        <w:rPr>
          <w:rFonts w:ascii="Arial" w:hAnsi="Arial" w:eastAsia="Arial" w:cs="Arial"/>
          <w:b w:val="1"/>
          <w:bCs w:val="1"/>
          <w:color w:val="000000" w:themeColor="text1" w:themeTint="FF" w:themeShade="FF"/>
          <w:sz w:val="20"/>
          <w:szCs w:val="20"/>
        </w:rPr>
        <w:t xml:space="preserve"> </w:t>
      </w:r>
      <w:r w:rsidRPr="3A6B0623" w:rsidR="23FBEE2C">
        <w:rPr>
          <w:rFonts w:ascii="Arial" w:hAnsi="Arial" w:eastAsia="Arial" w:cs="Arial"/>
          <w:color w:val="000000" w:themeColor="text1" w:themeTint="FF" w:themeShade="FF"/>
          <w:sz w:val="20"/>
          <w:szCs w:val="20"/>
        </w:rPr>
        <w:t xml:space="preserve">Panels show a </w:t>
      </w:r>
      <w:r w:rsidRPr="3A6B0623" w:rsidR="23FBEE2C">
        <w:rPr>
          <w:rFonts w:ascii="Arial" w:hAnsi="Arial" w:eastAsia="Arial" w:cs="Arial"/>
          <w:color w:val="000000" w:themeColor="text1" w:themeTint="FF" w:themeShade="FF"/>
          <w:sz w:val="20"/>
          <w:szCs w:val="20"/>
        </w:rPr>
        <w:t>representative</w:t>
      </w:r>
      <w:r w:rsidRPr="3A6B0623" w:rsidR="23FBEE2C">
        <w:rPr>
          <w:rFonts w:ascii="Arial" w:hAnsi="Arial" w:eastAsia="Arial" w:cs="Arial"/>
          <w:color w:val="000000" w:themeColor="text1" w:themeTint="FF" w:themeShade="FF"/>
          <w:sz w:val="20"/>
          <w:szCs w:val="20"/>
        </w:rPr>
        <w:t xml:space="preserve"> right eye. The left panel shows original connected components before thresholding, the middle panel shows </w:t>
      </w:r>
      <w:r w:rsidRPr="3A6B0623" w:rsidR="23FBEE2C">
        <w:rPr>
          <w:rFonts w:ascii="Arial" w:hAnsi="Arial" w:eastAsia="Arial" w:cs="Arial"/>
          <w:color w:val="000000" w:themeColor="text1" w:themeTint="FF" w:themeShade="FF"/>
          <w:sz w:val="20"/>
          <w:szCs w:val="20"/>
        </w:rPr>
        <w:t>retained</w:t>
      </w:r>
      <w:r w:rsidRPr="3A6B0623" w:rsidR="23FBEE2C">
        <w:rPr>
          <w:rFonts w:ascii="Arial" w:hAnsi="Arial" w:eastAsia="Arial" w:cs="Arial"/>
          <w:color w:val="000000" w:themeColor="text1" w:themeTint="FF" w:themeShade="FF"/>
          <w:sz w:val="20"/>
          <w:szCs w:val="20"/>
        </w:rPr>
        <w:t xml:space="preserve"> distinct lesions after applying the </w:t>
      </w:r>
      <w:r w:rsidRPr="3A6B0623" w:rsidR="23FBEE2C">
        <w:rPr>
          <w:rFonts w:ascii="Arial" w:hAnsi="Arial" w:eastAsia="Arial" w:cs="Arial"/>
          <w:color w:val="000000" w:themeColor="text1" w:themeTint="FF" w:themeShade="FF"/>
          <w:sz w:val="20"/>
          <w:szCs w:val="20"/>
        </w:rPr>
        <w:t>minimum</w:t>
      </w:r>
      <w:r w:rsidRPr="3A6B0623" w:rsidR="23FBEE2C">
        <w:rPr>
          <w:rFonts w:ascii="Arial" w:hAnsi="Arial" w:eastAsia="Arial" w:cs="Arial"/>
          <w:color w:val="000000" w:themeColor="text1" w:themeTint="FF" w:themeShade="FF"/>
          <w:sz w:val="20"/>
          <w:szCs w:val="20"/>
        </w:rPr>
        <w:t xml:space="preserve"> morphological criteria, and the right panel shows </w:t>
      </w:r>
      <w:r w:rsidRPr="3A6B0623" w:rsidR="23FBEE2C">
        <w:rPr>
          <w:rFonts w:ascii="Arial" w:hAnsi="Arial" w:eastAsia="Arial" w:cs="Arial"/>
          <w:color w:val="000000" w:themeColor="text1" w:themeTint="FF" w:themeShade="FF"/>
          <w:sz w:val="20"/>
          <w:szCs w:val="20"/>
        </w:rPr>
        <w:t>retained</w:t>
      </w:r>
      <w:r w:rsidRPr="3A6B0623" w:rsidR="23FBEE2C">
        <w:rPr>
          <w:rFonts w:ascii="Arial" w:hAnsi="Arial" w:eastAsia="Arial" w:cs="Arial"/>
          <w:color w:val="000000" w:themeColor="text1" w:themeTint="FF" w:themeShade="FF"/>
          <w:sz w:val="20"/>
          <w:szCs w:val="20"/>
        </w:rPr>
        <w:t xml:space="preserve"> lesions with excluded </w:t>
      </w:r>
      <w:r w:rsidRPr="3A6B0623" w:rsidR="23FBEE2C">
        <w:rPr>
          <w:rFonts w:ascii="Arial" w:hAnsi="Arial" w:eastAsia="Arial" w:cs="Arial"/>
          <w:color w:val="000000" w:themeColor="text1" w:themeTint="FF" w:themeShade="FF"/>
          <w:sz w:val="20"/>
          <w:szCs w:val="20"/>
        </w:rPr>
        <w:t>small disconnected</w:t>
      </w:r>
      <w:r w:rsidRPr="3A6B0623" w:rsidR="23FBEE2C">
        <w:rPr>
          <w:rFonts w:ascii="Arial" w:hAnsi="Arial" w:eastAsia="Arial" w:cs="Arial"/>
          <w:color w:val="000000" w:themeColor="text1" w:themeTint="FF" w:themeShade="FF"/>
          <w:sz w:val="20"/>
          <w:szCs w:val="20"/>
        </w:rPr>
        <w:t xml:space="preserve"> components highlighted. Thresholding was applied uniformly across all biomarkers and cohorts to reduce segmentation noise while preserving clinically meaningful contiguous lesions.</w:t>
      </w:r>
    </w:p>
    <w:p w:rsidRPr="000658BC" w:rsidR="6EE11D5F" w:rsidP="3A6B0623" w:rsidRDefault="6EE11D5F" w14:paraId="33B0DA2C" w14:textId="4A5751B0">
      <w:pPr>
        <w:pStyle w:val="Heading1"/>
        <w:spacing w:before="40" w:after="0" w:line="480" w:lineRule="auto"/>
        <w:rPr>
          <w:rFonts w:ascii="Arial" w:hAnsi="Arial" w:eastAsia="Arial" w:cs="Arial"/>
          <w:sz w:val="24"/>
          <w:szCs w:val="24"/>
        </w:rPr>
      </w:pPr>
    </w:p>
    <w:p w:rsidRPr="000658BC" w:rsidR="6EE11D5F" w:rsidP="3A6B0623" w:rsidRDefault="6EE11D5F" w14:paraId="61493AE7" w14:textId="76BF517E">
      <w:pPr>
        <w:pStyle w:val="Heading1"/>
        <w:spacing w:before="40" w:after="0" w:line="480" w:lineRule="auto"/>
        <w:rPr>
          <w:rFonts w:ascii="Arial" w:hAnsi="Arial" w:eastAsia="Arial" w:cs="Arial"/>
          <w:sz w:val="24"/>
          <w:szCs w:val="24"/>
        </w:rPr>
      </w:pPr>
    </w:p>
    <w:p w:rsidRPr="000658BC" w:rsidR="6EE11D5F" w:rsidP="3A6B0623" w:rsidRDefault="6EE11D5F" w14:paraId="4A10C37C" w14:textId="29F9328B">
      <w:pPr>
        <w:spacing w:before="40" w:after="0" w:line="480" w:lineRule="auto"/>
      </w:pPr>
      <w:r>
        <w:br w:type="page"/>
      </w:r>
    </w:p>
    <w:p w:rsidRPr="000658BC" w:rsidR="6EE11D5F" w:rsidP="3A6B0623" w:rsidRDefault="6EE11D5F" w14:paraId="53E45557" w14:textId="58D47A22">
      <w:pPr>
        <w:pStyle w:val="Heading1"/>
        <w:spacing w:before="40" w:after="0" w:line="480" w:lineRule="auto"/>
        <w:rPr>
          <w:rFonts w:ascii="Arial" w:hAnsi="Arial" w:eastAsia="Arial" w:cs="Arial"/>
          <w:sz w:val="24"/>
          <w:szCs w:val="24"/>
        </w:rPr>
      </w:pPr>
      <w:r w:rsidRPr="3A6B0623" w:rsidR="1050287A">
        <w:rPr>
          <w:rFonts w:ascii="Arial" w:hAnsi="Arial" w:eastAsia="Arial" w:cs="Arial"/>
          <w:sz w:val="24"/>
          <w:szCs w:val="24"/>
        </w:rPr>
        <w:t>Illustrative</w:t>
      </w:r>
      <w:r w:rsidRPr="3A6B0623" w:rsidR="4979B7E7">
        <w:rPr>
          <w:rFonts w:ascii="Arial" w:hAnsi="Arial" w:eastAsia="Arial" w:cs="Arial"/>
          <w:sz w:val="24"/>
          <w:szCs w:val="24"/>
        </w:rPr>
        <w:t xml:space="preserve"> example of </w:t>
      </w:r>
      <w:r w:rsidRPr="3A6B0623" w:rsidR="731AD87C">
        <w:rPr>
          <w:noProof w:val="0"/>
          <w:lang w:val="en-US"/>
        </w:rPr>
        <w:t xml:space="preserve">Distinct-Lesion </w:t>
      </w:r>
      <w:r w:rsidRPr="3A6B0623" w:rsidR="4979B7E7">
        <w:rPr>
          <w:rFonts w:ascii="Arial" w:hAnsi="Arial" w:eastAsia="Arial" w:cs="Arial"/>
          <w:sz w:val="24"/>
          <w:szCs w:val="24"/>
        </w:rPr>
        <w:t>component</w:t>
      </w:r>
      <w:r w:rsidRPr="3A6B0623" w:rsidR="4979B7E7">
        <w:rPr>
          <w:rFonts w:ascii="Arial" w:hAnsi="Arial" w:eastAsia="Arial" w:cs="Arial"/>
          <w:sz w:val="24"/>
          <w:szCs w:val="24"/>
        </w:rPr>
        <w:t xml:space="preserve"> filtering</w:t>
      </w:r>
    </w:p>
    <w:p w:rsidRPr="000658BC" w:rsidR="40F53B98" w:rsidP="3A6B0623" w:rsidRDefault="40F53B98" w14:paraId="36399C2E" w14:textId="270A2F78">
      <w:pPr>
        <w:pStyle w:val="Normal"/>
        <w:spacing w:before="40" w:after="0" w:line="480" w:lineRule="auto"/>
        <w:jc w:val="both"/>
      </w:pPr>
      <w:r w:rsidRPr="3A6B0623" w:rsidR="4979B7E7">
        <w:rPr>
          <w:rFonts w:ascii="Arial" w:hAnsi="Arial" w:eastAsia="Arial" w:cs="Arial"/>
          <w:noProof w:val="0"/>
          <w:sz w:val="20"/>
          <w:szCs w:val="20"/>
          <w:lang w:val="en-US"/>
        </w:rPr>
        <w:t xml:space="preserve">A representative example is shown in Figure 2 to illustrate how </w:t>
      </w:r>
      <w:r w:rsidRPr="3A6B0623" w:rsidR="4979B7E7">
        <w:rPr>
          <w:rFonts w:ascii="Arial" w:hAnsi="Arial" w:eastAsia="Arial" w:cs="Arial"/>
          <w:noProof w:val="0"/>
          <w:sz w:val="20"/>
          <w:szCs w:val="20"/>
          <w:lang w:val="en-US"/>
        </w:rPr>
        <w:t>total</w:t>
      </w:r>
      <w:r w:rsidRPr="3A6B0623" w:rsidR="4979B7E7">
        <w:rPr>
          <w:rFonts w:ascii="Arial" w:hAnsi="Arial" w:eastAsia="Arial" w:cs="Arial"/>
          <w:noProof w:val="0"/>
          <w:sz w:val="20"/>
          <w:szCs w:val="20"/>
          <w:lang w:val="en-US"/>
        </w:rPr>
        <w:t xml:space="preserve"> </w:t>
      </w:r>
      <w:r w:rsidRPr="3A6B0623" w:rsidR="4979B7E7">
        <w:rPr>
          <w:rFonts w:ascii="Arial" w:hAnsi="Arial" w:eastAsia="Arial" w:cs="Arial"/>
          <w:noProof w:val="0"/>
          <w:sz w:val="20"/>
          <w:szCs w:val="20"/>
          <w:lang w:val="en-US"/>
        </w:rPr>
        <w:t>en</w:t>
      </w:r>
      <w:r w:rsidRPr="3A6B0623" w:rsidR="4979B7E7">
        <w:rPr>
          <w:rFonts w:ascii="Arial" w:hAnsi="Arial" w:eastAsia="Arial" w:cs="Arial"/>
          <w:noProof w:val="0"/>
          <w:sz w:val="20"/>
          <w:szCs w:val="20"/>
          <w:lang w:val="en-US"/>
        </w:rPr>
        <w:t xml:space="preserve">face RORA area and distinct lesion count can describe </w:t>
      </w:r>
      <w:r w:rsidRPr="3A6B0623" w:rsidR="4979B7E7">
        <w:rPr>
          <w:rFonts w:ascii="Arial" w:hAnsi="Arial" w:eastAsia="Arial" w:cs="Arial"/>
          <w:noProof w:val="0"/>
          <w:sz w:val="20"/>
          <w:szCs w:val="20"/>
          <w:lang w:val="en-US"/>
        </w:rPr>
        <w:t>different aspects</w:t>
      </w:r>
      <w:r w:rsidRPr="3A6B0623" w:rsidR="4979B7E7">
        <w:rPr>
          <w:rFonts w:ascii="Arial" w:hAnsi="Arial" w:eastAsia="Arial" w:cs="Arial"/>
          <w:noProof w:val="0"/>
          <w:sz w:val="20"/>
          <w:szCs w:val="20"/>
          <w:lang w:val="en-US"/>
        </w:rPr>
        <w:t xml:space="preserve"> of lesion architecture. In this case, fellow eyes had comparable total </w:t>
      </w:r>
      <w:r w:rsidRPr="3A6B0623" w:rsidR="4979B7E7">
        <w:rPr>
          <w:rFonts w:ascii="Arial" w:hAnsi="Arial" w:eastAsia="Arial" w:cs="Arial"/>
          <w:noProof w:val="0"/>
          <w:sz w:val="20"/>
          <w:szCs w:val="20"/>
          <w:lang w:val="en-US"/>
        </w:rPr>
        <w:t>en</w:t>
      </w:r>
      <w:r w:rsidRPr="3A6B0623" w:rsidR="4979B7E7">
        <w:rPr>
          <w:rFonts w:ascii="Arial" w:hAnsi="Arial" w:eastAsia="Arial" w:cs="Arial"/>
          <w:noProof w:val="0"/>
          <w:sz w:val="20"/>
          <w:szCs w:val="20"/>
          <w:lang w:val="en-US"/>
        </w:rPr>
        <w:t xml:space="preserve"> face RORA area but differed in the number of </w:t>
      </w:r>
      <w:r w:rsidRPr="3A6B0623" w:rsidR="4979B7E7">
        <w:rPr>
          <w:rFonts w:ascii="Arial" w:hAnsi="Arial" w:eastAsia="Arial" w:cs="Arial"/>
          <w:noProof w:val="0"/>
          <w:sz w:val="20"/>
          <w:szCs w:val="20"/>
          <w:lang w:val="en-US"/>
        </w:rPr>
        <w:t>retained</w:t>
      </w:r>
      <w:r w:rsidRPr="3A6B0623" w:rsidR="4979B7E7">
        <w:rPr>
          <w:rFonts w:ascii="Arial" w:hAnsi="Arial" w:eastAsia="Arial" w:cs="Arial"/>
          <w:noProof w:val="0"/>
          <w:sz w:val="20"/>
          <w:szCs w:val="20"/>
          <w:lang w:val="en-US"/>
        </w:rPr>
        <w:t xml:space="preserve"> distinct RORA lesions.</w:t>
      </w:r>
    </w:p>
    <w:p w:rsidR="614E3F23" w:rsidP="3A6B0623" w:rsidRDefault="614E3F23" w14:paraId="49A54876" w14:textId="7631FD07">
      <w:pPr>
        <w:rPr>
          <w:rFonts w:ascii="Arial" w:hAnsi="Arial" w:eastAsia="Arial" w:cs="Arial"/>
          <w:b w:val="0"/>
          <w:bCs w:val="0"/>
          <w:i w:val="0"/>
          <w:iCs w:val="0"/>
          <w:caps w:val="0"/>
          <w:smallCaps w:val="0"/>
          <w:noProof w:val="0"/>
          <w:color w:val="000000" w:themeColor="text1" w:themeTint="FF" w:themeShade="FF"/>
          <w:sz w:val="24"/>
          <w:szCs w:val="24"/>
          <w:lang w:val="en-US"/>
        </w:rPr>
      </w:pPr>
      <w:r w:rsidR="614E3F23">
        <w:drawing>
          <wp:inline wp14:editId="48D11A6E" wp14:anchorId="4F60D526">
            <wp:extent cx="5943600" cy="5114925"/>
            <wp:effectExtent l="0" t="0" r="0" b="0"/>
            <wp:docPr id="102778462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27784622" name="Picture 1027784622"/>
                    <pic:cNvPicPr/>
                  </pic:nvPicPr>
                  <pic:blipFill>
                    <a:blip xmlns:r="http://schemas.openxmlformats.org/officeDocument/2006/relationships" r:embed="rId1821338465">
                      <a:extLst>
                        <a:ext uri="{28A0092B-C50C-407E-A947-70E740481C1C}">
                          <a14:useLocalDpi xmlns:a14="http://schemas.microsoft.com/office/drawing/2010/main"/>
                        </a:ext>
                      </a:extLst>
                    </a:blip>
                    <a:stretch>
                      <a:fillRect/>
                    </a:stretch>
                  </pic:blipFill>
                  <pic:spPr>
                    <a:xfrm>
                      <a:off x="0" y="0"/>
                      <a:ext cx="5943600" cy="5114925"/>
                    </a:xfrm>
                    <a:prstGeom prst="rect">
                      <a:avLst/>
                    </a:prstGeom>
                  </pic:spPr>
                </pic:pic>
              </a:graphicData>
            </a:graphic>
          </wp:inline>
        </w:drawing>
      </w:r>
    </w:p>
    <w:p w:rsidR="614E3F23" w:rsidP="3A6B0623" w:rsidRDefault="614E3F23" w14:paraId="3D338DF8" w14:textId="59D91906">
      <w:pPr>
        <w:spacing w:line="480" w:lineRule="auto"/>
        <w:jc w:val="both"/>
      </w:pPr>
      <w:r w:rsidRPr="1B6ACBC6" w:rsidR="7C2E03A4">
        <w:rPr>
          <w:rFonts w:ascii="Arial" w:hAnsi="Arial" w:eastAsia="Arial" w:cs="Arial"/>
          <w:b w:val="1"/>
          <w:bCs w:val="1"/>
          <w:i w:val="0"/>
          <w:iCs w:val="0"/>
          <w:caps w:val="0"/>
          <w:smallCaps w:val="0"/>
          <w:noProof w:val="0"/>
          <w:color w:val="000000" w:themeColor="text1" w:themeTint="FF" w:themeShade="FF"/>
          <w:sz w:val="16"/>
          <w:szCs w:val="16"/>
          <w:lang w:val="en-GB"/>
        </w:rPr>
        <w:t xml:space="preserve">Supplementary Figure </w:t>
      </w:r>
      <w:r w:rsidRPr="1B6ACBC6" w:rsidR="27D70919">
        <w:rPr>
          <w:rFonts w:ascii="Arial" w:hAnsi="Arial" w:eastAsia="Arial" w:cs="Arial"/>
          <w:b w:val="1"/>
          <w:bCs w:val="1"/>
          <w:i w:val="0"/>
          <w:iCs w:val="0"/>
          <w:caps w:val="0"/>
          <w:smallCaps w:val="0"/>
          <w:noProof w:val="0"/>
          <w:color w:val="000000" w:themeColor="text1" w:themeTint="FF" w:themeShade="FF"/>
          <w:sz w:val="16"/>
          <w:szCs w:val="16"/>
          <w:lang w:val="en-GB"/>
        </w:rPr>
        <w:t>S</w:t>
      </w:r>
      <w:r w:rsidRPr="1B6ACBC6" w:rsidR="7C2E03A4">
        <w:rPr>
          <w:rFonts w:ascii="Arial" w:hAnsi="Arial" w:eastAsia="Arial" w:cs="Arial"/>
          <w:b w:val="1"/>
          <w:bCs w:val="1"/>
          <w:i w:val="0"/>
          <w:iCs w:val="0"/>
          <w:caps w:val="0"/>
          <w:smallCaps w:val="0"/>
          <w:noProof w:val="0"/>
          <w:color w:val="000000" w:themeColor="text1" w:themeTint="FF" w:themeShade="FF"/>
          <w:sz w:val="16"/>
          <w:szCs w:val="16"/>
          <w:lang w:val="en-GB"/>
        </w:rPr>
        <w:t xml:space="preserve">2. Representative example of inter-eye differences in RORA distinct lesion count despite comparable total RORA area. </w:t>
      </w:r>
      <w:r w:rsidRPr="1B6ACBC6" w:rsidR="7C2E03A4">
        <w:rPr>
          <w:rFonts w:ascii="Arial" w:hAnsi="Arial" w:eastAsia="Arial" w:cs="Arial"/>
          <w:b w:val="0"/>
          <w:bCs w:val="0"/>
          <w:i w:val="0"/>
          <w:iCs w:val="0"/>
          <w:caps w:val="0"/>
          <w:smallCaps w:val="0"/>
          <w:noProof w:val="0"/>
          <w:color w:val="000000" w:themeColor="text1" w:themeTint="FF" w:themeShade="FF"/>
          <w:sz w:val="16"/>
          <w:szCs w:val="16"/>
          <w:lang w:val="en-GB"/>
        </w:rPr>
        <w:t xml:space="preserve">Panels A–B show retained RORA lesions overlaid in magenta on near-infrared imaging for the left and right eyes. Yellow outlines and small numeric labels </w:t>
      </w:r>
      <w:r w:rsidRPr="1B6ACBC6" w:rsidR="7C2E03A4">
        <w:rPr>
          <w:rFonts w:ascii="Arial" w:hAnsi="Arial" w:eastAsia="Arial" w:cs="Arial"/>
          <w:b w:val="0"/>
          <w:bCs w:val="0"/>
          <w:i w:val="0"/>
          <w:iCs w:val="0"/>
          <w:caps w:val="0"/>
          <w:smallCaps w:val="0"/>
          <w:noProof w:val="0"/>
          <w:color w:val="000000" w:themeColor="text1" w:themeTint="FF" w:themeShade="FF"/>
          <w:sz w:val="16"/>
          <w:szCs w:val="16"/>
          <w:lang w:val="en-GB"/>
        </w:rPr>
        <w:t>indicate</w:t>
      </w:r>
      <w:r w:rsidRPr="1B6ACBC6" w:rsidR="7C2E03A4">
        <w:rPr>
          <w:rFonts w:ascii="Arial" w:hAnsi="Arial" w:eastAsia="Arial" w:cs="Arial"/>
          <w:b w:val="0"/>
          <w:bCs w:val="0"/>
          <w:i w:val="0"/>
          <w:iCs w:val="0"/>
          <w:caps w:val="0"/>
          <w:smallCaps w:val="0"/>
          <w:noProof w:val="0"/>
          <w:color w:val="000000" w:themeColor="text1" w:themeTint="FF" w:themeShade="FF"/>
          <w:sz w:val="16"/>
          <w:szCs w:val="16"/>
          <w:lang w:val="en-GB"/>
        </w:rPr>
        <w:t xml:space="preserve"> individual retained distinct RORA lesions. Despite comparable total enface RORA area between eyes (9.29 mm² vs 8.31 mm²; Panel C), the number of </w:t>
      </w:r>
      <w:r w:rsidRPr="1B6ACBC6" w:rsidR="7C2E03A4">
        <w:rPr>
          <w:rFonts w:ascii="Arial" w:hAnsi="Arial" w:eastAsia="Arial" w:cs="Arial"/>
          <w:b w:val="0"/>
          <w:bCs w:val="0"/>
          <w:i w:val="0"/>
          <w:iCs w:val="0"/>
          <w:caps w:val="0"/>
          <w:smallCaps w:val="0"/>
          <w:noProof w:val="0"/>
          <w:color w:val="000000" w:themeColor="text1" w:themeTint="FF" w:themeShade="FF"/>
          <w:sz w:val="16"/>
          <w:szCs w:val="16"/>
          <w:lang w:val="en-GB"/>
        </w:rPr>
        <w:t>retained</w:t>
      </w:r>
      <w:r w:rsidRPr="1B6ACBC6" w:rsidR="7C2E03A4">
        <w:rPr>
          <w:rFonts w:ascii="Arial" w:hAnsi="Arial" w:eastAsia="Arial" w:cs="Arial"/>
          <w:b w:val="0"/>
          <w:bCs w:val="0"/>
          <w:i w:val="0"/>
          <w:iCs w:val="0"/>
          <w:caps w:val="0"/>
          <w:smallCaps w:val="0"/>
          <w:noProof w:val="0"/>
          <w:color w:val="000000" w:themeColor="text1" w:themeTint="FF" w:themeShade="FF"/>
          <w:sz w:val="16"/>
          <w:szCs w:val="16"/>
          <w:lang w:val="en-GB"/>
        </w:rPr>
        <w:t xml:space="preserve"> distinct lesions differed, with one </w:t>
      </w:r>
      <w:r w:rsidRPr="1B6ACBC6" w:rsidR="7C2E03A4">
        <w:rPr>
          <w:rFonts w:ascii="Arial" w:hAnsi="Arial" w:eastAsia="Arial" w:cs="Arial"/>
          <w:b w:val="0"/>
          <w:bCs w:val="0"/>
          <w:i w:val="0"/>
          <w:iCs w:val="0"/>
          <w:caps w:val="0"/>
          <w:smallCaps w:val="0"/>
          <w:noProof w:val="0"/>
          <w:color w:val="000000" w:themeColor="text1" w:themeTint="FF" w:themeShade="FF"/>
          <w:sz w:val="16"/>
          <w:szCs w:val="16"/>
          <w:lang w:val="en-GB"/>
        </w:rPr>
        <w:t>retained</w:t>
      </w:r>
      <w:r w:rsidRPr="1B6ACBC6" w:rsidR="7C2E03A4">
        <w:rPr>
          <w:rFonts w:ascii="Arial" w:hAnsi="Arial" w:eastAsia="Arial" w:cs="Arial"/>
          <w:b w:val="0"/>
          <w:bCs w:val="0"/>
          <w:i w:val="0"/>
          <w:iCs w:val="0"/>
          <w:caps w:val="0"/>
          <w:smallCaps w:val="0"/>
          <w:noProof w:val="0"/>
          <w:color w:val="000000" w:themeColor="text1" w:themeTint="FF" w:themeShade="FF"/>
          <w:sz w:val="16"/>
          <w:szCs w:val="16"/>
          <w:lang w:val="en-GB"/>
        </w:rPr>
        <w:t xml:space="preserve"> distinct lesion in the left eye and four retained distinct lesions in the right eye (Panel D). This example illustrates that total enface RORA area and distinct lesion count describe </w:t>
      </w:r>
      <w:r w:rsidRPr="1B6ACBC6" w:rsidR="7C2E03A4">
        <w:rPr>
          <w:rFonts w:ascii="Arial" w:hAnsi="Arial" w:eastAsia="Arial" w:cs="Arial"/>
          <w:b w:val="0"/>
          <w:bCs w:val="0"/>
          <w:i w:val="0"/>
          <w:iCs w:val="0"/>
          <w:caps w:val="0"/>
          <w:smallCaps w:val="0"/>
          <w:noProof w:val="0"/>
          <w:color w:val="000000" w:themeColor="text1" w:themeTint="FF" w:themeShade="FF"/>
          <w:sz w:val="16"/>
          <w:szCs w:val="16"/>
          <w:lang w:val="en-GB"/>
        </w:rPr>
        <w:t>different aspects</w:t>
      </w:r>
      <w:r w:rsidRPr="1B6ACBC6" w:rsidR="7C2E03A4">
        <w:rPr>
          <w:rFonts w:ascii="Arial" w:hAnsi="Arial" w:eastAsia="Arial" w:cs="Arial"/>
          <w:b w:val="0"/>
          <w:bCs w:val="0"/>
          <w:i w:val="0"/>
          <w:iCs w:val="0"/>
          <w:caps w:val="0"/>
          <w:smallCaps w:val="0"/>
          <w:noProof w:val="0"/>
          <w:color w:val="000000" w:themeColor="text1" w:themeTint="FF" w:themeShade="FF"/>
          <w:sz w:val="16"/>
          <w:szCs w:val="16"/>
          <w:lang w:val="en-GB"/>
        </w:rPr>
        <w:t xml:space="preserve"> of lesion architecture.</w:t>
      </w:r>
    </w:p>
    <w:p w:rsidR="1B6ACBC6" w:rsidRDefault="1B6ACBC6" w14:paraId="395FB7DD" w14:textId="39D063D4">
      <w:r>
        <w:br w:type="page"/>
      </w:r>
    </w:p>
    <w:p w:rsidR="0FE4863C" w:rsidP="1B6ACBC6" w:rsidRDefault="0FE4863C" w14:paraId="58CC661C" w14:textId="2444332C">
      <w:pPr>
        <w:rPr>
          <w:rFonts w:ascii="Arial" w:hAnsi="Arial" w:eastAsia="Arial" w:cs="Arial"/>
          <w:b w:val="0"/>
          <w:bCs w:val="0"/>
          <w:i w:val="0"/>
          <w:iCs w:val="0"/>
          <w:caps w:val="0"/>
          <w:smallCaps w:val="0"/>
          <w:noProof w:val="0"/>
          <w:color w:val="000000" w:themeColor="text1" w:themeTint="FF" w:themeShade="FF"/>
          <w:sz w:val="24"/>
          <w:szCs w:val="24"/>
          <w:lang w:val="en-GB"/>
        </w:rPr>
      </w:pPr>
      <w:r w:rsidR="0FE4863C">
        <w:drawing>
          <wp:inline wp14:editId="57B739DA" wp14:anchorId="043DC64A">
            <wp:extent cx="5943600" cy="2609850"/>
            <wp:effectExtent l="0" t="0" r="0" b="0"/>
            <wp:docPr id="16054560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0545608" name="Picture 160545608"/>
                    <pic:cNvPicPr/>
                  </pic:nvPicPr>
                  <pic:blipFill>
                    <a:blip xmlns:r="http://schemas.openxmlformats.org/officeDocument/2006/relationships" r:embed="rId643439011">
                      <a:extLst>
                        <a:ext uri="{28A0092B-C50C-407E-A947-70E740481C1C}">
                          <a14:useLocalDpi xmlns:a14="http://schemas.microsoft.com/office/drawing/2010/main"/>
                        </a:ext>
                      </a:extLst>
                    </a:blip>
                    <a:stretch>
                      <a:fillRect/>
                    </a:stretch>
                  </pic:blipFill>
                  <pic:spPr>
                    <a:xfrm>
                      <a:off x="0" y="0"/>
                      <a:ext cx="5943600" cy="2609850"/>
                    </a:xfrm>
                    <a:prstGeom prst="rect">
                      <a:avLst/>
                    </a:prstGeom>
                  </pic:spPr>
                </pic:pic>
              </a:graphicData>
            </a:graphic>
          </wp:inline>
        </w:drawing>
      </w:r>
    </w:p>
    <w:p w:rsidR="0FE4863C" w:rsidP="1B6ACBC6" w:rsidRDefault="0FE4863C" w14:paraId="4AB8B4FE" w14:textId="121B6BFB">
      <w:pPr>
        <w:pStyle w:val="NormalWeb"/>
        <w:spacing w:before="0" w:beforeAutospacing="off" w:afterAutospacing="on" w:line="480" w:lineRule="auto"/>
        <w:jc w:val="both"/>
        <w:rPr>
          <w:rFonts w:ascii="Arial" w:hAnsi="Arial" w:eastAsia="Arial" w:cs="Arial"/>
          <w:b w:val="0"/>
          <w:bCs w:val="0"/>
          <w:i w:val="0"/>
          <w:iCs w:val="0"/>
          <w:caps w:val="0"/>
          <w:smallCaps w:val="0"/>
          <w:noProof w:val="0"/>
          <w:color w:val="000000" w:themeColor="text1" w:themeTint="FF" w:themeShade="FF"/>
          <w:sz w:val="16"/>
          <w:szCs w:val="16"/>
          <w:lang w:val="en-GB"/>
        </w:rPr>
      </w:pPr>
      <w:r w:rsidRPr="1B6ACBC6" w:rsidR="0FE4863C">
        <w:rPr>
          <w:rFonts w:ascii="Arial" w:hAnsi="Arial" w:eastAsia="Arial" w:cs="Arial"/>
          <w:b w:val="1"/>
          <w:bCs w:val="1"/>
          <w:i w:val="0"/>
          <w:iCs w:val="0"/>
          <w:caps w:val="0"/>
          <w:smallCaps w:val="0"/>
          <w:noProof w:val="0"/>
          <w:color w:val="000000" w:themeColor="text1" w:themeTint="FF" w:themeShade="FF"/>
          <w:sz w:val="16"/>
          <w:szCs w:val="16"/>
          <w:lang w:val="en-GB"/>
        </w:rPr>
        <w:t>Figure S3. Regional inter-eye asymmetry across ETDRS macular subfields.</w:t>
      </w:r>
      <w:r w:rsidRPr="1B6ACBC6" w:rsidR="0FE4863C">
        <w:rPr>
          <w:rFonts w:ascii="Arial" w:hAnsi="Arial" w:eastAsia="Arial" w:cs="Arial"/>
          <w:b w:val="0"/>
          <w:bCs w:val="0"/>
          <w:i w:val="0"/>
          <w:iCs w:val="0"/>
          <w:caps w:val="0"/>
          <w:smallCaps w:val="0"/>
          <w:noProof w:val="0"/>
          <w:color w:val="000000" w:themeColor="text1" w:themeTint="FF" w:themeShade="FF"/>
          <w:sz w:val="16"/>
          <w:szCs w:val="16"/>
          <w:lang w:val="en-GB"/>
        </w:rPr>
        <w:t xml:space="preserve"> (A) Boxplots show absolute right-left differences in lesion area within the central 1-mm subfield, parafoveal annulus, and perifoveal annulus for each OCT-derived biomarker. (B) Boxplots show occupancy-normalized absolute right-left differences, expressed as the percentage of each ETDRS region occupied by the biomarker. Occupancy-normalization was used to account for differences in ETDRS subfield area. Boxes show the interquartile range with median lines; overlaid points show individual paired-eye differences.</w:t>
      </w:r>
    </w:p>
    <w:p w:rsidR="0FE4863C" w:rsidP="1B6ACBC6" w:rsidRDefault="0FE4863C" w14:paraId="714FA6F3" w14:textId="01F968AF">
      <w:pPr>
        <w:rPr>
          <w:rFonts w:ascii="Arial" w:hAnsi="Arial" w:eastAsia="Arial" w:cs="Arial"/>
          <w:b w:val="0"/>
          <w:bCs w:val="0"/>
          <w:i w:val="0"/>
          <w:iCs w:val="0"/>
          <w:caps w:val="0"/>
          <w:smallCaps w:val="0"/>
          <w:noProof w:val="0"/>
          <w:color w:val="000000" w:themeColor="text1" w:themeTint="FF" w:themeShade="FF"/>
          <w:sz w:val="24"/>
          <w:szCs w:val="24"/>
          <w:lang w:val="en-GB"/>
        </w:rPr>
      </w:pPr>
      <w:r w:rsidR="0FE4863C">
        <w:drawing>
          <wp:inline wp14:editId="2659B26C" wp14:anchorId="3121EDFA">
            <wp:extent cx="5943600" cy="3219450"/>
            <wp:effectExtent l="0" t="0" r="0" b="0"/>
            <wp:docPr id="45417003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54170033" name="Picture 454170033"/>
                    <pic:cNvPicPr/>
                  </pic:nvPicPr>
                  <pic:blipFill>
                    <a:blip xmlns:r="http://schemas.openxmlformats.org/officeDocument/2006/relationships" r:embed="rId1812354693">
                      <a:extLst>
                        <a:ext uri="{28A0092B-C50C-407E-A947-70E740481C1C}">
                          <a14:useLocalDpi xmlns:a14="http://schemas.microsoft.com/office/drawing/2010/main"/>
                        </a:ext>
                      </a:extLst>
                    </a:blip>
                    <a:stretch>
                      <a:fillRect/>
                    </a:stretch>
                  </pic:blipFill>
                  <pic:spPr>
                    <a:xfrm>
                      <a:off x="0" y="0"/>
                      <a:ext cx="5943600" cy="3219450"/>
                    </a:xfrm>
                    <a:prstGeom prst="rect">
                      <a:avLst/>
                    </a:prstGeom>
                  </pic:spPr>
                </pic:pic>
              </a:graphicData>
            </a:graphic>
          </wp:inline>
        </w:drawing>
      </w:r>
    </w:p>
    <w:p w:rsidR="0FE4863C" w:rsidP="1B6ACBC6" w:rsidRDefault="0FE4863C" w14:paraId="2FF2FDDE" w14:textId="79A05497">
      <w:pPr>
        <w:pStyle w:val="NormalWeb"/>
        <w:spacing w:before="0" w:beforeAutospacing="off" w:afterAutospacing="on" w:line="480" w:lineRule="auto"/>
        <w:jc w:val="both"/>
        <w:rPr>
          <w:rFonts w:ascii="Arial" w:hAnsi="Arial" w:eastAsia="Arial" w:cs="Arial"/>
          <w:b w:val="0"/>
          <w:bCs w:val="0"/>
          <w:i w:val="0"/>
          <w:iCs w:val="0"/>
          <w:caps w:val="0"/>
          <w:smallCaps w:val="0"/>
          <w:noProof w:val="0"/>
          <w:color w:val="000000" w:themeColor="text1" w:themeTint="FF" w:themeShade="FF"/>
          <w:sz w:val="16"/>
          <w:szCs w:val="16"/>
          <w:lang w:val="en-GB"/>
        </w:rPr>
      </w:pPr>
      <w:r w:rsidRPr="1B6ACBC6" w:rsidR="0FE4863C">
        <w:rPr>
          <w:rFonts w:ascii="Arial" w:hAnsi="Arial" w:eastAsia="Arial" w:cs="Arial"/>
          <w:b w:val="1"/>
          <w:bCs w:val="1"/>
          <w:i w:val="0"/>
          <w:iCs w:val="0"/>
          <w:caps w:val="0"/>
          <w:smallCaps w:val="0"/>
          <w:noProof w:val="0"/>
          <w:color w:val="000000" w:themeColor="text1" w:themeTint="FF" w:themeShade="FF"/>
          <w:sz w:val="16"/>
          <w:szCs w:val="16"/>
          <w:lang w:val="en-GB"/>
        </w:rPr>
        <w:t>Figure S3C. Inter-eye asymmetry in lesion-edge distance to the fovea.</w:t>
      </w:r>
      <w:r w:rsidRPr="1B6ACBC6" w:rsidR="0FE4863C">
        <w:rPr>
          <w:rFonts w:ascii="Arial" w:hAnsi="Arial" w:eastAsia="Arial" w:cs="Arial"/>
          <w:b w:val="0"/>
          <w:bCs w:val="0"/>
          <w:i w:val="0"/>
          <w:iCs w:val="0"/>
          <w:caps w:val="0"/>
          <w:smallCaps w:val="0"/>
          <w:noProof w:val="0"/>
          <w:color w:val="000000" w:themeColor="text1" w:themeTint="FF" w:themeShade="FF"/>
          <w:sz w:val="16"/>
          <w:szCs w:val="16"/>
          <w:lang w:val="en-GB"/>
        </w:rPr>
        <w:t xml:space="preserve"> Boxplots show absolute right-left differences in the minimum distance between the foveal </w:t>
      </w:r>
      <w:r w:rsidRPr="1B6ACBC6" w:rsidR="0FE4863C">
        <w:rPr>
          <w:rFonts w:ascii="Arial" w:hAnsi="Arial" w:eastAsia="Arial" w:cs="Arial"/>
          <w:b w:val="0"/>
          <w:bCs w:val="0"/>
          <w:i w:val="0"/>
          <w:iCs w:val="0"/>
          <w:caps w:val="0"/>
          <w:smallCaps w:val="0"/>
          <w:noProof w:val="0"/>
          <w:color w:val="000000" w:themeColor="text1" w:themeTint="FF" w:themeShade="FF"/>
          <w:sz w:val="16"/>
          <w:szCs w:val="16"/>
          <w:lang w:val="en-GB"/>
        </w:rPr>
        <w:t>center</w:t>
      </w:r>
      <w:r w:rsidRPr="1B6ACBC6" w:rsidR="0FE4863C">
        <w:rPr>
          <w:rFonts w:ascii="Arial" w:hAnsi="Arial" w:eastAsia="Arial" w:cs="Arial"/>
          <w:b w:val="0"/>
          <w:bCs w:val="0"/>
          <w:i w:val="0"/>
          <w:iCs w:val="0"/>
          <w:caps w:val="0"/>
          <w:smallCaps w:val="0"/>
          <w:noProof w:val="0"/>
          <w:color w:val="000000" w:themeColor="text1" w:themeTint="FF" w:themeShade="FF"/>
          <w:sz w:val="16"/>
          <w:szCs w:val="16"/>
          <w:lang w:val="en-GB"/>
        </w:rPr>
        <w:t xml:space="preserve"> and the nearest lesion-border pixel for each OCT-derived biomarker. Overlaid points show individual paired-eye differences. Foveal proximity was </w:t>
      </w:r>
      <w:r w:rsidRPr="1B6ACBC6" w:rsidR="0FE4863C">
        <w:rPr>
          <w:rFonts w:ascii="Arial" w:hAnsi="Arial" w:eastAsia="Arial" w:cs="Arial"/>
          <w:b w:val="0"/>
          <w:bCs w:val="0"/>
          <w:i w:val="0"/>
          <w:iCs w:val="0"/>
          <w:caps w:val="0"/>
          <w:smallCaps w:val="0"/>
          <w:noProof w:val="0"/>
          <w:color w:val="000000" w:themeColor="text1" w:themeTint="FF" w:themeShade="FF"/>
          <w:sz w:val="16"/>
          <w:szCs w:val="16"/>
          <w:lang w:val="en-GB"/>
        </w:rPr>
        <w:t>analyzed</w:t>
      </w:r>
      <w:r w:rsidRPr="1B6ACBC6" w:rsidR="0FE4863C">
        <w:rPr>
          <w:rFonts w:ascii="Arial" w:hAnsi="Arial" w:eastAsia="Arial" w:cs="Arial"/>
          <w:b w:val="0"/>
          <w:bCs w:val="0"/>
          <w:i w:val="0"/>
          <w:iCs w:val="0"/>
          <w:caps w:val="0"/>
          <w:smallCaps w:val="0"/>
          <w:noProof w:val="0"/>
          <w:color w:val="000000" w:themeColor="text1" w:themeTint="FF" w:themeShade="FF"/>
          <w:sz w:val="16"/>
          <w:szCs w:val="16"/>
          <w:lang w:val="en-GB"/>
        </w:rPr>
        <w:t xml:space="preserve"> as a complementary spatial-positioning metric to ETDRS area-based burden.</w:t>
      </w:r>
    </w:p>
    <w:p w:rsidR="1B6ACBC6" w:rsidP="1B6ACBC6" w:rsidRDefault="1B6ACBC6" w14:paraId="6E9AA470" w14:textId="67875B58">
      <w:pPr>
        <w:pStyle w:val="Normal"/>
        <w:spacing w:line="480" w:lineRule="auto"/>
        <w:jc w:val="both"/>
        <w:rPr>
          <w:rFonts w:ascii="Arial" w:hAnsi="Arial" w:eastAsia="Arial" w:cs="Arial"/>
          <w:b w:val="0"/>
          <w:bCs w:val="0"/>
          <w:i w:val="0"/>
          <w:iCs w:val="0"/>
          <w:caps w:val="0"/>
          <w:smallCaps w:val="0"/>
          <w:noProof w:val="0"/>
          <w:color w:val="000000" w:themeColor="text1" w:themeTint="FF" w:themeShade="FF"/>
          <w:sz w:val="16"/>
          <w:szCs w:val="16"/>
          <w:lang w:val="en-GB"/>
        </w:rPr>
      </w:pPr>
    </w:p>
    <w:p w:rsidR="3A6B0623" w:rsidP="3A6B0623" w:rsidRDefault="3A6B0623" w14:paraId="43B945DE" w14:textId="015E10AE">
      <w:pPr>
        <w:pStyle w:val="Normal"/>
        <w:spacing w:before="40" w:after="0" w:line="480" w:lineRule="auto"/>
        <w:jc w:val="both"/>
        <w:rPr>
          <w:rFonts w:ascii="Arial" w:hAnsi="Arial" w:eastAsia="Arial" w:cs="Arial"/>
          <w:noProof w:val="0"/>
          <w:sz w:val="20"/>
          <w:szCs w:val="20"/>
          <w:lang w:val="en-US"/>
        </w:rPr>
      </w:pPr>
    </w:p>
    <w:p w:rsidR="00777A19" w:rsidP="5E4E44FE" w:rsidRDefault="00777A19" w14:paraId="5AC54729" w14:textId="32D76F48">
      <w:pPr>
        <w:pStyle w:val="Heading1"/>
        <w:spacing w:before="0" w:line="480" w:lineRule="auto"/>
        <w:rPr>
          <w:rFonts w:ascii="Arial" w:hAnsi="Arial" w:cs="Arial"/>
          <w:sz w:val="24"/>
          <w:szCs w:val="24"/>
        </w:rPr>
      </w:pPr>
      <w:r w:rsidRPr="5E4E44FE" w:rsidR="07C0E919">
        <w:rPr>
          <w:rFonts w:ascii="Arial" w:hAnsi="Arial" w:cs="Arial"/>
          <w:sz w:val="24"/>
          <w:szCs w:val="24"/>
        </w:rPr>
        <w:t>Sensitivity Analyses</w:t>
      </w:r>
      <w:r w:rsidRPr="5E4E44FE" w:rsidR="621B547B">
        <w:rPr>
          <w:rFonts w:ascii="Arial" w:hAnsi="Arial" w:cs="Arial"/>
          <w:sz w:val="24"/>
          <w:szCs w:val="24"/>
        </w:rPr>
        <w:t xml:space="preserve"> </w:t>
      </w:r>
      <w:r w:rsidRPr="5E4E44FE" w:rsidR="07C0E919">
        <w:rPr>
          <w:rFonts w:ascii="Arial" w:hAnsi="Arial" w:cs="Arial"/>
          <w:sz w:val="24"/>
          <w:szCs w:val="24"/>
        </w:rPr>
        <w:t>Using Alternative EZ-Related Definitions</w:t>
      </w:r>
    </w:p>
    <w:p w:rsidRPr="00777A19" w:rsidR="7E2235E9" w:rsidP="00777A19" w:rsidRDefault="4AF46DD7" w14:paraId="29A6E16C" w14:textId="59BDAEAB">
      <w:pPr>
        <w:pStyle w:val="Heading1"/>
        <w:spacing w:before="0" w:line="480" w:lineRule="auto"/>
        <w:jc w:val="both"/>
        <w:rPr>
          <w:rFonts w:ascii="Arial" w:hAnsi="Arial" w:eastAsia="Arial" w:cs="Arial"/>
          <w:b w:val="0"/>
          <w:bCs w:val="0"/>
          <w:sz w:val="20"/>
          <w:szCs w:val="20"/>
        </w:rPr>
      </w:pPr>
      <w:r w:rsidRPr="35ECD7D9" w:rsidR="6AFF2451">
        <w:rPr>
          <w:rFonts w:ascii="Arial" w:hAnsi="Arial" w:eastAsia="Arial" w:cs="Arial"/>
          <w:b w:val="0"/>
          <w:bCs w:val="0"/>
          <w:sz w:val="20"/>
          <w:szCs w:val="20"/>
        </w:rPr>
        <w:t xml:space="preserve">Sensitivity analyses were performed to assess whether the feature-specific inter-eye agreement findings were robust to alternative EZ-related definitions. </w:t>
      </w:r>
      <w:r w:rsidRPr="35ECD7D9" w:rsidR="6A2CC48A">
        <w:rPr>
          <w:rFonts w:ascii="Arial" w:hAnsi="Arial" w:eastAsia="Arial" w:cs="Arial"/>
          <w:b w:val="0"/>
          <w:bCs w:val="0"/>
          <w:sz w:val="20"/>
          <w:szCs w:val="20"/>
        </w:rPr>
        <w:t>These included width-filtered EZ-loss definitions, thickness-threshold EZ definitions, and an alternative EZ–IZ loss threshold definition</w:t>
      </w:r>
      <w:r w:rsidRPr="35ECD7D9" w:rsidR="6AFF2451">
        <w:rPr>
          <w:rFonts w:ascii="Arial" w:hAnsi="Arial" w:eastAsia="Arial" w:cs="Arial"/>
          <w:b w:val="0"/>
          <w:bCs w:val="0"/>
          <w:sz w:val="20"/>
          <w:szCs w:val="20"/>
        </w:rPr>
        <w:t>.</w:t>
      </w:r>
    </w:p>
    <w:p w:rsidRPr="00777A19" w:rsidR="7E2235E9" w:rsidP="00777A19" w:rsidRDefault="4AF46DD7" w14:paraId="1B7ED8E9" w14:textId="34E204E9">
      <w:pPr>
        <w:spacing w:line="480" w:lineRule="auto"/>
        <w:jc w:val="both"/>
        <w:rPr>
          <w:rFonts w:ascii="Arial" w:hAnsi="Arial" w:eastAsia="Arial" w:cs="Arial"/>
          <w:sz w:val="20"/>
          <w:szCs w:val="20"/>
        </w:rPr>
      </w:pPr>
      <w:r w:rsidRPr="00777A19">
        <w:rPr>
          <w:rFonts w:ascii="Arial" w:hAnsi="Arial" w:eastAsia="Arial" w:cs="Arial"/>
          <w:sz w:val="20"/>
          <w:szCs w:val="20"/>
        </w:rPr>
        <w:t xml:space="preserve">For total </w:t>
      </w:r>
      <w:r w:rsidRPr="00777A19" w:rsidR="6CC81AE9">
        <w:rPr>
          <w:rFonts w:ascii="Arial" w:hAnsi="Arial" w:eastAsia="Arial" w:cs="Arial"/>
          <w:sz w:val="20"/>
          <w:szCs w:val="20"/>
        </w:rPr>
        <w:t>enface</w:t>
      </w:r>
      <w:r w:rsidRPr="00777A19">
        <w:rPr>
          <w:rFonts w:ascii="Arial" w:hAnsi="Arial" w:eastAsia="Arial" w:cs="Arial"/>
          <w:sz w:val="20"/>
          <w:szCs w:val="20"/>
        </w:rPr>
        <w:t xml:space="preserve"> lesion area, width-filtered and thickness-threshold definitions showed broadly similar inter-eye agreement to the primary EZ-loss analysis (Supplementary Table S</w:t>
      </w:r>
      <w:r w:rsidR="00E81F7E">
        <w:rPr>
          <w:rFonts w:ascii="Arial" w:hAnsi="Arial" w:eastAsia="Arial" w:cs="Arial"/>
          <w:sz w:val="20"/>
          <w:szCs w:val="20"/>
        </w:rPr>
        <w:t>2</w:t>
      </w:r>
      <w:r w:rsidRPr="00777A19">
        <w:rPr>
          <w:rFonts w:ascii="Arial" w:hAnsi="Arial" w:eastAsia="Arial" w:cs="Arial"/>
          <w:sz w:val="20"/>
          <w:szCs w:val="20"/>
        </w:rPr>
        <w:t>). Pearson correlation coefficients ranged from 0.616 to 0.670, absolute-agreement ICCs ranged from 0.618 to 0.673, and mean absolute right-left differences ranged from 5.168 to 5.403 mm² across these definitions.</w:t>
      </w:r>
    </w:p>
    <w:p w:rsidRPr="000658BC" w:rsidR="7E2235E9" w:rsidP="40F53B98" w:rsidRDefault="4AF46DD7" w14:paraId="520F1FC0" w14:textId="6D327E79">
      <w:pPr>
        <w:spacing w:before="40" w:line="480" w:lineRule="auto"/>
        <w:jc w:val="both"/>
        <w:rPr>
          <w:rFonts w:ascii="Arial" w:hAnsi="Arial" w:eastAsia="Arial" w:cs="Arial"/>
          <w:sz w:val="20"/>
          <w:szCs w:val="20"/>
        </w:rPr>
      </w:pPr>
      <w:r w:rsidRPr="35ECD7D9" w:rsidR="408E9D2A">
        <w:rPr>
          <w:rFonts w:ascii="Arial" w:hAnsi="Arial" w:eastAsia="Arial" w:cs="Arial"/>
          <w:sz w:val="20"/>
          <w:szCs w:val="20"/>
        </w:rPr>
        <w:t xml:space="preserve">Similar patterns were </w:t>
      </w:r>
      <w:r w:rsidRPr="35ECD7D9" w:rsidR="408E9D2A">
        <w:rPr>
          <w:rFonts w:ascii="Arial" w:hAnsi="Arial" w:eastAsia="Arial" w:cs="Arial"/>
          <w:sz w:val="20"/>
          <w:szCs w:val="20"/>
        </w:rPr>
        <w:t>observed</w:t>
      </w:r>
      <w:r w:rsidRPr="35ECD7D9" w:rsidR="408E9D2A">
        <w:rPr>
          <w:rFonts w:ascii="Arial" w:hAnsi="Arial" w:eastAsia="Arial" w:cs="Arial"/>
          <w:sz w:val="20"/>
          <w:szCs w:val="20"/>
        </w:rPr>
        <w:t xml:space="preserve"> for </w:t>
      </w:r>
      <w:r w:rsidRPr="35ECD7D9" w:rsidR="1C8A6DE6">
        <w:rPr>
          <w:rFonts w:ascii="Arial" w:hAnsi="Arial" w:eastAsia="Arial" w:cs="Arial"/>
          <w:sz w:val="20"/>
          <w:szCs w:val="20"/>
        </w:rPr>
        <w:t>the largest</w:t>
      </w:r>
      <w:r w:rsidRPr="35ECD7D9" w:rsidR="408E9D2A">
        <w:rPr>
          <w:rFonts w:ascii="Arial" w:hAnsi="Arial" w:eastAsia="Arial" w:cs="Arial"/>
          <w:sz w:val="20"/>
          <w:szCs w:val="20"/>
        </w:rPr>
        <w:t xml:space="preserve"> retained distinct</w:t>
      </w:r>
      <w:r w:rsidRPr="35ECD7D9" w:rsidR="408E9D2A">
        <w:rPr>
          <w:rFonts w:ascii="Arial" w:hAnsi="Arial" w:eastAsia="Arial" w:cs="Arial"/>
          <w:sz w:val="20"/>
          <w:szCs w:val="20"/>
        </w:rPr>
        <w:t xml:space="preserve"> lesion area (Supplementary Table S</w:t>
      </w:r>
      <w:r w:rsidRPr="35ECD7D9" w:rsidR="25040231">
        <w:rPr>
          <w:rFonts w:ascii="Arial" w:hAnsi="Arial" w:eastAsia="Arial" w:cs="Arial"/>
          <w:sz w:val="20"/>
          <w:szCs w:val="20"/>
        </w:rPr>
        <w:t>3</w:t>
      </w:r>
      <w:r w:rsidRPr="35ECD7D9" w:rsidR="408E9D2A">
        <w:rPr>
          <w:rFonts w:ascii="Arial" w:hAnsi="Arial" w:eastAsia="Arial" w:cs="Arial"/>
          <w:sz w:val="20"/>
          <w:szCs w:val="20"/>
        </w:rPr>
        <w:t xml:space="preserve">). Width-filtered and thickness-threshold definitions showed moderate inter-eye agreement, with Pearson correlation coefficients ranging from 0.597 to 0.668 and absolute-agreement ICCs ranging from 0.599 to 0.670. Mean absolute right-left differences were similar across these definitions, ranging from 5.300 to </w:t>
      </w:r>
      <w:r w:rsidRPr="35ECD7D9" w:rsidR="408E9D2A">
        <w:rPr>
          <w:rFonts w:ascii="Arial" w:hAnsi="Arial" w:eastAsia="Arial" w:cs="Arial"/>
          <w:sz w:val="20"/>
          <w:szCs w:val="20"/>
        </w:rPr>
        <w:t>5.345 mm</w:t>
      </w:r>
      <w:r w:rsidRPr="35ECD7D9" w:rsidR="408E9D2A">
        <w:rPr>
          <w:rFonts w:ascii="Arial" w:hAnsi="Arial" w:eastAsia="Arial" w:cs="Arial"/>
          <w:sz w:val="20"/>
          <w:szCs w:val="20"/>
        </w:rPr>
        <w:t>².</w:t>
      </w:r>
    </w:p>
    <w:p w:rsidR="00E0414B" w:rsidP="00412FA7" w:rsidRDefault="4AF46DD7" w14:paraId="769F9DE1" w14:textId="2A91A287">
      <w:pPr>
        <w:spacing w:before="40" w:after="0" w:line="480" w:lineRule="auto"/>
        <w:jc w:val="both"/>
        <w:rPr>
          <w:rFonts w:ascii="Arial" w:hAnsi="Arial" w:eastAsia="Arial" w:cs="Arial"/>
          <w:sz w:val="20"/>
          <w:szCs w:val="20"/>
        </w:rPr>
      </w:pPr>
      <w:r w:rsidRPr="35ECD7D9" w:rsidR="6AFF2451">
        <w:rPr>
          <w:rFonts w:ascii="Arial" w:hAnsi="Arial" w:eastAsia="Arial" w:cs="Arial"/>
          <w:sz w:val="20"/>
          <w:szCs w:val="20"/>
        </w:rPr>
        <w:t xml:space="preserve">The </w:t>
      </w:r>
      <w:r w:rsidRPr="35ECD7D9" w:rsidR="2A46EE3B">
        <w:rPr>
          <w:rFonts w:ascii="Arial" w:hAnsi="Arial" w:eastAsia="Arial" w:cs="Arial"/>
          <w:sz w:val="20"/>
          <w:szCs w:val="20"/>
        </w:rPr>
        <w:t>EZ-IZ thickness</w:t>
      </w:r>
      <w:r w:rsidRPr="35ECD7D9" w:rsidR="6AFF2451">
        <w:rPr>
          <w:rFonts w:ascii="Arial" w:hAnsi="Arial" w:eastAsia="Arial" w:cs="Arial"/>
          <w:sz w:val="20"/>
          <w:szCs w:val="20"/>
        </w:rPr>
        <w:t xml:space="preserve"> ≤20 µm definition produced sparse and near-zero area estimates. Although the total </w:t>
      </w:r>
      <w:r w:rsidRPr="35ECD7D9" w:rsidR="432D4D42">
        <w:rPr>
          <w:rFonts w:ascii="Arial" w:hAnsi="Arial" w:eastAsia="Arial" w:cs="Arial"/>
          <w:sz w:val="20"/>
          <w:szCs w:val="20"/>
        </w:rPr>
        <w:t>enface</w:t>
      </w:r>
      <w:r w:rsidRPr="35ECD7D9" w:rsidR="6AFF2451">
        <w:rPr>
          <w:rFonts w:ascii="Arial" w:hAnsi="Arial" w:eastAsia="Arial" w:cs="Arial"/>
          <w:sz w:val="20"/>
          <w:szCs w:val="20"/>
        </w:rPr>
        <w:t xml:space="preserve"> lesion area analysis included 80 paired observations, inter-eye agreement was negligible and the median absolute right-left difference was </w:t>
      </w:r>
      <w:r w:rsidRPr="35ECD7D9" w:rsidR="6AFF2451">
        <w:rPr>
          <w:rFonts w:ascii="Arial" w:hAnsi="Arial" w:eastAsia="Arial" w:cs="Arial"/>
          <w:sz w:val="20"/>
          <w:szCs w:val="20"/>
        </w:rPr>
        <w:t>0.000 mm</w:t>
      </w:r>
      <w:r w:rsidRPr="35ECD7D9" w:rsidR="6AFF2451">
        <w:rPr>
          <w:rFonts w:ascii="Arial" w:hAnsi="Arial" w:eastAsia="Arial" w:cs="Arial"/>
          <w:sz w:val="20"/>
          <w:szCs w:val="20"/>
        </w:rPr>
        <w:t xml:space="preserve">², consistent with a highly zero-inflated metric. For largest retained distinct lesion area, only one paired observation was available; therefore, correlation and agreement statistics were not estimable. This definition was </w:t>
      </w:r>
      <w:r w:rsidRPr="35ECD7D9" w:rsidR="6AFF2451">
        <w:rPr>
          <w:rFonts w:ascii="Arial" w:hAnsi="Arial" w:eastAsia="Arial" w:cs="Arial"/>
          <w:sz w:val="20"/>
          <w:szCs w:val="20"/>
        </w:rPr>
        <w:t>retained</w:t>
      </w:r>
      <w:r w:rsidRPr="35ECD7D9" w:rsidR="6AFF2451">
        <w:rPr>
          <w:rFonts w:ascii="Arial" w:hAnsi="Arial" w:eastAsia="Arial" w:cs="Arial"/>
          <w:sz w:val="20"/>
          <w:szCs w:val="20"/>
        </w:rPr>
        <w:t xml:space="preserve"> for completeness but was not </w:t>
      </w:r>
      <w:r w:rsidRPr="35ECD7D9" w:rsidR="1B2241AE">
        <w:rPr>
          <w:rFonts w:ascii="Arial" w:hAnsi="Arial" w:eastAsia="Arial" w:cs="Arial"/>
          <w:sz w:val="20"/>
          <w:szCs w:val="20"/>
        </w:rPr>
        <w:t>emphasized</w:t>
      </w:r>
      <w:r w:rsidRPr="35ECD7D9" w:rsidR="6AFF2451">
        <w:rPr>
          <w:rFonts w:ascii="Arial" w:hAnsi="Arial" w:eastAsia="Arial" w:cs="Arial"/>
          <w:sz w:val="20"/>
          <w:szCs w:val="20"/>
        </w:rPr>
        <w:t xml:space="preserve"> in interpretation</w:t>
      </w:r>
      <w:r w:rsidRPr="35ECD7D9" w:rsidR="6EFFE072">
        <w:rPr>
          <w:rFonts w:ascii="Arial" w:hAnsi="Arial" w:eastAsia="Arial" w:cs="Arial"/>
          <w:sz w:val="20"/>
          <w:szCs w:val="20"/>
        </w:rPr>
        <w:t>.</w:t>
      </w:r>
    </w:p>
    <w:p w:rsidRPr="000658BC" w:rsidR="009922D8" w:rsidP="5E4E44FE" w:rsidRDefault="009922D8" w14:paraId="42AF8332" w14:textId="1783A81C">
      <w:pPr>
        <w:pStyle w:val="Normal"/>
        <w:spacing w:before="40" w:after="0" w:line="480" w:lineRule="auto"/>
        <w:jc w:val="both"/>
        <w:rPr>
          <w:rFonts w:ascii="Arial" w:hAnsi="Arial" w:eastAsia="Arial" w:cs="Arial"/>
          <w:sz w:val="20"/>
          <w:szCs w:val="20"/>
        </w:rPr>
      </w:pPr>
    </w:p>
    <w:tbl>
      <w:tblPr>
        <w:tblStyle w:val="TableGrid"/>
        <w:tblW w:w="0" w:type="auto"/>
        <w:tblBorders>
          <w:top w:val="none" w:color="000000" w:themeColor="text1" w:sz="12"/>
          <w:left w:val="none" w:color="000000" w:themeColor="text1" w:sz="12"/>
          <w:bottom w:val="none" w:color="000000" w:themeColor="text1" w:sz="12"/>
          <w:right w:val="none" w:color="000000" w:themeColor="text1" w:sz="12"/>
          <w:insideH w:val="none" w:color="000000" w:themeColor="text1" w:sz="12"/>
          <w:insideV w:val="none" w:color="000000" w:themeColor="text1" w:sz="12"/>
        </w:tblBorders>
        <w:tblLook w:val="04E0" w:firstRow="1" w:lastRow="1" w:firstColumn="1" w:lastColumn="0" w:noHBand="0" w:noVBand="1"/>
      </w:tblPr>
      <w:tblGrid>
        <w:gridCol w:w="1383"/>
        <w:gridCol w:w="819"/>
        <w:gridCol w:w="1164"/>
        <w:gridCol w:w="1394"/>
        <w:gridCol w:w="1618"/>
        <w:gridCol w:w="1787"/>
        <w:gridCol w:w="1987"/>
      </w:tblGrid>
      <w:tr w:rsidRPr="000658BC" w:rsidR="00E0414B" w:rsidTr="35ECD7D9" w14:paraId="5EAAEF09" w14:textId="77777777">
        <w:trPr>
          <w:trHeight w:val="680"/>
        </w:trPr>
        <w:tc>
          <w:tcPr>
            <w:tcW w:w="1383" w:type="dxa"/>
            <w:tcBorders>
              <w:top w:val="single" w:color="000000" w:themeColor="text1" w:sz="12"/>
              <w:bottom w:val="single" w:color="000000" w:themeColor="text1" w:sz="12"/>
            </w:tcBorders>
            <w:shd w:val="clear" w:color="auto" w:fill="F2F2F2" w:themeFill="background1" w:themeFillShade="F2"/>
            <w:tcMar/>
            <w:vAlign w:val="center"/>
            <w:hideMark/>
          </w:tcPr>
          <w:p w:rsidRPr="000658BC" w:rsidR="00E0414B" w:rsidP="00BD420F" w:rsidRDefault="71172D30" w14:paraId="6478A6DD" w14:textId="77777777">
            <w:pPr>
              <w:pStyle w:val="NoSpacing"/>
              <w:rPr>
                <w:rFonts w:ascii="Arial" w:hAnsi="Arial" w:cs="Arial"/>
                <w:b/>
                <w:bCs/>
                <w:sz w:val="20"/>
                <w:szCs w:val="20"/>
                <w:lang w:eastAsia="en-GB"/>
              </w:rPr>
            </w:pPr>
            <w:r w:rsidRPr="000658BC">
              <w:rPr>
                <w:rFonts w:ascii="Arial" w:hAnsi="Arial" w:cs="Arial"/>
                <w:b/>
                <w:bCs/>
                <w:sz w:val="20"/>
                <w:szCs w:val="20"/>
                <w:lang w:eastAsia="en-GB"/>
              </w:rPr>
              <w:lastRenderedPageBreak/>
              <w:t>EZ-loss sensitivity definition</w:t>
            </w:r>
          </w:p>
        </w:tc>
        <w:tc>
          <w:tcPr>
            <w:tcW w:w="819" w:type="dxa"/>
            <w:tcBorders>
              <w:top w:val="single" w:color="000000" w:themeColor="text1" w:sz="12"/>
              <w:bottom w:val="single" w:color="000000" w:themeColor="text1" w:sz="12"/>
            </w:tcBorders>
            <w:shd w:val="clear" w:color="auto" w:fill="F2F2F2" w:themeFill="background1" w:themeFillShade="F2"/>
            <w:tcMar/>
            <w:vAlign w:val="center"/>
            <w:hideMark/>
          </w:tcPr>
          <w:p w:rsidRPr="000658BC" w:rsidR="00E0414B" w:rsidP="00BD420F" w:rsidRDefault="71172D30" w14:paraId="03A65C4F" w14:textId="77777777">
            <w:pPr>
              <w:pStyle w:val="NoSpacing"/>
              <w:rPr>
                <w:rFonts w:ascii="Arial" w:hAnsi="Arial" w:cs="Arial"/>
                <w:b/>
                <w:bCs/>
                <w:sz w:val="20"/>
                <w:szCs w:val="20"/>
                <w:lang w:eastAsia="en-GB"/>
              </w:rPr>
            </w:pPr>
            <w:r w:rsidRPr="000658BC">
              <w:rPr>
                <w:rFonts w:ascii="Arial" w:hAnsi="Arial" w:cs="Arial"/>
                <w:b/>
                <w:bCs/>
                <w:sz w:val="20"/>
                <w:szCs w:val="20"/>
                <w:lang w:eastAsia="en-GB"/>
              </w:rPr>
              <w:t>N</w:t>
            </w:r>
          </w:p>
        </w:tc>
        <w:tc>
          <w:tcPr>
            <w:tcW w:w="0" w:type="auto"/>
            <w:tcBorders>
              <w:top w:val="single" w:color="000000" w:themeColor="text1" w:sz="12"/>
              <w:bottom w:val="single" w:color="000000" w:themeColor="text1" w:sz="12"/>
            </w:tcBorders>
            <w:shd w:val="clear" w:color="auto" w:fill="F2F2F2" w:themeFill="background1" w:themeFillShade="F2"/>
            <w:tcMar/>
            <w:vAlign w:val="center"/>
            <w:hideMark/>
          </w:tcPr>
          <w:p w:rsidRPr="000658BC" w:rsidR="00E0414B" w:rsidP="00BD420F" w:rsidRDefault="71172D30" w14:paraId="202FE505" w14:textId="77777777">
            <w:pPr>
              <w:pStyle w:val="NoSpacing"/>
              <w:rPr>
                <w:rFonts w:ascii="Arial" w:hAnsi="Arial" w:cs="Arial"/>
                <w:b/>
                <w:bCs/>
                <w:sz w:val="20"/>
                <w:szCs w:val="20"/>
                <w:lang w:eastAsia="en-GB"/>
              </w:rPr>
            </w:pPr>
            <w:r w:rsidRPr="000658BC">
              <w:rPr>
                <w:rFonts w:ascii="Arial" w:hAnsi="Arial" w:cs="Arial"/>
                <w:b/>
                <w:bCs/>
                <w:sz w:val="20"/>
                <w:szCs w:val="20"/>
                <w:lang w:eastAsia="en-GB"/>
              </w:rPr>
              <w:t>Pearson R (p)</w:t>
            </w:r>
          </w:p>
        </w:tc>
        <w:tc>
          <w:tcPr>
            <w:tcW w:w="0" w:type="auto"/>
            <w:tcBorders>
              <w:top w:val="single" w:color="000000" w:themeColor="text1" w:sz="12"/>
              <w:bottom w:val="single" w:color="000000" w:themeColor="text1" w:sz="12"/>
            </w:tcBorders>
            <w:shd w:val="clear" w:color="auto" w:fill="F2F2F2" w:themeFill="background1" w:themeFillShade="F2"/>
            <w:tcMar/>
            <w:vAlign w:val="center"/>
            <w:hideMark/>
          </w:tcPr>
          <w:p w:rsidRPr="000658BC" w:rsidR="00E0414B" w:rsidP="00BD420F" w:rsidRDefault="71172D30" w14:paraId="6871ABA2" w14:textId="77777777">
            <w:pPr>
              <w:pStyle w:val="NoSpacing"/>
              <w:rPr>
                <w:rFonts w:ascii="Arial" w:hAnsi="Arial" w:cs="Arial"/>
                <w:b/>
                <w:bCs/>
                <w:sz w:val="20"/>
                <w:szCs w:val="20"/>
                <w:lang w:eastAsia="en-GB"/>
              </w:rPr>
            </w:pPr>
            <w:r w:rsidRPr="000658BC">
              <w:rPr>
                <w:rFonts w:ascii="Arial" w:hAnsi="Arial" w:cs="Arial"/>
                <w:b/>
                <w:bCs/>
                <w:sz w:val="20"/>
                <w:szCs w:val="20"/>
                <w:lang w:eastAsia="en-GB"/>
              </w:rPr>
              <w:t>Spearman rho (p)</w:t>
            </w:r>
          </w:p>
        </w:tc>
        <w:tc>
          <w:tcPr>
            <w:tcW w:w="0" w:type="auto"/>
            <w:tcBorders>
              <w:top w:val="single" w:color="000000" w:themeColor="text1" w:sz="12"/>
              <w:bottom w:val="single" w:color="000000" w:themeColor="text1" w:sz="12"/>
            </w:tcBorders>
            <w:shd w:val="clear" w:color="auto" w:fill="F2F2F2" w:themeFill="background1" w:themeFillShade="F2"/>
            <w:tcMar/>
            <w:vAlign w:val="center"/>
            <w:hideMark/>
          </w:tcPr>
          <w:p w:rsidRPr="000658BC" w:rsidR="00E0414B" w:rsidP="00BD420F" w:rsidRDefault="71172D30" w14:paraId="6BD2563E" w14:textId="77777777">
            <w:pPr>
              <w:pStyle w:val="NoSpacing"/>
              <w:rPr>
                <w:rFonts w:ascii="Arial" w:hAnsi="Arial" w:cs="Arial"/>
                <w:b/>
                <w:bCs/>
                <w:sz w:val="20"/>
                <w:szCs w:val="20"/>
                <w:lang w:eastAsia="en-GB"/>
              </w:rPr>
            </w:pPr>
            <w:r w:rsidRPr="000658BC">
              <w:rPr>
                <w:rFonts w:ascii="Arial" w:hAnsi="Arial" w:cs="Arial"/>
                <w:b/>
                <w:bCs/>
                <w:sz w:val="20"/>
                <w:szCs w:val="20"/>
                <w:lang w:eastAsia="en-GB"/>
              </w:rPr>
              <w:t>ICC absolute agreement</w:t>
            </w:r>
          </w:p>
        </w:tc>
        <w:tc>
          <w:tcPr>
            <w:tcW w:w="0" w:type="auto"/>
            <w:tcBorders>
              <w:top w:val="single" w:color="000000" w:themeColor="text1" w:sz="12"/>
              <w:bottom w:val="single" w:color="000000" w:themeColor="text1" w:sz="12"/>
            </w:tcBorders>
            <w:shd w:val="clear" w:color="auto" w:fill="F2F2F2" w:themeFill="background1" w:themeFillShade="F2"/>
            <w:tcMar/>
            <w:vAlign w:val="center"/>
            <w:hideMark/>
          </w:tcPr>
          <w:p w:rsidRPr="000658BC" w:rsidR="00BD420F" w:rsidP="00BD420F" w:rsidRDefault="71172D30" w14:paraId="61A533A2" w14:textId="77777777">
            <w:pPr>
              <w:pStyle w:val="NoSpacing"/>
              <w:rPr>
                <w:rFonts w:ascii="Arial" w:hAnsi="Arial" w:cs="Arial"/>
                <w:b/>
                <w:bCs/>
                <w:sz w:val="20"/>
                <w:szCs w:val="20"/>
                <w:lang w:eastAsia="en-GB"/>
              </w:rPr>
            </w:pPr>
            <w:r w:rsidRPr="000658BC">
              <w:rPr>
                <w:rFonts w:ascii="Arial" w:hAnsi="Arial" w:cs="Arial"/>
                <w:b/>
                <w:bCs/>
                <w:sz w:val="20"/>
                <w:szCs w:val="20"/>
                <w:lang w:eastAsia="en-GB"/>
              </w:rPr>
              <w:t xml:space="preserve">Mean absolute R-L difference, </w:t>
            </w:r>
          </w:p>
          <w:p w:rsidRPr="000658BC" w:rsidR="00E0414B" w:rsidP="00BD420F" w:rsidRDefault="71172D30" w14:paraId="7F43740B" w14:textId="352B854A">
            <w:pPr>
              <w:pStyle w:val="NoSpacing"/>
              <w:rPr>
                <w:rFonts w:ascii="Arial" w:hAnsi="Arial" w:cs="Arial"/>
                <w:b/>
                <w:bCs/>
                <w:sz w:val="20"/>
                <w:szCs w:val="20"/>
                <w:lang w:eastAsia="en-GB"/>
              </w:rPr>
            </w:pPr>
            <w:r w:rsidRPr="000658BC">
              <w:rPr>
                <w:rFonts w:ascii="Arial" w:hAnsi="Arial" w:cs="Arial"/>
                <w:b/>
                <w:bCs/>
                <w:sz w:val="20"/>
                <w:szCs w:val="20"/>
                <w:lang w:eastAsia="en-GB"/>
              </w:rPr>
              <w:t>mm²</w:t>
            </w:r>
          </w:p>
        </w:tc>
        <w:tc>
          <w:tcPr>
            <w:tcW w:w="0" w:type="auto"/>
            <w:tcBorders>
              <w:top w:val="single" w:color="000000" w:themeColor="text1" w:sz="12"/>
              <w:bottom w:val="single" w:color="000000" w:themeColor="text1" w:sz="12"/>
            </w:tcBorders>
            <w:shd w:val="clear" w:color="auto" w:fill="F2F2F2" w:themeFill="background1" w:themeFillShade="F2"/>
            <w:tcMar/>
            <w:vAlign w:val="center"/>
            <w:hideMark/>
          </w:tcPr>
          <w:p w:rsidRPr="000658BC" w:rsidR="00E0414B" w:rsidP="00BD420F" w:rsidRDefault="71172D30" w14:paraId="59C7BD03" w14:textId="77777777">
            <w:pPr>
              <w:pStyle w:val="NoSpacing"/>
              <w:rPr>
                <w:rFonts w:ascii="Arial" w:hAnsi="Arial" w:cs="Arial"/>
                <w:b/>
                <w:bCs/>
                <w:sz w:val="20"/>
                <w:szCs w:val="20"/>
                <w:lang w:eastAsia="en-GB"/>
              </w:rPr>
            </w:pPr>
            <w:r w:rsidRPr="000658BC">
              <w:rPr>
                <w:rFonts w:ascii="Arial" w:hAnsi="Arial" w:cs="Arial"/>
                <w:b/>
                <w:bCs/>
                <w:sz w:val="20"/>
                <w:szCs w:val="20"/>
                <w:lang w:eastAsia="en-GB"/>
              </w:rPr>
              <w:t>Median absolute R-L difference, mm²</w:t>
            </w:r>
          </w:p>
        </w:tc>
      </w:tr>
      <w:tr w:rsidRPr="000658BC" w:rsidR="00E0414B" w:rsidTr="35ECD7D9" w14:paraId="4AB7F9E8" w14:textId="77777777">
        <w:trPr>
          <w:trHeight w:val="680"/>
        </w:trPr>
        <w:tc>
          <w:tcPr>
            <w:tcW w:w="1383" w:type="dxa"/>
            <w:tcBorders>
              <w:top w:val="single" w:color="000000" w:themeColor="text1" w:sz="12"/>
            </w:tcBorders>
            <w:tcMar/>
            <w:vAlign w:val="center"/>
            <w:hideMark/>
          </w:tcPr>
          <w:p w:rsidRPr="000658BC" w:rsidR="00E0414B" w:rsidP="00BD420F" w:rsidRDefault="71172D30" w14:paraId="5EA10907" w14:textId="54C2A759">
            <w:pPr>
              <w:pStyle w:val="NoSpacing"/>
              <w:rPr>
                <w:rFonts w:ascii="Arial" w:hAnsi="Arial" w:cs="Arial"/>
                <w:sz w:val="20"/>
                <w:szCs w:val="20"/>
                <w:lang w:eastAsia="en-GB"/>
              </w:rPr>
            </w:pPr>
            <w:r w:rsidRPr="35ECD7D9" w:rsidR="2A46EE3B">
              <w:rPr>
                <w:rFonts w:ascii="Arial" w:hAnsi="Arial" w:cs="Arial"/>
                <w:sz w:val="20"/>
                <w:szCs w:val="20"/>
                <w:lang w:eastAsia="en-GB"/>
              </w:rPr>
              <w:t>EZ-IZ thickness</w:t>
            </w:r>
            <w:r w:rsidRPr="35ECD7D9" w:rsidR="39878BE0">
              <w:rPr>
                <w:rFonts w:ascii="Arial" w:hAnsi="Arial" w:cs="Arial"/>
                <w:sz w:val="20"/>
                <w:szCs w:val="20"/>
                <w:lang w:eastAsia="en-GB"/>
              </w:rPr>
              <w:t xml:space="preserve"> ≤20 µm</w:t>
            </w:r>
          </w:p>
        </w:tc>
        <w:tc>
          <w:tcPr>
            <w:tcW w:w="819" w:type="dxa"/>
            <w:tcBorders>
              <w:top w:val="single" w:color="000000" w:themeColor="text1" w:sz="12"/>
            </w:tcBorders>
            <w:tcMar/>
            <w:vAlign w:val="center"/>
            <w:hideMark/>
          </w:tcPr>
          <w:p w:rsidRPr="000658BC" w:rsidR="00E0414B" w:rsidP="00BD420F" w:rsidRDefault="71172D30" w14:paraId="62E44CCC" w14:textId="77777777">
            <w:pPr>
              <w:pStyle w:val="NoSpacing"/>
              <w:rPr>
                <w:rFonts w:ascii="Arial" w:hAnsi="Arial" w:cs="Arial"/>
                <w:sz w:val="20"/>
                <w:szCs w:val="20"/>
                <w:lang w:eastAsia="en-GB"/>
              </w:rPr>
            </w:pPr>
            <w:r w:rsidRPr="000658BC">
              <w:rPr>
                <w:rFonts w:ascii="Arial" w:hAnsi="Arial" w:cs="Arial"/>
                <w:sz w:val="20"/>
                <w:szCs w:val="20"/>
                <w:lang w:eastAsia="en-GB"/>
              </w:rPr>
              <w:t>80</w:t>
            </w:r>
          </w:p>
        </w:tc>
        <w:tc>
          <w:tcPr>
            <w:tcW w:w="0" w:type="auto"/>
            <w:tcBorders>
              <w:top w:val="single" w:color="000000" w:themeColor="text1" w:sz="12"/>
            </w:tcBorders>
            <w:tcMar/>
            <w:vAlign w:val="center"/>
            <w:hideMark/>
          </w:tcPr>
          <w:p w:rsidRPr="000658BC" w:rsidR="00E0414B" w:rsidP="00BD420F" w:rsidRDefault="71172D30" w14:paraId="6B632697" w14:textId="77777777">
            <w:pPr>
              <w:pStyle w:val="NoSpacing"/>
              <w:rPr>
                <w:rFonts w:ascii="Arial" w:hAnsi="Arial" w:cs="Arial"/>
                <w:sz w:val="20"/>
                <w:szCs w:val="20"/>
                <w:lang w:eastAsia="en-GB"/>
              </w:rPr>
            </w:pPr>
            <w:r w:rsidRPr="000658BC">
              <w:rPr>
                <w:rFonts w:ascii="Arial" w:hAnsi="Arial" w:cs="Arial"/>
                <w:sz w:val="20"/>
                <w:szCs w:val="20"/>
                <w:lang w:eastAsia="en-GB"/>
              </w:rPr>
              <w:t>-0.030 (0.793)</w:t>
            </w:r>
          </w:p>
        </w:tc>
        <w:tc>
          <w:tcPr>
            <w:tcW w:w="0" w:type="auto"/>
            <w:tcBorders>
              <w:top w:val="single" w:color="000000" w:themeColor="text1" w:sz="12"/>
            </w:tcBorders>
            <w:tcMar/>
            <w:vAlign w:val="center"/>
            <w:hideMark/>
          </w:tcPr>
          <w:p w:rsidRPr="000658BC" w:rsidR="00E0414B" w:rsidP="00BD420F" w:rsidRDefault="71172D30" w14:paraId="55CC720E" w14:textId="77777777">
            <w:pPr>
              <w:pStyle w:val="NoSpacing"/>
              <w:rPr>
                <w:rFonts w:ascii="Arial" w:hAnsi="Arial" w:cs="Arial"/>
                <w:sz w:val="20"/>
                <w:szCs w:val="20"/>
                <w:lang w:eastAsia="en-GB"/>
              </w:rPr>
            </w:pPr>
            <w:r w:rsidRPr="000658BC">
              <w:rPr>
                <w:rFonts w:ascii="Arial" w:hAnsi="Arial" w:cs="Arial"/>
                <w:sz w:val="20"/>
                <w:szCs w:val="20"/>
                <w:lang w:eastAsia="en-GB"/>
              </w:rPr>
              <w:t>0.022 (0.845)</w:t>
            </w:r>
          </w:p>
        </w:tc>
        <w:tc>
          <w:tcPr>
            <w:tcW w:w="0" w:type="auto"/>
            <w:tcBorders>
              <w:top w:val="single" w:color="000000" w:themeColor="text1" w:sz="12"/>
            </w:tcBorders>
            <w:tcMar/>
            <w:vAlign w:val="center"/>
            <w:hideMark/>
          </w:tcPr>
          <w:p w:rsidRPr="000658BC" w:rsidR="00E0414B" w:rsidP="00BD420F" w:rsidRDefault="71172D30" w14:paraId="1F405F06" w14:textId="77777777">
            <w:pPr>
              <w:pStyle w:val="NoSpacing"/>
              <w:rPr>
                <w:rFonts w:ascii="Arial" w:hAnsi="Arial" w:cs="Arial"/>
                <w:sz w:val="20"/>
                <w:szCs w:val="20"/>
                <w:lang w:eastAsia="en-GB"/>
              </w:rPr>
            </w:pPr>
            <w:r w:rsidRPr="000658BC">
              <w:rPr>
                <w:rFonts w:ascii="Arial" w:hAnsi="Arial" w:cs="Arial"/>
                <w:sz w:val="20"/>
                <w:szCs w:val="20"/>
                <w:lang w:eastAsia="en-GB"/>
              </w:rPr>
              <w:t>-0.023</w:t>
            </w:r>
          </w:p>
        </w:tc>
        <w:tc>
          <w:tcPr>
            <w:tcW w:w="0" w:type="auto"/>
            <w:tcBorders>
              <w:top w:val="single" w:color="000000" w:themeColor="text1" w:sz="12"/>
            </w:tcBorders>
            <w:tcMar/>
            <w:vAlign w:val="center"/>
            <w:hideMark/>
          </w:tcPr>
          <w:p w:rsidRPr="000658BC" w:rsidR="00E0414B" w:rsidP="00BD420F" w:rsidRDefault="71172D30" w14:paraId="038A3E27" w14:textId="77777777">
            <w:pPr>
              <w:pStyle w:val="NoSpacing"/>
              <w:rPr>
                <w:rFonts w:ascii="Arial" w:hAnsi="Arial" w:cs="Arial"/>
                <w:sz w:val="20"/>
                <w:szCs w:val="20"/>
                <w:lang w:eastAsia="en-GB"/>
              </w:rPr>
            </w:pPr>
            <w:r w:rsidRPr="000658BC">
              <w:rPr>
                <w:rFonts w:ascii="Arial" w:hAnsi="Arial" w:cs="Arial"/>
                <w:sz w:val="20"/>
                <w:szCs w:val="20"/>
                <w:lang w:eastAsia="en-GB"/>
              </w:rPr>
              <w:t>0.034</w:t>
            </w:r>
          </w:p>
        </w:tc>
        <w:tc>
          <w:tcPr>
            <w:tcW w:w="0" w:type="auto"/>
            <w:tcBorders>
              <w:top w:val="single" w:color="000000" w:themeColor="text1" w:sz="12"/>
            </w:tcBorders>
            <w:tcMar/>
            <w:vAlign w:val="center"/>
            <w:hideMark/>
          </w:tcPr>
          <w:p w:rsidRPr="000658BC" w:rsidR="00E0414B" w:rsidP="00BD420F" w:rsidRDefault="71172D30" w14:paraId="697F10E4" w14:textId="77777777">
            <w:pPr>
              <w:pStyle w:val="NoSpacing"/>
              <w:rPr>
                <w:rFonts w:ascii="Arial" w:hAnsi="Arial" w:cs="Arial"/>
                <w:sz w:val="20"/>
                <w:szCs w:val="20"/>
                <w:lang w:eastAsia="en-GB"/>
              </w:rPr>
            </w:pPr>
            <w:r w:rsidRPr="000658BC">
              <w:rPr>
                <w:rFonts w:ascii="Arial" w:hAnsi="Arial" w:cs="Arial"/>
                <w:sz w:val="20"/>
                <w:szCs w:val="20"/>
                <w:lang w:eastAsia="en-GB"/>
              </w:rPr>
              <w:t>0.000</w:t>
            </w:r>
          </w:p>
        </w:tc>
      </w:tr>
      <w:tr w:rsidRPr="000658BC" w:rsidR="00E0414B" w:rsidTr="35ECD7D9" w14:paraId="77E4ED7C" w14:textId="77777777">
        <w:trPr>
          <w:trHeight w:val="680"/>
        </w:trPr>
        <w:tc>
          <w:tcPr>
            <w:tcW w:w="1383" w:type="dxa"/>
            <w:tcMar/>
            <w:vAlign w:val="center"/>
            <w:hideMark/>
          </w:tcPr>
          <w:p w:rsidRPr="000658BC" w:rsidR="00E0414B" w:rsidP="00BD420F" w:rsidRDefault="71172D30" w14:paraId="0EFB1585" w14:textId="77777777">
            <w:pPr>
              <w:pStyle w:val="NoSpacing"/>
              <w:rPr>
                <w:rFonts w:ascii="Arial" w:hAnsi="Arial" w:cs="Arial"/>
                <w:sz w:val="20"/>
                <w:szCs w:val="20"/>
                <w:lang w:eastAsia="en-GB"/>
              </w:rPr>
            </w:pPr>
            <w:r w:rsidRPr="000658BC">
              <w:rPr>
                <w:rFonts w:ascii="Arial" w:hAnsi="Arial" w:cs="Arial"/>
                <w:sz w:val="20"/>
                <w:szCs w:val="20"/>
                <w:lang w:eastAsia="en-GB"/>
              </w:rPr>
              <w:t>EZ-loss width ≥125 µm</w:t>
            </w:r>
          </w:p>
        </w:tc>
        <w:tc>
          <w:tcPr>
            <w:tcW w:w="819" w:type="dxa"/>
            <w:tcMar/>
            <w:vAlign w:val="center"/>
            <w:hideMark/>
          </w:tcPr>
          <w:p w:rsidRPr="000658BC" w:rsidR="00E0414B" w:rsidP="00BD420F" w:rsidRDefault="71172D30" w14:paraId="517559CB" w14:textId="77777777">
            <w:pPr>
              <w:pStyle w:val="NoSpacing"/>
              <w:rPr>
                <w:rFonts w:ascii="Arial" w:hAnsi="Arial" w:cs="Arial"/>
                <w:sz w:val="20"/>
                <w:szCs w:val="20"/>
                <w:lang w:eastAsia="en-GB"/>
              </w:rPr>
            </w:pPr>
            <w:r w:rsidRPr="000658BC">
              <w:rPr>
                <w:rFonts w:ascii="Arial" w:hAnsi="Arial" w:cs="Arial"/>
                <w:sz w:val="20"/>
                <w:szCs w:val="20"/>
                <w:lang w:eastAsia="en-GB"/>
              </w:rPr>
              <w:t>101</w:t>
            </w:r>
          </w:p>
        </w:tc>
        <w:tc>
          <w:tcPr>
            <w:tcW w:w="0" w:type="auto"/>
            <w:tcMar/>
            <w:vAlign w:val="center"/>
            <w:hideMark/>
          </w:tcPr>
          <w:p w:rsidRPr="000658BC" w:rsidR="00E0414B" w:rsidP="00BD420F" w:rsidRDefault="71172D30" w14:paraId="1E02AFB8" w14:textId="77777777">
            <w:pPr>
              <w:pStyle w:val="NoSpacing"/>
              <w:rPr>
                <w:rFonts w:ascii="Arial" w:hAnsi="Arial" w:cs="Arial"/>
                <w:sz w:val="20"/>
                <w:szCs w:val="20"/>
                <w:lang w:eastAsia="en-GB"/>
              </w:rPr>
            </w:pPr>
            <w:r w:rsidRPr="000658BC">
              <w:rPr>
                <w:rFonts w:ascii="Arial" w:hAnsi="Arial" w:cs="Arial"/>
                <w:sz w:val="20"/>
                <w:szCs w:val="20"/>
                <w:lang w:eastAsia="en-GB"/>
              </w:rPr>
              <w:t>0.620 (&lt;0.001)</w:t>
            </w:r>
          </w:p>
        </w:tc>
        <w:tc>
          <w:tcPr>
            <w:tcW w:w="0" w:type="auto"/>
            <w:tcMar/>
            <w:vAlign w:val="center"/>
            <w:hideMark/>
          </w:tcPr>
          <w:p w:rsidRPr="000658BC" w:rsidR="00E0414B" w:rsidP="00BD420F" w:rsidRDefault="71172D30" w14:paraId="681BD9B1" w14:textId="77777777">
            <w:pPr>
              <w:pStyle w:val="NoSpacing"/>
              <w:rPr>
                <w:rFonts w:ascii="Arial" w:hAnsi="Arial" w:cs="Arial"/>
                <w:sz w:val="20"/>
                <w:szCs w:val="20"/>
                <w:lang w:eastAsia="en-GB"/>
              </w:rPr>
            </w:pPr>
            <w:r w:rsidRPr="000658BC">
              <w:rPr>
                <w:rFonts w:ascii="Arial" w:hAnsi="Arial" w:cs="Arial"/>
                <w:sz w:val="20"/>
                <w:szCs w:val="20"/>
                <w:lang w:eastAsia="en-GB"/>
              </w:rPr>
              <w:t>0.464 (&lt;0.001)</w:t>
            </w:r>
          </w:p>
        </w:tc>
        <w:tc>
          <w:tcPr>
            <w:tcW w:w="0" w:type="auto"/>
            <w:tcMar/>
            <w:vAlign w:val="center"/>
            <w:hideMark/>
          </w:tcPr>
          <w:p w:rsidRPr="000658BC" w:rsidR="00E0414B" w:rsidP="00BD420F" w:rsidRDefault="71172D30" w14:paraId="0F7B4FD1" w14:textId="77777777">
            <w:pPr>
              <w:pStyle w:val="NoSpacing"/>
              <w:rPr>
                <w:rFonts w:ascii="Arial" w:hAnsi="Arial" w:cs="Arial"/>
                <w:sz w:val="20"/>
                <w:szCs w:val="20"/>
                <w:lang w:eastAsia="en-GB"/>
              </w:rPr>
            </w:pPr>
            <w:r w:rsidRPr="000658BC">
              <w:rPr>
                <w:rFonts w:ascii="Arial" w:hAnsi="Arial" w:cs="Arial"/>
                <w:sz w:val="20"/>
                <w:szCs w:val="20"/>
                <w:lang w:eastAsia="en-GB"/>
              </w:rPr>
              <w:t>0.622</w:t>
            </w:r>
          </w:p>
        </w:tc>
        <w:tc>
          <w:tcPr>
            <w:tcW w:w="0" w:type="auto"/>
            <w:tcMar/>
            <w:vAlign w:val="center"/>
            <w:hideMark/>
          </w:tcPr>
          <w:p w:rsidRPr="000658BC" w:rsidR="00E0414B" w:rsidP="00BD420F" w:rsidRDefault="71172D30" w14:paraId="08B1C9B7" w14:textId="77777777">
            <w:pPr>
              <w:pStyle w:val="NoSpacing"/>
              <w:rPr>
                <w:rFonts w:ascii="Arial" w:hAnsi="Arial" w:cs="Arial"/>
                <w:sz w:val="20"/>
                <w:szCs w:val="20"/>
                <w:lang w:eastAsia="en-GB"/>
              </w:rPr>
            </w:pPr>
            <w:r w:rsidRPr="000658BC">
              <w:rPr>
                <w:rFonts w:ascii="Arial" w:hAnsi="Arial" w:cs="Arial"/>
                <w:sz w:val="20"/>
                <w:szCs w:val="20"/>
                <w:lang w:eastAsia="en-GB"/>
              </w:rPr>
              <w:t>5.285</w:t>
            </w:r>
          </w:p>
        </w:tc>
        <w:tc>
          <w:tcPr>
            <w:tcW w:w="0" w:type="auto"/>
            <w:tcMar/>
            <w:vAlign w:val="center"/>
            <w:hideMark/>
          </w:tcPr>
          <w:p w:rsidRPr="000658BC" w:rsidR="00E0414B" w:rsidP="00BD420F" w:rsidRDefault="71172D30" w14:paraId="27941B38" w14:textId="77777777">
            <w:pPr>
              <w:pStyle w:val="NoSpacing"/>
              <w:rPr>
                <w:rFonts w:ascii="Arial" w:hAnsi="Arial" w:cs="Arial"/>
                <w:sz w:val="20"/>
                <w:szCs w:val="20"/>
                <w:lang w:eastAsia="en-GB"/>
              </w:rPr>
            </w:pPr>
            <w:r w:rsidRPr="000658BC">
              <w:rPr>
                <w:rFonts w:ascii="Arial" w:hAnsi="Arial" w:cs="Arial"/>
                <w:sz w:val="20"/>
                <w:szCs w:val="20"/>
                <w:lang w:eastAsia="en-GB"/>
              </w:rPr>
              <w:t>2.317</w:t>
            </w:r>
          </w:p>
        </w:tc>
      </w:tr>
      <w:tr w:rsidRPr="000658BC" w:rsidR="00E0414B" w:rsidTr="35ECD7D9" w14:paraId="1823C2A9" w14:textId="77777777">
        <w:trPr>
          <w:trHeight w:val="680"/>
        </w:trPr>
        <w:tc>
          <w:tcPr>
            <w:tcW w:w="1383" w:type="dxa"/>
            <w:tcMar/>
            <w:vAlign w:val="center"/>
            <w:hideMark/>
          </w:tcPr>
          <w:p w:rsidRPr="000658BC" w:rsidR="00E0414B" w:rsidP="00BD420F" w:rsidRDefault="71172D30" w14:paraId="2477AC74" w14:textId="77777777">
            <w:pPr>
              <w:pStyle w:val="NoSpacing"/>
              <w:rPr>
                <w:rFonts w:ascii="Arial" w:hAnsi="Arial" w:cs="Arial"/>
                <w:sz w:val="20"/>
                <w:szCs w:val="20"/>
                <w:lang w:eastAsia="en-GB"/>
              </w:rPr>
            </w:pPr>
            <w:r w:rsidRPr="000658BC">
              <w:rPr>
                <w:rFonts w:ascii="Arial" w:hAnsi="Arial" w:cs="Arial"/>
                <w:sz w:val="20"/>
                <w:szCs w:val="20"/>
                <w:lang w:eastAsia="en-GB"/>
              </w:rPr>
              <w:t>EZ-loss width ≥250 µm</w:t>
            </w:r>
          </w:p>
        </w:tc>
        <w:tc>
          <w:tcPr>
            <w:tcW w:w="819" w:type="dxa"/>
            <w:tcMar/>
            <w:vAlign w:val="center"/>
            <w:hideMark/>
          </w:tcPr>
          <w:p w:rsidRPr="000658BC" w:rsidR="00E0414B" w:rsidP="00BD420F" w:rsidRDefault="71172D30" w14:paraId="1E1FA21A" w14:textId="77777777">
            <w:pPr>
              <w:pStyle w:val="NoSpacing"/>
              <w:rPr>
                <w:rFonts w:ascii="Arial" w:hAnsi="Arial" w:cs="Arial"/>
                <w:sz w:val="20"/>
                <w:szCs w:val="20"/>
                <w:lang w:eastAsia="en-GB"/>
              </w:rPr>
            </w:pPr>
            <w:r w:rsidRPr="000658BC">
              <w:rPr>
                <w:rFonts w:ascii="Arial" w:hAnsi="Arial" w:cs="Arial"/>
                <w:sz w:val="20"/>
                <w:szCs w:val="20"/>
                <w:lang w:eastAsia="en-GB"/>
              </w:rPr>
              <w:t>101</w:t>
            </w:r>
          </w:p>
        </w:tc>
        <w:tc>
          <w:tcPr>
            <w:tcW w:w="0" w:type="auto"/>
            <w:tcMar/>
            <w:vAlign w:val="center"/>
            <w:hideMark/>
          </w:tcPr>
          <w:p w:rsidRPr="000658BC" w:rsidR="00E0414B" w:rsidP="00BD420F" w:rsidRDefault="71172D30" w14:paraId="3E9A8F9E" w14:textId="77777777">
            <w:pPr>
              <w:pStyle w:val="NoSpacing"/>
              <w:rPr>
                <w:rFonts w:ascii="Arial" w:hAnsi="Arial" w:cs="Arial"/>
                <w:sz w:val="20"/>
                <w:szCs w:val="20"/>
                <w:lang w:eastAsia="en-GB"/>
              </w:rPr>
            </w:pPr>
            <w:r w:rsidRPr="000658BC">
              <w:rPr>
                <w:rFonts w:ascii="Arial" w:hAnsi="Arial" w:cs="Arial"/>
                <w:sz w:val="20"/>
                <w:szCs w:val="20"/>
                <w:lang w:eastAsia="en-GB"/>
              </w:rPr>
              <w:t>0.616 (&lt;0.001)</w:t>
            </w:r>
          </w:p>
        </w:tc>
        <w:tc>
          <w:tcPr>
            <w:tcW w:w="0" w:type="auto"/>
            <w:tcMar/>
            <w:vAlign w:val="center"/>
            <w:hideMark/>
          </w:tcPr>
          <w:p w:rsidRPr="000658BC" w:rsidR="00E0414B" w:rsidP="00BD420F" w:rsidRDefault="71172D30" w14:paraId="4A8487E0" w14:textId="77777777">
            <w:pPr>
              <w:pStyle w:val="NoSpacing"/>
              <w:rPr>
                <w:rFonts w:ascii="Arial" w:hAnsi="Arial" w:cs="Arial"/>
                <w:sz w:val="20"/>
                <w:szCs w:val="20"/>
                <w:lang w:eastAsia="en-GB"/>
              </w:rPr>
            </w:pPr>
            <w:r w:rsidRPr="000658BC">
              <w:rPr>
                <w:rFonts w:ascii="Arial" w:hAnsi="Arial" w:cs="Arial"/>
                <w:sz w:val="20"/>
                <w:szCs w:val="20"/>
                <w:lang w:eastAsia="en-GB"/>
              </w:rPr>
              <w:t>0.458 (&lt;0.001)</w:t>
            </w:r>
          </w:p>
        </w:tc>
        <w:tc>
          <w:tcPr>
            <w:tcW w:w="0" w:type="auto"/>
            <w:tcMar/>
            <w:vAlign w:val="center"/>
            <w:hideMark/>
          </w:tcPr>
          <w:p w:rsidRPr="000658BC" w:rsidR="00E0414B" w:rsidP="00BD420F" w:rsidRDefault="71172D30" w14:paraId="595D704B" w14:textId="77777777">
            <w:pPr>
              <w:pStyle w:val="NoSpacing"/>
              <w:rPr>
                <w:rFonts w:ascii="Arial" w:hAnsi="Arial" w:cs="Arial"/>
                <w:sz w:val="20"/>
                <w:szCs w:val="20"/>
                <w:lang w:eastAsia="en-GB"/>
              </w:rPr>
            </w:pPr>
            <w:r w:rsidRPr="000658BC">
              <w:rPr>
                <w:rFonts w:ascii="Arial" w:hAnsi="Arial" w:cs="Arial"/>
                <w:sz w:val="20"/>
                <w:szCs w:val="20"/>
                <w:lang w:eastAsia="en-GB"/>
              </w:rPr>
              <w:t>0.618</w:t>
            </w:r>
          </w:p>
        </w:tc>
        <w:tc>
          <w:tcPr>
            <w:tcW w:w="0" w:type="auto"/>
            <w:tcMar/>
            <w:vAlign w:val="center"/>
            <w:hideMark/>
          </w:tcPr>
          <w:p w:rsidRPr="000658BC" w:rsidR="00E0414B" w:rsidP="00BD420F" w:rsidRDefault="71172D30" w14:paraId="70A9D7DE" w14:textId="77777777">
            <w:pPr>
              <w:pStyle w:val="NoSpacing"/>
              <w:rPr>
                <w:rFonts w:ascii="Arial" w:hAnsi="Arial" w:cs="Arial"/>
                <w:sz w:val="20"/>
                <w:szCs w:val="20"/>
                <w:lang w:eastAsia="en-GB"/>
              </w:rPr>
            </w:pPr>
            <w:r w:rsidRPr="000658BC">
              <w:rPr>
                <w:rFonts w:ascii="Arial" w:hAnsi="Arial" w:cs="Arial"/>
                <w:sz w:val="20"/>
                <w:szCs w:val="20"/>
                <w:lang w:eastAsia="en-GB"/>
              </w:rPr>
              <w:t>5.168</w:t>
            </w:r>
          </w:p>
        </w:tc>
        <w:tc>
          <w:tcPr>
            <w:tcW w:w="0" w:type="auto"/>
            <w:tcMar/>
            <w:vAlign w:val="center"/>
            <w:hideMark/>
          </w:tcPr>
          <w:p w:rsidRPr="000658BC" w:rsidR="00E0414B" w:rsidP="00BD420F" w:rsidRDefault="71172D30" w14:paraId="3ECB4BB2" w14:textId="77777777">
            <w:pPr>
              <w:pStyle w:val="NoSpacing"/>
              <w:rPr>
                <w:rFonts w:ascii="Arial" w:hAnsi="Arial" w:cs="Arial"/>
                <w:sz w:val="20"/>
                <w:szCs w:val="20"/>
                <w:lang w:eastAsia="en-GB"/>
              </w:rPr>
            </w:pPr>
            <w:r w:rsidRPr="000658BC">
              <w:rPr>
                <w:rFonts w:ascii="Arial" w:hAnsi="Arial" w:cs="Arial"/>
                <w:sz w:val="20"/>
                <w:szCs w:val="20"/>
                <w:lang w:eastAsia="en-GB"/>
              </w:rPr>
              <w:t>2.354</w:t>
            </w:r>
          </w:p>
        </w:tc>
      </w:tr>
      <w:tr w:rsidRPr="000658BC" w:rsidR="00E0414B" w:rsidTr="35ECD7D9" w14:paraId="763DB63C" w14:textId="77777777">
        <w:trPr>
          <w:trHeight w:val="680"/>
        </w:trPr>
        <w:tc>
          <w:tcPr>
            <w:tcW w:w="1383" w:type="dxa"/>
            <w:tcMar/>
            <w:vAlign w:val="center"/>
            <w:hideMark/>
          </w:tcPr>
          <w:p w:rsidRPr="000658BC" w:rsidR="00E0414B" w:rsidP="00BD420F" w:rsidRDefault="71172D30" w14:paraId="2EEF7C73" w14:textId="77777777">
            <w:pPr>
              <w:pStyle w:val="NoSpacing"/>
              <w:rPr>
                <w:rFonts w:ascii="Arial" w:hAnsi="Arial" w:cs="Arial"/>
                <w:sz w:val="20"/>
                <w:szCs w:val="20"/>
                <w:lang w:eastAsia="en-GB"/>
              </w:rPr>
            </w:pPr>
            <w:r w:rsidRPr="000658BC">
              <w:rPr>
                <w:rFonts w:ascii="Arial" w:hAnsi="Arial" w:cs="Arial"/>
                <w:sz w:val="20"/>
                <w:szCs w:val="20"/>
                <w:lang w:eastAsia="en-GB"/>
              </w:rPr>
              <w:t>EZ thickness ≤1 pixel</w:t>
            </w:r>
          </w:p>
        </w:tc>
        <w:tc>
          <w:tcPr>
            <w:tcW w:w="819" w:type="dxa"/>
            <w:tcMar/>
            <w:vAlign w:val="center"/>
            <w:hideMark/>
          </w:tcPr>
          <w:p w:rsidRPr="000658BC" w:rsidR="00E0414B" w:rsidP="00BD420F" w:rsidRDefault="71172D30" w14:paraId="34862451" w14:textId="77777777">
            <w:pPr>
              <w:pStyle w:val="NoSpacing"/>
              <w:rPr>
                <w:rFonts w:ascii="Arial" w:hAnsi="Arial" w:cs="Arial"/>
                <w:sz w:val="20"/>
                <w:szCs w:val="20"/>
                <w:lang w:eastAsia="en-GB"/>
              </w:rPr>
            </w:pPr>
            <w:r w:rsidRPr="000658BC">
              <w:rPr>
                <w:rFonts w:ascii="Arial" w:hAnsi="Arial" w:cs="Arial"/>
                <w:sz w:val="20"/>
                <w:szCs w:val="20"/>
                <w:lang w:eastAsia="en-GB"/>
              </w:rPr>
              <w:t>101</w:t>
            </w:r>
          </w:p>
        </w:tc>
        <w:tc>
          <w:tcPr>
            <w:tcW w:w="0" w:type="auto"/>
            <w:tcMar/>
            <w:vAlign w:val="center"/>
            <w:hideMark/>
          </w:tcPr>
          <w:p w:rsidRPr="000658BC" w:rsidR="00E0414B" w:rsidP="00BD420F" w:rsidRDefault="71172D30" w14:paraId="192BF76B" w14:textId="77777777">
            <w:pPr>
              <w:pStyle w:val="NoSpacing"/>
              <w:rPr>
                <w:rFonts w:ascii="Arial" w:hAnsi="Arial" w:cs="Arial"/>
                <w:sz w:val="20"/>
                <w:szCs w:val="20"/>
                <w:lang w:eastAsia="en-GB"/>
              </w:rPr>
            </w:pPr>
            <w:r w:rsidRPr="000658BC">
              <w:rPr>
                <w:rFonts w:ascii="Arial" w:hAnsi="Arial" w:cs="Arial"/>
                <w:sz w:val="20"/>
                <w:szCs w:val="20"/>
                <w:lang w:eastAsia="en-GB"/>
              </w:rPr>
              <w:t>0.637 (&lt;0.001)</w:t>
            </w:r>
          </w:p>
        </w:tc>
        <w:tc>
          <w:tcPr>
            <w:tcW w:w="0" w:type="auto"/>
            <w:tcMar/>
            <w:vAlign w:val="center"/>
            <w:hideMark/>
          </w:tcPr>
          <w:p w:rsidRPr="000658BC" w:rsidR="00E0414B" w:rsidP="00BD420F" w:rsidRDefault="71172D30" w14:paraId="46BF7BFE" w14:textId="77777777">
            <w:pPr>
              <w:pStyle w:val="NoSpacing"/>
              <w:rPr>
                <w:rFonts w:ascii="Arial" w:hAnsi="Arial" w:cs="Arial"/>
                <w:sz w:val="20"/>
                <w:szCs w:val="20"/>
                <w:lang w:eastAsia="en-GB"/>
              </w:rPr>
            </w:pPr>
            <w:r w:rsidRPr="000658BC">
              <w:rPr>
                <w:rFonts w:ascii="Arial" w:hAnsi="Arial" w:cs="Arial"/>
                <w:sz w:val="20"/>
                <w:szCs w:val="20"/>
                <w:lang w:eastAsia="en-GB"/>
              </w:rPr>
              <w:t>0.478 (&lt;0.001)</w:t>
            </w:r>
          </w:p>
        </w:tc>
        <w:tc>
          <w:tcPr>
            <w:tcW w:w="0" w:type="auto"/>
            <w:tcMar/>
            <w:vAlign w:val="center"/>
            <w:hideMark/>
          </w:tcPr>
          <w:p w:rsidRPr="000658BC" w:rsidR="00E0414B" w:rsidP="00BD420F" w:rsidRDefault="71172D30" w14:paraId="3B049AFC" w14:textId="77777777">
            <w:pPr>
              <w:pStyle w:val="NoSpacing"/>
              <w:rPr>
                <w:rFonts w:ascii="Arial" w:hAnsi="Arial" w:cs="Arial"/>
                <w:sz w:val="20"/>
                <w:szCs w:val="20"/>
                <w:lang w:eastAsia="en-GB"/>
              </w:rPr>
            </w:pPr>
            <w:r w:rsidRPr="000658BC">
              <w:rPr>
                <w:rFonts w:ascii="Arial" w:hAnsi="Arial" w:cs="Arial"/>
                <w:sz w:val="20"/>
                <w:szCs w:val="20"/>
                <w:lang w:eastAsia="en-GB"/>
              </w:rPr>
              <w:t>0.640</w:t>
            </w:r>
          </w:p>
        </w:tc>
        <w:tc>
          <w:tcPr>
            <w:tcW w:w="0" w:type="auto"/>
            <w:tcMar/>
            <w:vAlign w:val="center"/>
            <w:hideMark/>
          </w:tcPr>
          <w:p w:rsidRPr="000658BC" w:rsidR="00E0414B" w:rsidP="00BD420F" w:rsidRDefault="71172D30" w14:paraId="3ABA9BF9" w14:textId="77777777">
            <w:pPr>
              <w:pStyle w:val="NoSpacing"/>
              <w:rPr>
                <w:rFonts w:ascii="Arial" w:hAnsi="Arial" w:cs="Arial"/>
                <w:sz w:val="20"/>
                <w:szCs w:val="20"/>
                <w:lang w:eastAsia="en-GB"/>
              </w:rPr>
            </w:pPr>
            <w:r w:rsidRPr="000658BC">
              <w:rPr>
                <w:rFonts w:ascii="Arial" w:hAnsi="Arial" w:cs="Arial"/>
                <w:sz w:val="20"/>
                <w:szCs w:val="20"/>
                <w:lang w:eastAsia="en-GB"/>
              </w:rPr>
              <w:t>5.402</w:t>
            </w:r>
          </w:p>
        </w:tc>
        <w:tc>
          <w:tcPr>
            <w:tcW w:w="0" w:type="auto"/>
            <w:tcMar/>
            <w:vAlign w:val="center"/>
            <w:hideMark/>
          </w:tcPr>
          <w:p w:rsidRPr="000658BC" w:rsidR="00E0414B" w:rsidP="00BD420F" w:rsidRDefault="71172D30" w14:paraId="23FE84E9" w14:textId="77777777">
            <w:pPr>
              <w:pStyle w:val="NoSpacing"/>
              <w:rPr>
                <w:rFonts w:ascii="Arial" w:hAnsi="Arial" w:cs="Arial"/>
                <w:sz w:val="20"/>
                <w:szCs w:val="20"/>
                <w:lang w:eastAsia="en-GB"/>
              </w:rPr>
            </w:pPr>
            <w:r w:rsidRPr="000658BC">
              <w:rPr>
                <w:rFonts w:ascii="Arial" w:hAnsi="Arial" w:cs="Arial"/>
                <w:sz w:val="20"/>
                <w:szCs w:val="20"/>
                <w:lang w:eastAsia="en-GB"/>
              </w:rPr>
              <w:t>2.457</w:t>
            </w:r>
          </w:p>
        </w:tc>
      </w:tr>
      <w:tr w:rsidRPr="000658BC" w:rsidR="00E0414B" w:rsidTr="35ECD7D9" w14:paraId="2ABD7C7A" w14:textId="77777777">
        <w:trPr>
          <w:trHeight w:val="680"/>
        </w:trPr>
        <w:tc>
          <w:tcPr>
            <w:tcW w:w="1383" w:type="dxa"/>
            <w:tcBorders>
              <w:bottom w:val="single" w:color="000000" w:themeColor="text1" w:sz="12"/>
            </w:tcBorders>
            <w:tcMar/>
            <w:vAlign w:val="center"/>
            <w:hideMark/>
          </w:tcPr>
          <w:p w:rsidRPr="000658BC" w:rsidR="00E0414B" w:rsidP="00BD420F" w:rsidRDefault="71172D30" w14:paraId="38850299" w14:textId="77777777">
            <w:pPr>
              <w:pStyle w:val="NoSpacing"/>
              <w:rPr>
                <w:rFonts w:ascii="Arial" w:hAnsi="Arial" w:cs="Arial"/>
                <w:sz w:val="20"/>
                <w:szCs w:val="20"/>
                <w:lang w:eastAsia="en-GB"/>
              </w:rPr>
            </w:pPr>
            <w:r w:rsidRPr="000658BC">
              <w:rPr>
                <w:rFonts w:ascii="Arial" w:hAnsi="Arial" w:cs="Arial"/>
                <w:sz w:val="20"/>
                <w:szCs w:val="20"/>
                <w:lang w:eastAsia="en-GB"/>
              </w:rPr>
              <w:t>EZ thickness ≤2 pixels</w:t>
            </w:r>
          </w:p>
        </w:tc>
        <w:tc>
          <w:tcPr>
            <w:tcW w:w="819" w:type="dxa"/>
            <w:tcBorders>
              <w:bottom w:val="single" w:color="000000" w:themeColor="text1" w:sz="12"/>
            </w:tcBorders>
            <w:tcMar/>
            <w:vAlign w:val="center"/>
            <w:hideMark/>
          </w:tcPr>
          <w:p w:rsidRPr="000658BC" w:rsidR="00E0414B" w:rsidP="00BD420F" w:rsidRDefault="71172D30" w14:paraId="61C18983" w14:textId="77777777">
            <w:pPr>
              <w:pStyle w:val="NoSpacing"/>
              <w:rPr>
                <w:rFonts w:ascii="Arial" w:hAnsi="Arial" w:cs="Arial"/>
                <w:sz w:val="20"/>
                <w:szCs w:val="20"/>
                <w:lang w:eastAsia="en-GB"/>
              </w:rPr>
            </w:pPr>
            <w:r w:rsidRPr="000658BC">
              <w:rPr>
                <w:rFonts w:ascii="Arial" w:hAnsi="Arial" w:cs="Arial"/>
                <w:sz w:val="20"/>
                <w:szCs w:val="20"/>
                <w:lang w:eastAsia="en-GB"/>
              </w:rPr>
              <w:t>101</w:t>
            </w:r>
          </w:p>
        </w:tc>
        <w:tc>
          <w:tcPr>
            <w:tcW w:w="0" w:type="auto"/>
            <w:tcBorders>
              <w:bottom w:val="single" w:color="000000" w:themeColor="text1" w:sz="12"/>
            </w:tcBorders>
            <w:tcMar/>
            <w:vAlign w:val="center"/>
            <w:hideMark/>
          </w:tcPr>
          <w:p w:rsidRPr="000658BC" w:rsidR="00E0414B" w:rsidP="00BD420F" w:rsidRDefault="71172D30" w14:paraId="58C54FF0" w14:textId="77777777">
            <w:pPr>
              <w:pStyle w:val="NoSpacing"/>
              <w:rPr>
                <w:rFonts w:ascii="Arial" w:hAnsi="Arial" w:cs="Arial"/>
                <w:sz w:val="20"/>
                <w:szCs w:val="20"/>
                <w:lang w:eastAsia="en-GB"/>
              </w:rPr>
            </w:pPr>
            <w:r w:rsidRPr="000658BC">
              <w:rPr>
                <w:rFonts w:ascii="Arial" w:hAnsi="Arial" w:cs="Arial"/>
                <w:sz w:val="20"/>
                <w:szCs w:val="20"/>
                <w:lang w:eastAsia="en-GB"/>
              </w:rPr>
              <w:t>0.670 (&lt;0.001)</w:t>
            </w:r>
          </w:p>
        </w:tc>
        <w:tc>
          <w:tcPr>
            <w:tcW w:w="0" w:type="auto"/>
            <w:tcBorders>
              <w:bottom w:val="single" w:color="000000" w:themeColor="text1" w:sz="12"/>
            </w:tcBorders>
            <w:tcMar/>
            <w:vAlign w:val="center"/>
            <w:hideMark/>
          </w:tcPr>
          <w:p w:rsidRPr="000658BC" w:rsidR="00E0414B" w:rsidP="00BD420F" w:rsidRDefault="71172D30" w14:paraId="249892DD" w14:textId="77777777">
            <w:pPr>
              <w:pStyle w:val="NoSpacing"/>
              <w:rPr>
                <w:rFonts w:ascii="Arial" w:hAnsi="Arial" w:cs="Arial"/>
                <w:sz w:val="20"/>
                <w:szCs w:val="20"/>
                <w:lang w:eastAsia="en-GB"/>
              </w:rPr>
            </w:pPr>
            <w:r w:rsidRPr="000658BC">
              <w:rPr>
                <w:rFonts w:ascii="Arial" w:hAnsi="Arial" w:cs="Arial"/>
                <w:sz w:val="20"/>
                <w:szCs w:val="20"/>
                <w:lang w:eastAsia="en-GB"/>
              </w:rPr>
              <w:t>0.536 (&lt;0.001)</w:t>
            </w:r>
          </w:p>
        </w:tc>
        <w:tc>
          <w:tcPr>
            <w:tcW w:w="0" w:type="auto"/>
            <w:tcBorders>
              <w:bottom w:val="single" w:color="000000" w:themeColor="text1" w:sz="12"/>
            </w:tcBorders>
            <w:tcMar/>
            <w:vAlign w:val="center"/>
            <w:hideMark/>
          </w:tcPr>
          <w:p w:rsidRPr="000658BC" w:rsidR="00E0414B" w:rsidP="00BD420F" w:rsidRDefault="71172D30" w14:paraId="0C46F89D" w14:textId="77777777">
            <w:pPr>
              <w:pStyle w:val="NoSpacing"/>
              <w:rPr>
                <w:rFonts w:ascii="Arial" w:hAnsi="Arial" w:cs="Arial"/>
                <w:sz w:val="20"/>
                <w:szCs w:val="20"/>
                <w:lang w:eastAsia="en-GB"/>
              </w:rPr>
            </w:pPr>
            <w:r w:rsidRPr="000658BC">
              <w:rPr>
                <w:rFonts w:ascii="Arial" w:hAnsi="Arial" w:cs="Arial"/>
                <w:sz w:val="20"/>
                <w:szCs w:val="20"/>
                <w:lang w:eastAsia="en-GB"/>
              </w:rPr>
              <w:t>0.673</w:t>
            </w:r>
          </w:p>
        </w:tc>
        <w:tc>
          <w:tcPr>
            <w:tcW w:w="0" w:type="auto"/>
            <w:tcBorders>
              <w:bottom w:val="single" w:color="000000" w:themeColor="text1" w:sz="12"/>
            </w:tcBorders>
            <w:tcMar/>
            <w:vAlign w:val="center"/>
            <w:hideMark/>
          </w:tcPr>
          <w:p w:rsidRPr="000658BC" w:rsidR="00E0414B" w:rsidP="00BD420F" w:rsidRDefault="71172D30" w14:paraId="19BC47B9" w14:textId="77777777">
            <w:pPr>
              <w:pStyle w:val="NoSpacing"/>
              <w:rPr>
                <w:rFonts w:ascii="Arial" w:hAnsi="Arial" w:cs="Arial"/>
                <w:sz w:val="20"/>
                <w:szCs w:val="20"/>
                <w:lang w:eastAsia="en-GB"/>
              </w:rPr>
            </w:pPr>
            <w:r w:rsidRPr="000658BC">
              <w:rPr>
                <w:rFonts w:ascii="Arial" w:hAnsi="Arial" w:cs="Arial"/>
                <w:sz w:val="20"/>
                <w:szCs w:val="20"/>
                <w:lang w:eastAsia="en-GB"/>
              </w:rPr>
              <w:t>5.403</w:t>
            </w:r>
          </w:p>
        </w:tc>
        <w:tc>
          <w:tcPr>
            <w:tcW w:w="0" w:type="auto"/>
            <w:tcBorders>
              <w:bottom w:val="single" w:color="000000" w:themeColor="text1" w:sz="12"/>
            </w:tcBorders>
            <w:tcMar/>
            <w:vAlign w:val="center"/>
            <w:hideMark/>
          </w:tcPr>
          <w:p w:rsidRPr="000658BC" w:rsidR="00E0414B" w:rsidP="00BD420F" w:rsidRDefault="71172D30" w14:paraId="67184FE2" w14:textId="77777777">
            <w:pPr>
              <w:pStyle w:val="NoSpacing"/>
              <w:rPr>
                <w:rFonts w:ascii="Arial" w:hAnsi="Arial" w:cs="Arial"/>
                <w:sz w:val="20"/>
                <w:szCs w:val="20"/>
                <w:lang w:eastAsia="en-GB"/>
              </w:rPr>
            </w:pPr>
            <w:r w:rsidRPr="000658BC">
              <w:rPr>
                <w:rFonts w:ascii="Arial" w:hAnsi="Arial" w:cs="Arial"/>
                <w:sz w:val="20"/>
                <w:szCs w:val="20"/>
                <w:lang w:eastAsia="en-GB"/>
              </w:rPr>
              <w:t>3.073</w:t>
            </w:r>
          </w:p>
        </w:tc>
      </w:tr>
    </w:tbl>
    <w:p w:rsidRPr="000658BC" w:rsidR="009922D8" w:rsidP="35ECD7D9" w:rsidRDefault="426B53D8" w14:paraId="24059F87" w14:textId="55FC8E9E">
      <w:pPr>
        <w:spacing w:before="100" w:beforeAutospacing="on" w:after="100" w:afterAutospacing="on" w:line="480" w:lineRule="auto"/>
        <w:jc w:val="both"/>
        <w:outlineLvl w:val="2"/>
        <w:rPr>
          <w:rFonts w:ascii="Arial" w:hAnsi="Arial" w:eastAsia="Arial" w:cs="Arial"/>
          <w:color w:val="595959" w:themeColor="text1" w:themeTint="A6"/>
          <w:sz w:val="16"/>
          <w:szCs w:val="16"/>
          <w:lang w:eastAsia="en-GB"/>
        </w:rPr>
      </w:pPr>
      <w:r w:rsidRPr="35ECD7D9" w:rsidR="61ABECE1">
        <w:rPr>
          <w:rFonts w:ascii="Arial" w:hAnsi="Arial" w:eastAsia="Arial" w:cs="Arial"/>
          <w:b w:val="1"/>
          <w:bCs w:val="1"/>
          <w:color w:val="595959" w:themeColor="text1" w:themeTint="A6" w:themeShade="FF"/>
          <w:sz w:val="16"/>
          <w:szCs w:val="16"/>
          <w:lang w:eastAsia="en-GB"/>
        </w:rPr>
        <w:t>Supplementary Table S</w:t>
      </w:r>
      <w:r w:rsidRPr="35ECD7D9" w:rsidR="2DCFFDAE">
        <w:rPr>
          <w:rFonts w:ascii="Arial" w:hAnsi="Arial" w:eastAsia="Arial" w:cs="Arial"/>
          <w:b w:val="1"/>
          <w:bCs w:val="1"/>
          <w:color w:val="595959" w:themeColor="text1" w:themeTint="A6" w:themeShade="FF"/>
          <w:sz w:val="16"/>
          <w:szCs w:val="16"/>
          <w:lang w:eastAsia="en-GB"/>
        </w:rPr>
        <w:t>2</w:t>
      </w:r>
      <w:r w:rsidRPr="35ECD7D9" w:rsidR="61ABECE1">
        <w:rPr>
          <w:rFonts w:ascii="Arial" w:hAnsi="Arial" w:eastAsia="Arial" w:cs="Arial"/>
          <w:b w:val="1"/>
          <w:bCs w:val="1"/>
          <w:color w:val="595959" w:themeColor="text1" w:themeTint="A6" w:themeShade="FF"/>
          <w:sz w:val="16"/>
          <w:szCs w:val="16"/>
          <w:lang w:eastAsia="en-GB"/>
        </w:rPr>
        <w:t xml:space="preserve">. Sensitivity analysis of total </w:t>
      </w:r>
      <w:r w:rsidRPr="35ECD7D9" w:rsidR="069B25F3">
        <w:rPr>
          <w:rFonts w:ascii="Arial" w:hAnsi="Arial" w:eastAsia="Arial" w:cs="Arial"/>
          <w:b w:val="1"/>
          <w:bCs w:val="1"/>
          <w:color w:val="595959" w:themeColor="text1" w:themeTint="A6" w:themeShade="FF"/>
          <w:sz w:val="16"/>
          <w:szCs w:val="16"/>
          <w:lang w:eastAsia="en-GB"/>
        </w:rPr>
        <w:t>enface</w:t>
      </w:r>
      <w:r w:rsidRPr="35ECD7D9" w:rsidR="61ABECE1">
        <w:rPr>
          <w:rFonts w:ascii="Arial" w:hAnsi="Arial" w:eastAsia="Arial" w:cs="Arial"/>
          <w:b w:val="1"/>
          <w:bCs w:val="1"/>
          <w:color w:val="595959" w:themeColor="text1" w:themeTint="A6" w:themeShade="FF"/>
          <w:sz w:val="16"/>
          <w:szCs w:val="16"/>
          <w:lang w:eastAsia="en-GB"/>
        </w:rPr>
        <w:t xml:space="preserve"> lesion area using alternative EZ-related definitions. </w:t>
      </w:r>
      <w:r w:rsidRPr="35ECD7D9" w:rsidR="61ABECE1">
        <w:rPr>
          <w:rFonts w:ascii="Arial" w:hAnsi="Arial" w:eastAsia="Arial" w:cs="Arial"/>
          <w:color w:val="595959" w:themeColor="text1" w:themeTint="A6" w:themeShade="FF"/>
          <w:sz w:val="16"/>
          <w:szCs w:val="16"/>
          <w:lang w:eastAsia="en-GB"/>
        </w:rPr>
        <w:t>Inter-eye agreement was assessed for alternative EZ-related definitions using fixed right-eye versus left-eye pairing. Pearson correlation coefficients, Spearman rank correlation coefficients, absolute-agreement intraclass correlation coefficients, and mean and median absolute right-left differences are reported. P values are reported descriptively without adjustment for multiple comparisons.</w:t>
      </w:r>
    </w:p>
    <w:tbl>
      <w:tblPr>
        <w:tblStyle w:val="TableGrid"/>
        <w:tblW w:w="0" w:type="auto"/>
        <w:tblBorders>
          <w:top w:val="none" w:color="000000" w:themeColor="text1" w:sz="12"/>
          <w:left w:val="none" w:color="000000" w:themeColor="text1" w:sz="12"/>
          <w:bottom w:val="none" w:color="000000" w:themeColor="text1" w:sz="12"/>
          <w:right w:val="none" w:color="000000" w:themeColor="text1" w:sz="12"/>
          <w:insideH w:val="none" w:color="000000" w:themeColor="text1" w:sz="12"/>
          <w:insideV w:val="none" w:color="000000" w:themeColor="text1" w:sz="12"/>
        </w:tblBorders>
        <w:tblLook w:val="04A0" w:firstRow="1" w:lastRow="0" w:firstColumn="1" w:lastColumn="0" w:noHBand="0" w:noVBand="1"/>
      </w:tblPr>
      <w:tblGrid>
        <w:gridCol w:w="1383"/>
        <w:gridCol w:w="851"/>
        <w:gridCol w:w="1155"/>
        <w:gridCol w:w="1377"/>
        <w:gridCol w:w="1586"/>
        <w:gridCol w:w="1875"/>
        <w:gridCol w:w="1925"/>
      </w:tblGrid>
      <w:tr w:rsidRPr="000658BC" w:rsidR="00E0414B" w:rsidTr="35ECD7D9" w14:paraId="0CFC9245" w14:textId="77777777">
        <w:tc>
          <w:tcPr>
            <w:tcW w:w="1384" w:type="dxa"/>
            <w:tcBorders>
              <w:top w:val="single" w:color="000000" w:themeColor="text1" w:sz="12"/>
              <w:bottom w:val="single" w:color="000000" w:themeColor="text1" w:sz="12"/>
            </w:tcBorders>
            <w:shd w:val="clear" w:color="auto" w:fill="F2F2F2" w:themeFill="background1" w:themeFillShade="F2"/>
            <w:tcMar/>
            <w:vAlign w:val="center"/>
            <w:hideMark/>
          </w:tcPr>
          <w:p w:rsidRPr="000658BC" w:rsidR="00E0414B" w:rsidP="00412FA7" w:rsidRDefault="71172D30" w14:paraId="5B62EDEC" w14:textId="77777777">
            <w:pPr>
              <w:pStyle w:val="NoSpacing"/>
              <w:rPr>
                <w:rFonts w:ascii="Arial" w:hAnsi="Arial" w:cs="Arial"/>
                <w:b/>
                <w:bCs/>
                <w:sz w:val="20"/>
                <w:szCs w:val="20"/>
                <w:lang w:eastAsia="en-GB"/>
              </w:rPr>
            </w:pPr>
            <w:r w:rsidRPr="000658BC">
              <w:rPr>
                <w:rFonts w:ascii="Arial" w:hAnsi="Arial" w:cs="Arial"/>
                <w:b/>
                <w:bCs/>
                <w:sz w:val="20"/>
                <w:szCs w:val="20"/>
                <w:lang w:eastAsia="en-GB"/>
              </w:rPr>
              <w:t>EZ-loss sensitivity definition</w:t>
            </w:r>
          </w:p>
        </w:tc>
        <w:tc>
          <w:tcPr>
            <w:tcW w:w="851" w:type="dxa"/>
            <w:tcBorders>
              <w:top w:val="single" w:color="000000" w:themeColor="text1" w:sz="12"/>
              <w:bottom w:val="single" w:color="000000" w:themeColor="text1" w:sz="12"/>
            </w:tcBorders>
            <w:shd w:val="clear" w:color="auto" w:fill="F2F2F2" w:themeFill="background1" w:themeFillShade="F2"/>
            <w:tcMar/>
            <w:vAlign w:val="center"/>
            <w:hideMark/>
          </w:tcPr>
          <w:p w:rsidRPr="000658BC" w:rsidR="00E0414B" w:rsidP="00412FA7" w:rsidRDefault="71172D30" w14:paraId="7D4E622E" w14:textId="77777777">
            <w:pPr>
              <w:pStyle w:val="NoSpacing"/>
              <w:rPr>
                <w:rFonts w:ascii="Arial" w:hAnsi="Arial" w:cs="Arial"/>
                <w:b/>
                <w:bCs/>
                <w:sz w:val="20"/>
                <w:szCs w:val="20"/>
                <w:lang w:eastAsia="en-GB"/>
              </w:rPr>
            </w:pPr>
            <w:r w:rsidRPr="000658BC">
              <w:rPr>
                <w:rFonts w:ascii="Arial" w:hAnsi="Arial" w:cs="Arial"/>
                <w:b/>
                <w:bCs/>
                <w:sz w:val="20"/>
                <w:szCs w:val="20"/>
                <w:lang w:eastAsia="en-GB"/>
              </w:rPr>
              <w:t>N</w:t>
            </w:r>
          </w:p>
        </w:tc>
        <w:tc>
          <w:tcPr>
            <w:tcW w:w="1155" w:type="dxa"/>
            <w:tcBorders>
              <w:top w:val="single" w:color="000000" w:themeColor="text1" w:sz="12"/>
              <w:bottom w:val="single" w:color="000000" w:themeColor="text1" w:sz="12"/>
            </w:tcBorders>
            <w:shd w:val="clear" w:color="auto" w:fill="F2F2F2" w:themeFill="background1" w:themeFillShade="F2"/>
            <w:tcMar/>
            <w:vAlign w:val="center"/>
            <w:hideMark/>
          </w:tcPr>
          <w:p w:rsidRPr="000658BC" w:rsidR="00E0414B" w:rsidP="00412FA7" w:rsidRDefault="71172D30" w14:paraId="43196AAF" w14:textId="77777777">
            <w:pPr>
              <w:pStyle w:val="NoSpacing"/>
              <w:rPr>
                <w:rFonts w:ascii="Arial" w:hAnsi="Arial" w:cs="Arial"/>
                <w:b/>
                <w:bCs/>
                <w:sz w:val="20"/>
                <w:szCs w:val="20"/>
                <w:lang w:eastAsia="en-GB"/>
              </w:rPr>
            </w:pPr>
            <w:r w:rsidRPr="000658BC">
              <w:rPr>
                <w:rFonts w:ascii="Arial" w:hAnsi="Arial" w:cs="Arial"/>
                <w:b/>
                <w:bCs/>
                <w:sz w:val="20"/>
                <w:szCs w:val="20"/>
                <w:lang w:eastAsia="en-GB"/>
              </w:rPr>
              <w:t>Pearson R (p)</w:t>
            </w:r>
          </w:p>
        </w:tc>
        <w:tc>
          <w:tcPr>
            <w:tcW w:w="0" w:type="auto"/>
            <w:tcBorders>
              <w:top w:val="single" w:color="000000" w:themeColor="text1" w:sz="12"/>
              <w:bottom w:val="single" w:color="000000" w:themeColor="text1" w:sz="12"/>
            </w:tcBorders>
            <w:shd w:val="clear" w:color="auto" w:fill="F2F2F2" w:themeFill="background1" w:themeFillShade="F2"/>
            <w:tcMar/>
            <w:vAlign w:val="center"/>
            <w:hideMark/>
          </w:tcPr>
          <w:p w:rsidRPr="000658BC" w:rsidR="00E0414B" w:rsidP="00412FA7" w:rsidRDefault="71172D30" w14:paraId="411E8BAC" w14:textId="77777777">
            <w:pPr>
              <w:pStyle w:val="NoSpacing"/>
              <w:rPr>
                <w:rFonts w:ascii="Arial" w:hAnsi="Arial" w:cs="Arial"/>
                <w:b/>
                <w:bCs/>
                <w:sz w:val="20"/>
                <w:szCs w:val="20"/>
                <w:lang w:eastAsia="en-GB"/>
              </w:rPr>
            </w:pPr>
            <w:r w:rsidRPr="000658BC">
              <w:rPr>
                <w:rFonts w:ascii="Arial" w:hAnsi="Arial" w:cs="Arial"/>
                <w:b/>
                <w:bCs/>
                <w:sz w:val="20"/>
                <w:szCs w:val="20"/>
                <w:lang w:eastAsia="en-GB"/>
              </w:rPr>
              <w:t>Spearman rho (p)</w:t>
            </w:r>
          </w:p>
        </w:tc>
        <w:tc>
          <w:tcPr>
            <w:tcW w:w="0" w:type="auto"/>
            <w:tcBorders>
              <w:top w:val="single" w:color="000000" w:themeColor="text1" w:sz="12"/>
              <w:bottom w:val="single" w:color="000000" w:themeColor="text1" w:sz="12"/>
            </w:tcBorders>
            <w:shd w:val="clear" w:color="auto" w:fill="F2F2F2" w:themeFill="background1" w:themeFillShade="F2"/>
            <w:tcMar/>
            <w:vAlign w:val="center"/>
            <w:hideMark/>
          </w:tcPr>
          <w:p w:rsidRPr="000658BC" w:rsidR="00E0414B" w:rsidP="00412FA7" w:rsidRDefault="71172D30" w14:paraId="4BE125FE" w14:textId="77777777">
            <w:pPr>
              <w:pStyle w:val="NoSpacing"/>
              <w:rPr>
                <w:rFonts w:ascii="Arial" w:hAnsi="Arial" w:cs="Arial"/>
                <w:b/>
                <w:bCs/>
                <w:sz w:val="20"/>
                <w:szCs w:val="20"/>
                <w:lang w:eastAsia="en-GB"/>
              </w:rPr>
            </w:pPr>
            <w:r w:rsidRPr="000658BC">
              <w:rPr>
                <w:rFonts w:ascii="Arial" w:hAnsi="Arial" w:cs="Arial"/>
                <w:b/>
                <w:bCs/>
                <w:sz w:val="20"/>
                <w:szCs w:val="20"/>
                <w:lang w:eastAsia="en-GB"/>
              </w:rPr>
              <w:t>ICC absolute agreement</w:t>
            </w:r>
          </w:p>
        </w:tc>
        <w:tc>
          <w:tcPr>
            <w:tcW w:w="0" w:type="auto"/>
            <w:tcBorders>
              <w:top w:val="single" w:color="000000" w:themeColor="text1" w:sz="12"/>
              <w:bottom w:val="single" w:color="000000" w:themeColor="text1" w:sz="12"/>
            </w:tcBorders>
            <w:shd w:val="clear" w:color="auto" w:fill="F2F2F2" w:themeFill="background1" w:themeFillShade="F2"/>
            <w:tcMar/>
            <w:vAlign w:val="center"/>
            <w:hideMark/>
          </w:tcPr>
          <w:p w:rsidRPr="000658BC" w:rsidR="00E0414B" w:rsidP="00412FA7" w:rsidRDefault="71172D30" w14:paraId="177B5951" w14:textId="77777777">
            <w:pPr>
              <w:pStyle w:val="NoSpacing"/>
              <w:rPr>
                <w:rFonts w:ascii="Arial" w:hAnsi="Arial" w:cs="Arial"/>
                <w:b/>
                <w:bCs/>
                <w:sz w:val="20"/>
                <w:szCs w:val="20"/>
                <w:lang w:eastAsia="en-GB"/>
              </w:rPr>
            </w:pPr>
            <w:r w:rsidRPr="000658BC">
              <w:rPr>
                <w:rFonts w:ascii="Arial" w:hAnsi="Arial" w:cs="Arial"/>
                <w:b/>
                <w:bCs/>
                <w:sz w:val="20"/>
                <w:szCs w:val="20"/>
                <w:lang w:eastAsia="en-GB"/>
              </w:rPr>
              <w:t>Mean absolute R-L difference, mm²</w:t>
            </w:r>
          </w:p>
        </w:tc>
        <w:tc>
          <w:tcPr>
            <w:tcW w:w="0" w:type="auto"/>
            <w:tcBorders>
              <w:top w:val="single" w:color="000000" w:themeColor="text1" w:sz="12"/>
              <w:bottom w:val="single" w:color="000000" w:themeColor="text1" w:sz="12"/>
            </w:tcBorders>
            <w:shd w:val="clear" w:color="auto" w:fill="F2F2F2" w:themeFill="background1" w:themeFillShade="F2"/>
            <w:tcMar/>
            <w:vAlign w:val="center"/>
            <w:hideMark/>
          </w:tcPr>
          <w:p w:rsidRPr="000658BC" w:rsidR="00E0414B" w:rsidP="00412FA7" w:rsidRDefault="71172D30" w14:paraId="721E3C4F" w14:textId="77777777">
            <w:pPr>
              <w:pStyle w:val="NoSpacing"/>
              <w:rPr>
                <w:rFonts w:ascii="Arial" w:hAnsi="Arial" w:cs="Arial"/>
                <w:b/>
                <w:bCs/>
                <w:sz w:val="20"/>
                <w:szCs w:val="20"/>
                <w:lang w:eastAsia="en-GB"/>
              </w:rPr>
            </w:pPr>
            <w:r w:rsidRPr="000658BC">
              <w:rPr>
                <w:rFonts w:ascii="Arial" w:hAnsi="Arial" w:cs="Arial"/>
                <w:b/>
                <w:bCs/>
                <w:sz w:val="20"/>
                <w:szCs w:val="20"/>
                <w:lang w:eastAsia="en-GB"/>
              </w:rPr>
              <w:t>Median absolute R-L difference, mm²</w:t>
            </w:r>
          </w:p>
        </w:tc>
      </w:tr>
      <w:tr w:rsidRPr="000658BC" w:rsidR="00E0414B" w:rsidTr="35ECD7D9" w14:paraId="0ED05CE1" w14:textId="77777777">
        <w:tc>
          <w:tcPr>
            <w:tcW w:w="1384" w:type="dxa"/>
            <w:tcBorders>
              <w:top w:val="single" w:color="000000" w:themeColor="text1" w:sz="12"/>
            </w:tcBorders>
            <w:tcMar/>
            <w:vAlign w:val="center"/>
            <w:hideMark/>
          </w:tcPr>
          <w:p w:rsidRPr="000658BC" w:rsidR="00E0414B" w:rsidP="00412FA7" w:rsidRDefault="71172D30" w14:paraId="50842660" w14:textId="7447704E">
            <w:pPr>
              <w:pStyle w:val="NoSpacing"/>
              <w:rPr>
                <w:rFonts w:ascii="Arial" w:hAnsi="Arial" w:cs="Arial"/>
                <w:sz w:val="20"/>
                <w:szCs w:val="20"/>
                <w:lang w:eastAsia="en-GB"/>
              </w:rPr>
            </w:pPr>
            <w:r w:rsidRPr="35ECD7D9" w:rsidR="2A46EE3B">
              <w:rPr>
                <w:rFonts w:ascii="Arial" w:hAnsi="Arial" w:cs="Arial"/>
                <w:sz w:val="20"/>
                <w:szCs w:val="20"/>
                <w:lang w:eastAsia="en-GB"/>
              </w:rPr>
              <w:t>EZ-IZ thickness</w:t>
            </w:r>
            <w:r w:rsidRPr="35ECD7D9" w:rsidR="39878BE0">
              <w:rPr>
                <w:rFonts w:ascii="Arial" w:hAnsi="Arial" w:cs="Arial"/>
                <w:sz w:val="20"/>
                <w:szCs w:val="20"/>
                <w:lang w:eastAsia="en-GB"/>
              </w:rPr>
              <w:t xml:space="preserve"> ≤20 µm</w:t>
            </w:r>
          </w:p>
        </w:tc>
        <w:tc>
          <w:tcPr>
            <w:tcW w:w="851" w:type="dxa"/>
            <w:tcBorders>
              <w:top w:val="single" w:color="000000" w:themeColor="text1" w:sz="12"/>
            </w:tcBorders>
            <w:tcMar/>
            <w:vAlign w:val="center"/>
            <w:hideMark/>
          </w:tcPr>
          <w:p w:rsidRPr="000658BC" w:rsidR="00E0414B" w:rsidP="00412FA7" w:rsidRDefault="71172D30" w14:paraId="78C10B63" w14:textId="77777777">
            <w:pPr>
              <w:pStyle w:val="NoSpacing"/>
              <w:rPr>
                <w:rFonts w:ascii="Arial" w:hAnsi="Arial" w:cs="Arial"/>
                <w:sz w:val="20"/>
                <w:szCs w:val="20"/>
                <w:lang w:eastAsia="en-GB"/>
              </w:rPr>
            </w:pPr>
            <w:r w:rsidRPr="000658BC">
              <w:rPr>
                <w:rFonts w:ascii="Arial" w:hAnsi="Arial" w:cs="Arial"/>
                <w:sz w:val="20"/>
                <w:szCs w:val="20"/>
                <w:lang w:eastAsia="en-GB"/>
              </w:rPr>
              <w:t>1</w:t>
            </w:r>
          </w:p>
        </w:tc>
        <w:tc>
          <w:tcPr>
            <w:tcW w:w="1155" w:type="dxa"/>
            <w:tcBorders>
              <w:top w:val="single" w:color="000000" w:themeColor="text1" w:sz="12"/>
            </w:tcBorders>
            <w:tcMar/>
            <w:vAlign w:val="center"/>
            <w:hideMark/>
          </w:tcPr>
          <w:p w:rsidRPr="000658BC" w:rsidR="00E0414B" w:rsidP="00412FA7" w:rsidRDefault="71172D30" w14:paraId="20DEBEFE" w14:textId="77777777">
            <w:pPr>
              <w:pStyle w:val="NoSpacing"/>
              <w:rPr>
                <w:rFonts w:ascii="Arial" w:hAnsi="Arial" w:cs="Arial"/>
                <w:sz w:val="20"/>
                <w:szCs w:val="20"/>
                <w:lang w:eastAsia="en-GB"/>
              </w:rPr>
            </w:pPr>
            <w:r w:rsidRPr="000658BC">
              <w:rPr>
                <w:rFonts w:ascii="Arial" w:hAnsi="Arial" w:cs="Arial"/>
                <w:sz w:val="20"/>
                <w:szCs w:val="20"/>
                <w:lang w:eastAsia="en-GB"/>
              </w:rPr>
              <w:t>Not estimable</w:t>
            </w:r>
          </w:p>
        </w:tc>
        <w:tc>
          <w:tcPr>
            <w:tcW w:w="0" w:type="auto"/>
            <w:tcBorders>
              <w:top w:val="single" w:color="000000" w:themeColor="text1" w:sz="12"/>
            </w:tcBorders>
            <w:tcMar/>
            <w:vAlign w:val="center"/>
            <w:hideMark/>
          </w:tcPr>
          <w:p w:rsidRPr="000658BC" w:rsidR="00E0414B" w:rsidP="00412FA7" w:rsidRDefault="71172D30" w14:paraId="1C51CAA7" w14:textId="77777777">
            <w:pPr>
              <w:pStyle w:val="NoSpacing"/>
              <w:rPr>
                <w:rFonts w:ascii="Arial" w:hAnsi="Arial" w:cs="Arial"/>
                <w:sz w:val="20"/>
                <w:szCs w:val="20"/>
                <w:lang w:eastAsia="en-GB"/>
              </w:rPr>
            </w:pPr>
            <w:r w:rsidRPr="000658BC">
              <w:rPr>
                <w:rFonts w:ascii="Arial" w:hAnsi="Arial" w:cs="Arial"/>
                <w:sz w:val="20"/>
                <w:szCs w:val="20"/>
                <w:lang w:eastAsia="en-GB"/>
              </w:rPr>
              <w:t>Not estimable</w:t>
            </w:r>
          </w:p>
        </w:tc>
        <w:tc>
          <w:tcPr>
            <w:tcW w:w="0" w:type="auto"/>
            <w:tcBorders>
              <w:top w:val="single" w:color="000000" w:themeColor="text1" w:sz="12"/>
            </w:tcBorders>
            <w:tcMar/>
            <w:vAlign w:val="center"/>
            <w:hideMark/>
          </w:tcPr>
          <w:p w:rsidRPr="000658BC" w:rsidR="00E0414B" w:rsidP="00412FA7" w:rsidRDefault="71172D30" w14:paraId="08D81AE0" w14:textId="77777777">
            <w:pPr>
              <w:pStyle w:val="NoSpacing"/>
              <w:rPr>
                <w:rFonts w:ascii="Arial" w:hAnsi="Arial" w:cs="Arial"/>
                <w:sz w:val="20"/>
                <w:szCs w:val="20"/>
                <w:lang w:eastAsia="en-GB"/>
              </w:rPr>
            </w:pPr>
            <w:r w:rsidRPr="000658BC">
              <w:rPr>
                <w:rFonts w:ascii="Arial" w:hAnsi="Arial" w:cs="Arial"/>
                <w:sz w:val="20"/>
                <w:szCs w:val="20"/>
                <w:lang w:eastAsia="en-GB"/>
              </w:rPr>
              <w:t>Not estimable</w:t>
            </w:r>
          </w:p>
        </w:tc>
        <w:tc>
          <w:tcPr>
            <w:tcW w:w="0" w:type="auto"/>
            <w:tcBorders>
              <w:top w:val="single" w:color="000000" w:themeColor="text1" w:sz="12"/>
            </w:tcBorders>
            <w:tcMar/>
            <w:vAlign w:val="center"/>
            <w:hideMark/>
          </w:tcPr>
          <w:p w:rsidRPr="000658BC" w:rsidR="00E0414B" w:rsidP="00412FA7" w:rsidRDefault="71172D30" w14:paraId="658BAB4F" w14:textId="77777777">
            <w:pPr>
              <w:pStyle w:val="NoSpacing"/>
              <w:rPr>
                <w:rFonts w:ascii="Arial" w:hAnsi="Arial" w:cs="Arial"/>
                <w:sz w:val="20"/>
                <w:szCs w:val="20"/>
                <w:lang w:eastAsia="en-GB"/>
              </w:rPr>
            </w:pPr>
            <w:r w:rsidRPr="000658BC">
              <w:rPr>
                <w:rFonts w:ascii="Arial" w:hAnsi="Arial" w:cs="Arial"/>
                <w:sz w:val="20"/>
                <w:szCs w:val="20"/>
                <w:lang w:eastAsia="en-GB"/>
              </w:rPr>
              <w:t>0.018</w:t>
            </w:r>
          </w:p>
        </w:tc>
        <w:tc>
          <w:tcPr>
            <w:tcW w:w="0" w:type="auto"/>
            <w:tcBorders>
              <w:top w:val="single" w:color="000000" w:themeColor="text1" w:sz="12"/>
            </w:tcBorders>
            <w:tcMar/>
            <w:vAlign w:val="center"/>
            <w:hideMark/>
          </w:tcPr>
          <w:p w:rsidRPr="000658BC" w:rsidR="00E0414B" w:rsidP="00412FA7" w:rsidRDefault="71172D30" w14:paraId="3A37EEC9" w14:textId="77777777">
            <w:pPr>
              <w:pStyle w:val="NoSpacing"/>
              <w:rPr>
                <w:rFonts w:ascii="Arial" w:hAnsi="Arial" w:cs="Arial"/>
                <w:sz w:val="20"/>
                <w:szCs w:val="20"/>
                <w:lang w:eastAsia="en-GB"/>
              </w:rPr>
            </w:pPr>
            <w:r w:rsidRPr="000658BC">
              <w:rPr>
                <w:rFonts w:ascii="Arial" w:hAnsi="Arial" w:cs="Arial"/>
                <w:sz w:val="20"/>
                <w:szCs w:val="20"/>
                <w:lang w:eastAsia="en-GB"/>
              </w:rPr>
              <w:t>0.018</w:t>
            </w:r>
          </w:p>
        </w:tc>
      </w:tr>
      <w:tr w:rsidRPr="000658BC" w:rsidR="00E0414B" w:rsidTr="35ECD7D9" w14:paraId="74118D3F" w14:textId="77777777">
        <w:tc>
          <w:tcPr>
            <w:tcW w:w="1384" w:type="dxa"/>
            <w:tcMar/>
            <w:vAlign w:val="center"/>
            <w:hideMark/>
          </w:tcPr>
          <w:p w:rsidRPr="000658BC" w:rsidR="00E0414B" w:rsidP="00412FA7" w:rsidRDefault="71172D30" w14:paraId="6A87DEA1" w14:textId="77777777">
            <w:pPr>
              <w:pStyle w:val="NoSpacing"/>
              <w:rPr>
                <w:rFonts w:ascii="Arial" w:hAnsi="Arial" w:cs="Arial"/>
                <w:sz w:val="20"/>
                <w:szCs w:val="20"/>
                <w:lang w:eastAsia="en-GB"/>
              </w:rPr>
            </w:pPr>
            <w:r w:rsidRPr="000658BC">
              <w:rPr>
                <w:rFonts w:ascii="Arial" w:hAnsi="Arial" w:cs="Arial"/>
                <w:sz w:val="20"/>
                <w:szCs w:val="20"/>
                <w:lang w:eastAsia="en-GB"/>
              </w:rPr>
              <w:t>EZ-loss width ≥125 µm</w:t>
            </w:r>
          </w:p>
        </w:tc>
        <w:tc>
          <w:tcPr>
            <w:tcW w:w="851" w:type="dxa"/>
            <w:tcMar/>
            <w:vAlign w:val="center"/>
            <w:hideMark/>
          </w:tcPr>
          <w:p w:rsidRPr="000658BC" w:rsidR="00E0414B" w:rsidP="00412FA7" w:rsidRDefault="71172D30" w14:paraId="7974BDD9" w14:textId="77777777">
            <w:pPr>
              <w:pStyle w:val="NoSpacing"/>
              <w:rPr>
                <w:rFonts w:ascii="Arial" w:hAnsi="Arial" w:cs="Arial"/>
                <w:sz w:val="20"/>
                <w:szCs w:val="20"/>
                <w:lang w:eastAsia="en-GB"/>
              </w:rPr>
            </w:pPr>
            <w:r w:rsidRPr="000658BC">
              <w:rPr>
                <w:rFonts w:ascii="Arial" w:hAnsi="Arial" w:cs="Arial"/>
                <w:sz w:val="20"/>
                <w:szCs w:val="20"/>
                <w:lang w:eastAsia="en-GB"/>
              </w:rPr>
              <w:t>98</w:t>
            </w:r>
          </w:p>
        </w:tc>
        <w:tc>
          <w:tcPr>
            <w:tcW w:w="1155" w:type="dxa"/>
            <w:tcMar/>
            <w:vAlign w:val="center"/>
            <w:hideMark/>
          </w:tcPr>
          <w:p w:rsidRPr="000658BC" w:rsidR="00E0414B" w:rsidP="00412FA7" w:rsidRDefault="71172D30" w14:paraId="0EA4153D" w14:textId="77777777">
            <w:pPr>
              <w:pStyle w:val="NoSpacing"/>
              <w:rPr>
                <w:rFonts w:ascii="Arial" w:hAnsi="Arial" w:cs="Arial"/>
                <w:sz w:val="20"/>
                <w:szCs w:val="20"/>
                <w:lang w:eastAsia="en-GB"/>
              </w:rPr>
            </w:pPr>
            <w:r w:rsidRPr="000658BC">
              <w:rPr>
                <w:rFonts w:ascii="Arial" w:hAnsi="Arial" w:cs="Arial"/>
                <w:sz w:val="20"/>
                <w:szCs w:val="20"/>
                <w:lang w:eastAsia="en-GB"/>
              </w:rPr>
              <w:t>0.613 (&lt;0.001)</w:t>
            </w:r>
          </w:p>
        </w:tc>
        <w:tc>
          <w:tcPr>
            <w:tcW w:w="0" w:type="auto"/>
            <w:tcMar/>
            <w:vAlign w:val="center"/>
            <w:hideMark/>
          </w:tcPr>
          <w:p w:rsidRPr="000658BC" w:rsidR="00E0414B" w:rsidP="00412FA7" w:rsidRDefault="71172D30" w14:paraId="47CF6BC0" w14:textId="77777777">
            <w:pPr>
              <w:pStyle w:val="NoSpacing"/>
              <w:rPr>
                <w:rFonts w:ascii="Arial" w:hAnsi="Arial" w:cs="Arial"/>
                <w:sz w:val="20"/>
                <w:szCs w:val="20"/>
                <w:lang w:eastAsia="en-GB"/>
              </w:rPr>
            </w:pPr>
            <w:r w:rsidRPr="000658BC">
              <w:rPr>
                <w:rFonts w:ascii="Arial" w:hAnsi="Arial" w:cs="Arial"/>
                <w:sz w:val="20"/>
                <w:szCs w:val="20"/>
                <w:lang w:eastAsia="en-GB"/>
              </w:rPr>
              <w:t>0.429 (&lt;0.001)</w:t>
            </w:r>
          </w:p>
        </w:tc>
        <w:tc>
          <w:tcPr>
            <w:tcW w:w="0" w:type="auto"/>
            <w:tcMar/>
            <w:vAlign w:val="center"/>
            <w:hideMark/>
          </w:tcPr>
          <w:p w:rsidRPr="000658BC" w:rsidR="00E0414B" w:rsidP="00412FA7" w:rsidRDefault="71172D30" w14:paraId="7B656D21" w14:textId="77777777">
            <w:pPr>
              <w:pStyle w:val="NoSpacing"/>
              <w:rPr>
                <w:rFonts w:ascii="Arial" w:hAnsi="Arial" w:cs="Arial"/>
                <w:sz w:val="20"/>
                <w:szCs w:val="20"/>
                <w:lang w:eastAsia="en-GB"/>
              </w:rPr>
            </w:pPr>
            <w:r w:rsidRPr="000658BC">
              <w:rPr>
                <w:rFonts w:ascii="Arial" w:hAnsi="Arial" w:cs="Arial"/>
                <w:sz w:val="20"/>
                <w:szCs w:val="20"/>
                <w:lang w:eastAsia="en-GB"/>
              </w:rPr>
              <w:t>0.615</w:t>
            </w:r>
          </w:p>
        </w:tc>
        <w:tc>
          <w:tcPr>
            <w:tcW w:w="0" w:type="auto"/>
            <w:tcMar/>
            <w:vAlign w:val="center"/>
            <w:hideMark/>
          </w:tcPr>
          <w:p w:rsidRPr="000658BC" w:rsidR="00E0414B" w:rsidP="00412FA7" w:rsidRDefault="71172D30" w14:paraId="7D1876A8" w14:textId="77777777">
            <w:pPr>
              <w:pStyle w:val="NoSpacing"/>
              <w:rPr>
                <w:rFonts w:ascii="Arial" w:hAnsi="Arial" w:cs="Arial"/>
                <w:sz w:val="20"/>
                <w:szCs w:val="20"/>
                <w:lang w:eastAsia="en-GB"/>
              </w:rPr>
            </w:pPr>
            <w:r w:rsidRPr="000658BC">
              <w:rPr>
                <w:rFonts w:ascii="Arial" w:hAnsi="Arial" w:cs="Arial"/>
                <w:sz w:val="20"/>
                <w:szCs w:val="20"/>
                <w:lang w:eastAsia="en-GB"/>
              </w:rPr>
              <w:t>5.337</w:t>
            </w:r>
          </w:p>
        </w:tc>
        <w:tc>
          <w:tcPr>
            <w:tcW w:w="0" w:type="auto"/>
            <w:tcMar/>
            <w:vAlign w:val="center"/>
            <w:hideMark/>
          </w:tcPr>
          <w:p w:rsidRPr="000658BC" w:rsidR="00E0414B" w:rsidP="00412FA7" w:rsidRDefault="71172D30" w14:paraId="2E8D0BFC" w14:textId="77777777">
            <w:pPr>
              <w:pStyle w:val="NoSpacing"/>
              <w:rPr>
                <w:rFonts w:ascii="Arial" w:hAnsi="Arial" w:cs="Arial"/>
                <w:sz w:val="20"/>
                <w:szCs w:val="20"/>
                <w:lang w:eastAsia="en-GB"/>
              </w:rPr>
            </w:pPr>
            <w:r w:rsidRPr="000658BC">
              <w:rPr>
                <w:rFonts w:ascii="Arial" w:hAnsi="Arial" w:cs="Arial"/>
                <w:sz w:val="20"/>
                <w:szCs w:val="20"/>
                <w:lang w:eastAsia="en-GB"/>
              </w:rPr>
              <w:t>2.253</w:t>
            </w:r>
          </w:p>
        </w:tc>
      </w:tr>
      <w:tr w:rsidRPr="000658BC" w:rsidR="00E0414B" w:rsidTr="35ECD7D9" w14:paraId="6B2F5386" w14:textId="77777777">
        <w:tc>
          <w:tcPr>
            <w:tcW w:w="1384" w:type="dxa"/>
            <w:tcMar/>
            <w:vAlign w:val="center"/>
            <w:hideMark/>
          </w:tcPr>
          <w:p w:rsidRPr="000658BC" w:rsidR="00E0414B" w:rsidP="00412FA7" w:rsidRDefault="71172D30" w14:paraId="6064ADC2" w14:textId="77777777">
            <w:pPr>
              <w:pStyle w:val="NoSpacing"/>
              <w:rPr>
                <w:rFonts w:ascii="Arial" w:hAnsi="Arial" w:cs="Arial"/>
                <w:sz w:val="20"/>
                <w:szCs w:val="20"/>
                <w:lang w:eastAsia="en-GB"/>
              </w:rPr>
            </w:pPr>
            <w:r w:rsidRPr="000658BC">
              <w:rPr>
                <w:rFonts w:ascii="Arial" w:hAnsi="Arial" w:cs="Arial"/>
                <w:sz w:val="20"/>
                <w:szCs w:val="20"/>
                <w:lang w:eastAsia="en-GB"/>
              </w:rPr>
              <w:t>EZ-loss width ≥250 µm</w:t>
            </w:r>
          </w:p>
        </w:tc>
        <w:tc>
          <w:tcPr>
            <w:tcW w:w="851" w:type="dxa"/>
            <w:tcMar/>
            <w:vAlign w:val="center"/>
            <w:hideMark/>
          </w:tcPr>
          <w:p w:rsidRPr="000658BC" w:rsidR="00E0414B" w:rsidP="00412FA7" w:rsidRDefault="71172D30" w14:paraId="116ADFB2" w14:textId="77777777">
            <w:pPr>
              <w:pStyle w:val="NoSpacing"/>
              <w:rPr>
                <w:rFonts w:ascii="Arial" w:hAnsi="Arial" w:cs="Arial"/>
                <w:sz w:val="20"/>
                <w:szCs w:val="20"/>
                <w:lang w:eastAsia="en-GB"/>
              </w:rPr>
            </w:pPr>
            <w:r w:rsidRPr="000658BC">
              <w:rPr>
                <w:rFonts w:ascii="Arial" w:hAnsi="Arial" w:cs="Arial"/>
                <w:sz w:val="20"/>
                <w:szCs w:val="20"/>
                <w:lang w:eastAsia="en-GB"/>
              </w:rPr>
              <w:t>98</w:t>
            </w:r>
          </w:p>
        </w:tc>
        <w:tc>
          <w:tcPr>
            <w:tcW w:w="1155" w:type="dxa"/>
            <w:tcMar/>
            <w:vAlign w:val="center"/>
            <w:hideMark/>
          </w:tcPr>
          <w:p w:rsidRPr="000658BC" w:rsidR="00E0414B" w:rsidP="00412FA7" w:rsidRDefault="71172D30" w14:paraId="4C145893" w14:textId="77777777">
            <w:pPr>
              <w:pStyle w:val="NoSpacing"/>
              <w:rPr>
                <w:rFonts w:ascii="Arial" w:hAnsi="Arial" w:cs="Arial"/>
                <w:sz w:val="20"/>
                <w:szCs w:val="20"/>
                <w:lang w:eastAsia="en-GB"/>
              </w:rPr>
            </w:pPr>
            <w:r w:rsidRPr="000658BC">
              <w:rPr>
                <w:rFonts w:ascii="Arial" w:hAnsi="Arial" w:cs="Arial"/>
                <w:sz w:val="20"/>
                <w:szCs w:val="20"/>
                <w:lang w:eastAsia="en-GB"/>
              </w:rPr>
              <w:t>0.597 (&lt;0.001)</w:t>
            </w:r>
          </w:p>
        </w:tc>
        <w:tc>
          <w:tcPr>
            <w:tcW w:w="0" w:type="auto"/>
            <w:tcMar/>
            <w:vAlign w:val="center"/>
            <w:hideMark/>
          </w:tcPr>
          <w:p w:rsidRPr="000658BC" w:rsidR="00E0414B" w:rsidP="00412FA7" w:rsidRDefault="71172D30" w14:paraId="4396DFFC" w14:textId="77777777">
            <w:pPr>
              <w:pStyle w:val="NoSpacing"/>
              <w:rPr>
                <w:rFonts w:ascii="Arial" w:hAnsi="Arial" w:cs="Arial"/>
                <w:sz w:val="20"/>
                <w:szCs w:val="20"/>
                <w:lang w:eastAsia="en-GB"/>
              </w:rPr>
            </w:pPr>
            <w:r w:rsidRPr="000658BC">
              <w:rPr>
                <w:rFonts w:ascii="Arial" w:hAnsi="Arial" w:cs="Arial"/>
                <w:sz w:val="20"/>
                <w:szCs w:val="20"/>
                <w:lang w:eastAsia="en-GB"/>
              </w:rPr>
              <w:t>0.413 (&lt;0.001)</w:t>
            </w:r>
          </w:p>
        </w:tc>
        <w:tc>
          <w:tcPr>
            <w:tcW w:w="0" w:type="auto"/>
            <w:tcMar/>
            <w:vAlign w:val="center"/>
            <w:hideMark/>
          </w:tcPr>
          <w:p w:rsidRPr="000658BC" w:rsidR="00E0414B" w:rsidP="00412FA7" w:rsidRDefault="71172D30" w14:paraId="0E1BA58F" w14:textId="77777777">
            <w:pPr>
              <w:pStyle w:val="NoSpacing"/>
              <w:rPr>
                <w:rFonts w:ascii="Arial" w:hAnsi="Arial" w:cs="Arial"/>
                <w:sz w:val="20"/>
                <w:szCs w:val="20"/>
                <w:lang w:eastAsia="en-GB"/>
              </w:rPr>
            </w:pPr>
            <w:r w:rsidRPr="000658BC">
              <w:rPr>
                <w:rFonts w:ascii="Arial" w:hAnsi="Arial" w:cs="Arial"/>
                <w:sz w:val="20"/>
                <w:szCs w:val="20"/>
                <w:lang w:eastAsia="en-GB"/>
              </w:rPr>
              <w:t>0.599</w:t>
            </w:r>
          </w:p>
        </w:tc>
        <w:tc>
          <w:tcPr>
            <w:tcW w:w="0" w:type="auto"/>
            <w:tcMar/>
            <w:vAlign w:val="center"/>
            <w:hideMark/>
          </w:tcPr>
          <w:p w:rsidRPr="000658BC" w:rsidR="00E0414B" w:rsidP="00412FA7" w:rsidRDefault="71172D30" w14:paraId="55AB1EB6" w14:textId="77777777">
            <w:pPr>
              <w:pStyle w:val="NoSpacing"/>
              <w:rPr>
                <w:rFonts w:ascii="Arial" w:hAnsi="Arial" w:cs="Arial"/>
                <w:sz w:val="20"/>
                <w:szCs w:val="20"/>
                <w:lang w:eastAsia="en-GB"/>
              </w:rPr>
            </w:pPr>
            <w:r w:rsidRPr="000658BC">
              <w:rPr>
                <w:rFonts w:ascii="Arial" w:hAnsi="Arial" w:cs="Arial"/>
                <w:sz w:val="20"/>
                <w:szCs w:val="20"/>
                <w:lang w:eastAsia="en-GB"/>
              </w:rPr>
              <w:t>5.300</w:t>
            </w:r>
          </w:p>
        </w:tc>
        <w:tc>
          <w:tcPr>
            <w:tcW w:w="0" w:type="auto"/>
            <w:tcMar/>
            <w:vAlign w:val="center"/>
            <w:hideMark/>
          </w:tcPr>
          <w:p w:rsidRPr="000658BC" w:rsidR="00E0414B" w:rsidP="00412FA7" w:rsidRDefault="71172D30" w14:paraId="20C61C10" w14:textId="77777777">
            <w:pPr>
              <w:pStyle w:val="NoSpacing"/>
              <w:rPr>
                <w:rFonts w:ascii="Arial" w:hAnsi="Arial" w:cs="Arial"/>
                <w:sz w:val="20"/>
                <w:szCs w:val="20"/>
                <w:lang w:eastAsia="en-GB"/>
              </w:rPr>
            </w:pPr>
            <w:r w:rsidRPr="000658BC">
              <w:rPr>
                <w:rFonts w:ascii="Arial" w:hAnsi="Arial" w:cs="Arial"/>
                <w:sz w:val="20"/>
                <w:szCs w:val="20"/>
                <w:lang w:eastAsia="en-GB"/>
              </w:rPr>
              <w:t>2.246</w:t>
            </w:r>
          </w:p>
        </w:tc>
      </w:tr>
      <w:tr w:rsidRPr="000658BC" w:rsidR="00E0414B" w:rsidTr="35ECD7D9" w14:paraId="5AEB356C" w14:textId="77777777">
        <w:tc>
          <w:tcPr>
            <w:tcW w:w="1384" w:type="dxa"/>
            <w:tcMar/>
            <w:vAlign w:val="center"/>
            <w:hideMark/>
          </w:tcPr>
          <w:p w:rsidRPr="000658BC" w:rsidR="00E0414B" w:rsidP="00412FA7" w:rsidRDefault="71172D30" w14:paraId="11A420FC" w14:textId="77777777">
            <w:pPr>
              <w:pStyle w:val="NoSpacing"/>
              <w:rPr>
                <w:rFonts w:ascii="Arial" w:hAnsi="Arial" w:cs="Arial"/>
                <w:sz w:val="20"/>
                <w:szCs w:val="20"/>
                <w:lang w:eastAsia="en-GB"/>
              </w:rPr>
            </w:pPr>
            <w:r w:rsidRPr="000658BC">
              <w:rPr>
                <w:rFonts w:ascii="Arial" w:hAnsi="Arial" w:cs="Arial"/>
                <w:sz w:val="20"/>
                <w:szCs w:val="20"/>
                <w:lang w:eastAsia="en-GB"/>
              </w:rPr>
              <w:t>EZ thickness ≤1 pixel</w:t>
            </w:r>
          </w:p>
        </w:tc>
        <w:tc>
          <w:tcPr>
            <w:tcW w:w="851" w:type="dxa"/>
            <w:tcMar/>
            <w:vAlign w:val="center"/>
            <w:hideMark/>
          </w:tcPr>
          <w:p w:rsidRPr="000658BC" w:rsidR="00E0414B" w:rsidP="00412FA7" w:rsidRDefault="71172D30" w14:paraId="60922D33" w14:textId="77777777">
            <w:pPr>
              <w:pStyle w:val="NoSpacing"/>
              <w:rPr>
                <w:rFonts w:ascii="Arial" w:hAnsi="Arial" w:cs="Arial"/>
                <w:sz w:val="20"/>
                <w:szCs w:val="20"/>
                <w:lang w:eastAsia="en-GB"/>
              </w:rPr>
            </w:pPr>
            <w:r w:rsidRPr="000658BC">
              <w:rPr>
                <w:rFonts w:ascii="Arial" w:hAnsi="Arial" w:cs="Arial"/>
                <w:sz w:val="20"/>
                <w:szCs w:val="20"/>
                <w:lang w:eastAsia="en-GB"/>
              </w:rPr>
              <w:t>100</w:t>
            </w:r>
          </w:p>
        </w:tc>
        <w:tc>
          <w:tcPr>
            <w:tcW w:w="1155" w:type="dxa"/>
            <w:tcMar/>
            <w:vAlign w:val="center"/>
            <w:hideMark/>
          </w:tcPr>
          <w:p w:rsidRPr="000658BC" w:rsidR="00E0414B" w:rsidP="00412FA7" w:rsidRDefault="71172D30" w14:paraId="62DCEC92" w14:textId="77777777">
            <w:pPr>
              <w:pStyle w:val="NoSpacing"/>
              <w:rPr>
                <w:rFonts w:ascii="Arial" w:hAnsi="Arial" w:cs="Arial"/>
                <w:sz w:val="20"/>
                <w:szCs w:val="20"/>
                <w:lang w:eastAsia="en-GB"/>
              </w:rPr>
            </w:pPr>
            <w:r w:rsidRPr="000658BC">
              <w:rPr>
                <w:rFonts w:ascii="Arial" w:hAnsi="Arial" w:cs="Arial"/>
                <w:sz w:val="20"/>
                <w:szCs w:val="20"/>
                <w:lang w:eastAsia="en-GB"/>
              </w:rPr>
              <w:t>0.635 (&lt;0.001)</w:t>
            </w:r>
          </w:p>
        </w:tc>
        <w:tc>
          <w:tcPr>
            <w:tcW w:w="0" w:type="auto"/>
            <w:tcMar/>
            <w:vAlign w:val="center"/>
            <w:hideMark/>
          </w:tcPr>
          <w:p w:rsidRPr="000658BC" w:rsidR="00E0414B" w:rsidP="00412FA7" w:rsidRDefault="71172D30" w14:paraId="506C7E38" w14:textId="77777777">
            <w:pPr>
              <w:pStyle w:val="NoSpacing"/>
              <w:rPr>
                <w:rFonts w:ascii="Arial" w:hAnsi="Arial" w:cs="Arial"/>
                <w:sz w:val="20"/>
                <w:szCs w:val="20"/>
                <w:lang w:eastAsia="en-GB"/>
              </w:rPr>
            </w:pPr>
            <w:r w:rsidRPr="000658BC">
              <w:rPr>
                <w:rFonts w:ascii="Arial" w:hAnsi="Arial" w:cs="Arial"/>
                <w:sz w:val="20"/>
                <w:szCs w:val="20"/>
                <w:lang w:eastAsia="en-GB"/>
              </w:rPr>
              <w:t>0.447 (&lt;0.001)</w:t>
            </w:r>
          </w:p>
        </w:tc>
        <w:tc>
          <w:tcPr>
            <w:tcW w:w="0" w:type="auto"/>
            <w:tcMar/>
            <w:vAlign w:val="center"/>
            <w:hideMark/>
          </w:tcPr>
          <w:p w:rsidRPr="000658BC" w:rsidR="00E0414B" w:rsidP="00412FA7" w:rsidRDefault="71172D30" w14:paraId="6D331ABC" w14:textId="77777777">
            <w:pPr>
              <w:pStyle w:val="NoSpacing"/>
              <w:rPr>
                <w:rFonts w:ascii="Arial" w:hAnsi="Arial" w:cs="Arial"/>
                <w:sz w:val="20"/>
                <w:szCs w:val="20"/>
                <w:lang w:eastAsia="en-GB"/>
              </w:rPr>
            </w:pPr>
            <w:r w:rsidRPr="000658BC">
              <w:rPr>
                <w:rFonts w:ascii="Arial" w:hAnsi="Arial" w:cs="Arial"/>
                <w:sz w:val="20"/>
                <w:szCs w:val="20"/>
                <w:lang w:eastAsia="en-GB"/>
              </w:rPr>
              <w:t>0.637</w:t>
            </w:r>
          </w:p>
        </w:tc>
        <w:tc>
          <w:tcPr>
            <w:tcW w:w="0" w:type="auto"/>
            <w:tcMar/>
            <w:vAlign w:val="center"/>
            <w:hideMark/>
          </w:tcPr>
          <w:p w:rsidRPr="000658BC" w:rsidR="00E0414B" w:rsidP="00412FA7" w:rsidRDefault="71172D30" w14:paraId="5C9589D1" w14:textId="77777777">
            <w:pPr>
              <w:pStyle w:val="NoSpacing"/>
              <w:rPr>
                <w:rFonts w:ascii="Arial" w:hAnsi="Arial" w:cs="Arial"/>
                <w:sz w:val="20"/>
                <w:szCs w:val="20"/>
                <w:lang w:eastAsia="en-GB"/>
              </w:rPr>
            </w:pPr>
            <w:r w:rsidRPr="000658BC">
              <w:rPr>
                <w:rFonts w:ascii="Arial" w:hAnsi="Arial" w:cs="Arial"/>
                <w:sz w:val="20"/>
                <w:szCs w:val="20"/>
                <w:lang w:eastAsia="en-GB"/>
              </w:rPr>
              <w:t>5.345</w:t>
            </w:r>
          </w:p>
        </w:tc>
        <w:tc>
          <w:tcPr>
            <w:tcW w:w="0" w:type="auto"/>
            <w:tcMar/>
            <w:vAlign w:val="center"/>
            <w:hideMark/>
          </w:tcPr>
          <w:p w:rsidRPr="000658BC" w:rsidR="00E0414B" w:rsidP="00412FA7" w:rsidRDefault="71172D30" w14:paraId="6FD509F0" w14:textId="77777777">
            <w:pPr>
              <w:pStyle w:val="NoSpacing"/>
              <w:rPr>
                <w:rFonts w:ascii="Arial" w:hAnsi="Arial" w:cs="Arial"/>
                <w:sz w:val="20"/>
                <w:szCs w:val="20"/>
                <w:lang w:eastAsia="en-GB"/>
              </w:rPr>
            </w:pPr>
            <w:r w:rsidRPr="000658BC">
              <w:rPr>
                <w:rFonts w:ascii="Arial" w:hAnsi="Arial" w:cs="Arial"/>
                <w:sz w:val="20"/>
                <w:szCs w:val="20"/>
                <w:lang w:eastAsia="en-GB"/>
              </w:rPr>
              <w:t>2.104</w:t>
            </w:r>
          </w:p>
        </w:tc>
      </w:tr>
      <w:tr w:rsidRPr="000658BC" w:rsidR="00E0414B" w:rsidTr="35ECD7D9" w14:paraId="57F4A41E" w14:textId="77777777">
        <w:tc>
          <w:tcPr>
            <w:tcW w:w="1384" w:type="dxa"/>
            <w:tcBorders>
              <w:bottom w:val="single" w:color="000000" w:themeColor="text1" w:sz="12"/>
            </w:tcBorders>
            <w:tcMar/>
            <w:vAlign w:val="center"/>
            <w:hideMark/>
          </w:tcPr>
          <w:p w:rsidRPr="000658BC" w:rsidR="00E0414B" w:rsidP="00412FA7" w:rsidRDefault="71172D30" w14:paraId="0C6D4608" w14:textId="77777777">
            <w:pPr>
              <w:pStyle w:val="NoSpacing"/>
              <w:rPr>
                <w:rFonts w:ascii="Arial" w:hAnsi="Arial" w:cs="Arial"/>
                <w:sz w:val="20"/>
                <w:szCs w:val="20"/>
                <w:lang w:eastAsia="en-GB"/>
              </w:rPr>
            </w:pPr>
            <w:r w:rsidRPr="000658BC">
              <w:rPr>
                <w:rFonts w:ascii="Arial" w:hAnsi="Arial" w:cs="Arial"/>
                <w:sz w:val="20"/>
                <w:szCs w:val="20"/>
                <w:lang w:eastAsia="en-GB"/>
              </w:rPr>
              <w:t>EZ thickness ≤2 pixels</w:t>
            </w:r>
          </w:p>
        </w:tc>
        <w:tc>
          <w:tcPr>
            <w:tcW w:w="851" w:type="dxa"/>
            <w:tcBorders>
              <w:bottom w:val="single" w:color="000000" w:themeColor="text1" w:sz="12"/>
            </w:tcBorders>
            <w:tcMar/>
            <w:vAlign w:val="center"/>
            <w:hideMark/>
          </w:tcPr>
          <w:p w:rsidRPr="000658BC" w:rsidR="00E0414B" w:rsidP="00412FA7" w:rsidRDefault="71172D30" w14:paraId="5724538F" w14:textId="77777777">
            <w:pPr>
              <w:pStyle w:val="NoSpacing"/>
              <w:rPr>
                <w:rFonts w:ascii="Arial" w:hAnsi="Arial" w:cs="Arial"/>
                <w:sz w:val="20"/>
                <w:szCs w:val="20"/>
                <w:lang w:eastAsia="en-GB"/>
              </w:rPr>
            </w:pPr>
            <w:r w:rsidRPr="000658BC">
              <w:rPr>
                <w:rFonts w:ascii="Arial" w:hAnsi="Arial" w:cs="Arial"/>
                <w:sz w:val="20"/>
                <w:szCs w:val="20"/>
                <w:lang w:eastAsia="en-GB"/>
              </w:rPr>
              <w:t>101</w:t>
            </w:r>
          </w:p>
        </w:tc>
        <w:tc>
          <w:tcPr>
            <w:tcW w:w="1155" w:type="dxa"/>
            <w:tcBorders>
              <w:bottom w:val="single" w:color="000000" w:themeColor="text1" w:sz="12"/>
            </w:tcBorders>
            <w:tcMar/>
            <w:vAlign w:val="center"/>
            <w:hideMark/>
          </w:tcPr>
          <w:p w:rsidRPr="000658BC" w:rsidR="00E0414B" w:rsidP="00412FA7" w:rsidRDefault="71172D30" w14:paraId="27A666B3" w14:textId="77777777">
            <w:pPr>
              <w:pStyle w:val="NoSpacing"/>
              <w:rPr>
                <w:rFonts w:ascii="Arial" w:hAnsi="Arial" w:cs="Arial"/>
                <w:sz w:val="20"/>
                <w:szCs w:val="20"/>
                <w:lang w:eastAsia="en-GB"/>
              </w:rPr>
            </w:pPr>
            <w:r w:rsidRPr="000658BC">
              <w:rPr>
                <w:rFonts w:ascii="Arial" w:hAnsi="Arial" w:cs="Arial"/>
                <w:sz w:val="20"/>
                <w:szCs w:val="20"/>
                <w:lang w:eastAsia="en-GB"/>
              </w:rPr>
              <w:t>0.668 (&lt;0.001)</w:t>
            </w:r>
          </w:p>
        </w:tc>
        <w:tc>
          <w:tcPr>
            <w:tcW w:w="0" w:type="auto"/>
            <w:tcBorders>
              <w:bottom w:val="single" w:color="000000" w:themeColor="text1" w:sz="12"/>
            </w:tcBorders>
            <w:tcMar/>
            <w:vAlign w:val="center"/>
            <w:hideMark/>
          </w:tcPr>
          <w:p w:rsidRPr="000658BC" w:rsidR="00E0414B" w:rsidP="00412FA7" w:rsidRDefault="71172D30" w14:paraId="35BE9B06" w14:textId="77777777">
            <w:pPr>
              <w:pStyle w:val="NoSpacing"/>
              <w:rPr>
                <w:rFonts w:ascii="Arial" w:hAnsi="Arial" w:cs="Arial"/>
                <w:sz w:val="20"/>
                <w:szCs w:val="20"/>
                <w:lang w:eastAsia="en-GB"/>
              </w:rPr>
            </w:pPr>
            <w:r w:rsidRPr="000658BC">
              <w:rPr>
                <w:rFonts w:ascii="Arial" w:hAnsi="Arial" w:cs="Arial"/>
                <w:sz w:val="20"/>
                <w:szCs w:val="20"/>
                <w:lang w:eastAsia="en-GB"/>
              </w:rPr>
              <w:t>0.493 (&lt;0.001)</w:t>
            </w:r>
          </w:p>
        </w:tc>
        <w:tc>
          <w:tcPr>
            <w:tcW w:w="0" w:type="auto"/>
            <w:tcBorders>
              <w:bottom w:val="single" w:color="000000" w:themeColor="text1" w:sz="12"/>
            </w:tcBorders>
            <w:tcMar/>
            <w:vAlign w:val="center"/>
            <w:hideMark/>
          </w:tcPr>
          <w:p w:rsidRPr="000658BC" w:rsidR="00E0414B" w:rsidP="00412FA7" w:rsidRDefault="71172D30" w14:paraId="6C4DFF48" w14:textId="77777777">
            <w:pPr>
              <w:pStyle w:val="NoSpacing"/>
              <w:rPr>
                <w:rFonts w:ascii="Arial" w:hAnsi="Arial" w:cs="Arial"/>
                <w:sz w:val="20"/>
                <w:szCs w:val="20"/>
                <w:lang w:eastAsia="en-GB"/>
              </w:rPr>
            </w:pPr>
            <w:r w:rsidRPr="000658BC">
              <w:rPr>
                <w:rFonts w:ascii="Arial" w:hAnsi="Arial" w:cs="Arial"/>
                <w:sz w:val="20"/>
                <w:szCs w:val="20"/>
                <w:lang w:eastAsia="en-GB"/>
              </w:rPr>
              <w:t>0.670</w:t>
            </w:r>
          </w:p>
        </w:tc>
        <w:tc>
          <w:tcPr>
            <w:tcW w:w="0" w:type="auto"/>
            <w:tcBorders>
              <w:bottom w:val="single" w:color="000000" w:themeColor="text1" w:sz="12"/>
            </w:tcBorders>
            <w:tcMar/>
            <w:vAlign w:val="center"/>
            <w:hideMark/>
          </w:tcPr>
          <w:p w:rsidRPr="000658BC" w:rsidR="00E0414B" w:rsidP="00412FA7" w:rsidRDefault="71172D30" w14:paraId="07475FA7" w14:textId="77777777">
            <w:pPr>
              <w:pStyle w:val="NoSpacing"/>
              <w:rPr>
                <w:rFonts w:ascii="Arial" w:hAnsi="Arial" w:cs="Arial"/>
                <w:sz w:val="20"/>
                <w:szCs w:val="20"/>
                <w:lang w:eastAsia="en-GB"/>
              </w:rPr>
            </w:pPr>
            <w:r w:rsidRPr="000658BC">
              <w:rPr>
                <w:rFonts w:ascii="Arial" w:hAnsi="Arial" w:cs="Arial"/>
                <w:sz w:val="20"/>
                <w:szCs w:val="20"/>
                <w:lang w:eastAsia="en-GB"/>
              </w:rPr>
              <w:t>5.335</w:t>
            </w:r>
          </w:p>
        </w:tc>
        <w:tc>
          <w:tcPr>
            <w:tcW w:w="0" w:type="auto"/>
            <w:tcBorders>
              <w:bottom w:val="single" w:color="000000" w:themeColor="text1" w:sz="12"/>
            </w:tcBorders>
            <w:tcMar/>
            <w:vAlign w:val="center"/>
            <w:hideMark/>
          </w:tcPr>
          <w:p w:rsidRPr="000658BC" w:rsidR="00E0414B" w:rsidP="00412FA7" w:rsidRDefault="71172D30" w14:paraId="582D2BC2" w14:textId="77777777">
            <w:pPr>
              <w:pStyle w:val="NoSpacing"/>
              <w:rPr>
                <w:rFonts w:ascii="Arial" w:hAnsi="Arial" w:cs="Arial"/>
                <w:sz w:val="20"/>
                <w:szCs w:val="20"/>
                <w:lang w:eastAsia="en-GB"/>
              </w:rPr>
            </w:pPr>
            <w:r w:rsidRPr="000658BC">
              <w:rPr>
                <w:rFonts w:ascii="Arial" w:hAnsi="Arial" w:cs="Arial"/>
                <w:sz w:val="20"/>
                <w:szCs w:val="20"/>
                <w:lang w:eastAsia="en-GB"/>
              </w:rPr>
              <w:t>2.209</w:t>
            </w:r>
          </w:p>
        </w:tc>
      </w:tr>
    </w:tbl>
    <w:p w:rsidRPr="000658BC" w:rsidR="00143F3C" w:rsidP="00143F3C" w:rsidRDefault="00143F3C" w14:paraId="11E8D8A4" w14:textId="77777777">
      <w:pPr>
        <w:spacing w:before="40" w:line="480" w:lineRule="auto"/>
        <w:jc w:val="both"/>
        <w:rPr>
          <w:rFonts w:ascii="Arial" w:hAnsi="Arial" w:eastAsia="Arial" w:cs="Arial"/>
          <w:b/>
          <w:bCs/>
          <w:color w:val="595959" w:themeColor="text1" w:themeTint="A6"/>
          <w:sz w:val="16"/>
          <w:szCs w:val="16"/>
        </w:rPr>
      </w:pPr>
    </w:p>
    <w:p w:rsidR="007359E3" w:rsidP="00143F3C" w:rsidRDefault="00143F3C" w14:paraId="35F49A94" w14:textId="42961F4D">
      <w:pPr>
        <w:spacing w:before="40" w:line="480" w:lineRule="auto"/>
        <w:jc w:val="both"/>
        <w:rPr>
          <w:rFonts w:ascii="Arial" w:hAnsi="Arial" w:eastAsia="Arial" w:cs="Arial"/>
          <w:color w:val="595959" w:themeColor="text1" w:themeTint="A6"/>
          <w:sz w:val="16"/>
          <w:szCs w:val="16"/>
        </w:rPr>
      </w:pPr>
      <w:r w:rsidRPr="35ECD7D9" w:rsidR="563670E3">
        <w:rPr>
          <w:rFonts w:ascii="Arial" w:hAnsi="Arial" w:eastAsia="Arial" w:cs="Arial"/>
          <w:b w:val="1"/>
          <w:bCs w:val="1"/>
          <w:color w:val="595959" w:themeColor="text1" w:themeTint="A6" w:themeShade="FF"/>
          <w:sz w:val="16"/>
          <w:szCs w:val="16"/>
        </w:rPr>
        <w:t>Supplementary Table S</w:t>
      </w:r>
      <w:r w:rsidRPr="35ECD7D9" w:rsidR="2DCFFDAE">
        <w:rPr>
          <w:rFonts w:ascii="Arial" w:hAnsi="Arial" w:eastAsia="Arial" w:cs="Arial"/>
          <w:b w:val="1"/>
          <w:bCs w:val="1"/>
          <w:color w:val="595959" w:themeColor="text1" w:themeTint="A6" w:themeShade="FF"/>
          <w:sz w:val="16"/>
          <w:szCs w:val="16"/>
        </w:rPr>
        <w:t>3</w:t>
      </w:r>
      <w:r w:rsidRPr="35ECD7D9" w:rsidR="563670E3">
        <w:rPr>
          <w:rFonts w:ascii="Arial" w:hAnsi="Arial" w:eastAsia="Arial" w:cs="Arial"/>
          <w:b w:val="1"/>
          <w:bCs w:val="1"/>
          <w:color w:val="595959" w:themeColor="text1" w:themeTint="A6" w:themeShade="FF"/>
          <w:sz w:val="16"/>
          <w:szCs w:val="16"/>
        </w:rPr>
        <w:t xml:space="preserve">. Sensitivity analysis of </w:t>
      </w:r>
      <w:r w:rsidRPr="35ECD7D9" w:rsidR="6E5E1F7F">
        <w:rPr>
          <w:rFonts w:ascii="Arial" w:hAnsi="Arial" w:eastAsia="Arial" w:cs="Arial"/>
          <w:b w:val="1"/>
          <w:bCs w:val="1"/>
          <w:color w:val="595959" w:themeColor="text1" w:themeTint="A6" w:themeShade="FF"/>
          <w:sz w:val="16"/>
          <w:szCs w:val="16"/>
        </w:rPr>
        <w:t>the largest</w:t>
      </w:r>
      <w:r w:rsidRPr="35ECD7D9" w:rsidR="563670E3">
        <w:rPr>
          <w:rFonts w:ascii="Arial" w:hAnsi="Arial" w:eastAsia="Arial" w:cs="Arial"/>
          <w:b w:val="1"/>
          <w:bCs w:val="1"/>
          <w:color w:val="595959" w:themeColor="text1" w:themeTint="A6" w:themeShade="FF"/>
          <w:sz w:val="16"/>
          <w:szCs w:val="16"/>
        </w:rPr>
        <w:t xml:space="preserve"> retained distinct lesion area using alternative EZ-related definitions</w:t>
      </w:r>
      <w:r w:rsidRPr="35ECD7D9" w:rsidR="563670E3">
        <w:rPr>
          <w:rFonts w:ascii="Arial" w:hAnsi="Arial" w:eastAsia="Arial" w:cs="Arial"/>
          <w:color w:val="595959" w:themeColor="text1" w:themeTint="A6" w:themeShade="FF"/>
          <w:sz w:val="16"/>
          <w:szCs w:val="16"/>
        </w:rPr>
        <w:t>. Inter-eye agreement was assessed for the largest retained distinct lesion area using the same alternative EZ-related definitions. Pearson correlation coefficients, Spearman rank correlation coefficients, absolute-agreement intraclass correlation coefficients, and mean and median absolute right-left differences are reported. Correlation and agreement statistics were not estimated where fewer than three paired observations were available. P values are reported descriptively without adjustment for multiple comparisons.</w:t>
      </w:r>
    </w:p>
    <w:p w:rsidR="007359E3" w:rsidRDefault="007359E3" w14:paraId="4517A7D9" w14:textId="77777777">
      <w:pPr>
        <w:spacing w:after="200" w:line="276" w:lineRule="auto"/>
        <w:rPr>
          <w:rFonts w:ascii="Arial" w:hAnsi="Arial" w:eastAsia="Arial" w:cs="Arial"/>
          <w:color w:val="595959" w:themeColor="text1" w:themeTint="A6"/>
          <w:sz w:val="16"/>
          <w:szCs w:val="16"/>
        </w:rPr>
      </w:pPr>
      <w:r>
        <w:rPr>
          <w:rFonts w:ascii="Arial" w:hAnsi="Arial" w:eastAsia="Arial" w:cs="Arial"/>
          <w:color w:val="595959" w:themeColor="text1" w:themeTint="A6"/>
          <w:sz w:val="16"/>
          <w:szCs w:val="16"/>
        </w:rPr>
        <w:br w:type="page"/>
      </w:r>
    </w:p>
    <w:p w:rsidRPr="007359E3" w:rsidR="007359E3" w:rsidP="007359E3" w:rsidRDefault="007359E3" w14:paraId="4BFB06C3" w14:textId="6763ACCF">
      <w:pPr>
        <w:spacing w:before="100" w:beforeAutospacing="1" w:after="100" w:afterAutospacing="1" w:line="240" w:lineRule="auto"/>
        <w:rPr>
          <w:rFonts w:cs="Times New Roman"/>
          <w:sz w:val="24"/>
          <w:szCs w:val="24"/>
          <w:lang w:val="en-GB" w:eastAsia="en-GB"/>
        </w:rPr>
      </w:pPr>
    </w:p>
    <w:tbl>
      <w:tblPr>
        <w:tblStyle w:val="TableGrid"/>
        <w:tblW w:w="0" w:type="auto"/>
        <w:tblBorders>
          <w:top w:val="none" w:color="000000" w:themeColor="text1" w:sz="12"/>
          <w:left w:val="none" w:color="000000" w:themeColor="text1" w:sz="12"/>
          <w:bottom w:val="none" w:color="000000" w:themeColor="text1" w:sz="12"/>
          <w:right w:val="none" w:color="000000" w:themeColor="text1" w:sz="12"/>
          <w:insideH w:val="none" w:color="000000" w:themeColor="text1" w:sz="12"/>
          <w:insideV w:val="none" w:color="000000" w:themeColor="text1" w:sz="12"/>
        </w:tblBorders>
        <w:tblLook w:val="04A0" w:firstRow="1" w:lastRow="0" w:firstColumn="1" w:lastColumn="0" w:noHBand="0" w:noVBand="1"/>
      </w:tblPr>
      <w:tblGrid>
        <w:gridCol w:w="1080"/>
        <w:gridCol w:w="1216"/>
        <w:gridCol w:w="516"/>
        <w:gridCol w:w="1728"/>
        <w:gridCol w:w="1875"/>
        <w:gridCol w:w="1795"/>
        <w:gridCol w:w="1942"/>
      </w:tblGrid>
      <w:tr w:rsidRPr="007359E3" w:rsidR="007359E3" w:rsidTr="5E4E44FE" w14:paraId="4CDD1C53" w14:textId="77777777">
        <w:tc>
          <w:tcPr>
            <w:tcW w:w="0" w:type="auto"/>
            <w:tcBorders>
              <w:top w:val="single" w:color="000000" w:themeColor="text1" w:sz="12"/>
              <w:bottom w:val="single" w:color="000000" w:themeColor="text1" w:sz="12"/>
            </w:tcBorders>
            <w:shd w:val="clear" w:color="auto" w:fill="F2F2F2" w:themeFill="background1" w:themeFillShade="F2"/>
            <w:tcMar/>
            <w:hideMark/>
          </w:tcPr>
          <w:p w:rsidRPr="007359E3" w:rsidR="007359E3" w:rsidP="007359E3" w:rsidRDefault="007359E3" w14:paraId="783F45B2" w14:textId="77777777">
            <w:pPr>
              <w:spacing w:after="0" w:line="240" w:lineRule="auto"/>
              <w:jc w:val="center"/>
              <w:rPr>
                <w:rFonts w:cs="Times New Roman"/>
                <w:b/>
                <w:bCs/>
                <w:sz w:val="20"/>
                <w:szCs w:val="20"/>
                <w:lang w:val="en-GB" w:eastAsia="en-GB"/>
              </w:rPr>
            </w:pPr>
            <w:r w:rsidRPr="007359E3">
              <w:rPr>
                <w:rFonts w:cs="Times New Roman"/>
                <w:b/>
                <w:bCs/>
                <w:sz w:val="20"/>
                <w:szCs w:val="20"/>
                <w:lang w:val="en-GB" w:eastAsia="en-GB"/>
              </w:rPr>
              <w:t>Feature</w:t>
            </w:r>
          </w:p>
        </w:tc>
        <w:tc>
          <w:tcPr>
            <w:tcW w:w="0" w:type="auto"/>
            <w:tcBorders>
              <w:top w:val="single" w:color="000000" w:themeColor="text1" w:sz="12"/>
              <w:bottom w:val="single" w:color="000000" w:themeColor="text1" w:sz="12"/>
            </w:tcBorders>
            <w:shd w:val="clear" w:color="auto" w:fill="F2F2F2" w:themeFill="background1" w:themeFillShade="F2"/>
            <w:tcMar/>
            <w:hideMark/>
          </w:tcPr>
          <w:p w:rsidRPr="007359E3" w:rsidR="007359E3" w:rsidP="007359E3" w:rsidRDefault="007359E3" w14:paraId="2E61BC38" w14:textId="77777777">
            <w:pPr>
              <w:spacing w:after="0" w:line="240" w:lineRule="auto"/>
              <w:jc w:val="right"/>
              <w:rPr>
                <w:rFonts w:cs="Times New Roman"/>
                <w:b/>
                <w:bCs/>
                <w:sz w:val="20"/>
                <w:szCs w:val="20"/>
                <w:lang w:val="en-GB" w:eastAsia="en-GB"/>
              </w:rPr>
            </w:pPr>
            <w:r w:rsidRPr="007359E3">
              <w:rPr>
                <w:rFonts w:cs="Times New Roman"/>
                <w:b/>
                <w:bCs/>
                <w:sz w:val="20"/>
                <w:szCs w:val="20"/>
                <w:lang w:val="en-GB" w:eastAsia="en-GB"/>
              </w:rPr>
              <w:t>ETDRS region</w:t>
            </w:r>
          </w:p>
        </w:tc>
        <w:tc>
          <w:tcPr>
            <w:tcW w:w="0" w:type="auto"/>
            <w:tcBorders>
              <w:top w:val="single" w:color="000000" w:themeColor="text1" w:sz="12"/>
              <w:bottom w:val="single" w:color="000000" w:themeColor="text1" w:sz="12"/>
            </w:tcBorders>
            <w:shd w:val="clear" w:color="auto" w:fill="F2F2F2" w:themeFill="background1" w:themeFillShade="F2"/>
            <w:tcMar/>
            <w:hideMark/>
          </w:tcPr>
          <w:p w:rsidRPr="007359E3" w:rsidR="007359E3" w:rsidP="007359E3" w:rsidRDefault="007359E3" w14:paraId="767E823D" w14:textId="77777777">
            <w:pPr>
              <w:spacing w:after="0" w:line="240" w:lineRule="auto"/>
              <w:jc w:val="right"/>
              <w:rPr>
                <w:rFonts w:cs="Times New Roman"/>
                <w:b/>
                <w:bCs/>
                <w:sz w:val="20"/>
                <w:szCs w:val="20"/>
                <w:lang w:val="en-GB" w:eastAsia="en-GB"/>
              </w:rPr>
            </w:pPr>
            <w:r w:rsidRPr="007359E3">
              <w:rPr>
                <w:rFonts w:cs="Times New Roman"/>
                <w:b/>
                <w:bCs/>
                <w:sz w:val="20"/>
                <w:szCs w:val="20"/>
                <w:lang w:val="en-GB" w:eastAsia="en-GB"/>
              </w:rPr>
              <w:t>N</w:t>
            </w:r>
          </w:p>
        </w:tc>
        <w:tc>
          <w:tcPr>
            <w:tcW w:w="0" w:type="auto"/>
            <w:tcBorders>
              <w:top w:val="single" w:color="000000" w:themeColor="text1" w:sz="12"/>
              <w:bottom w:val="single" w:color="000000" w:themeColor="text1" w:sz="12"/>
            </w:tcBorders>
            <w:shd w:val="clear" w:color="auto" w:fill="F2F2F2" w:themeFill="background1" w:themeFillShade="F2"/>
            <w:tcMar/>
            <w:hideMark/>
          </w:tcPr>
          <w:p w:rsidRPr="007359E3" w:rsidR="007359E3" w:rsidP="007359E3" w:rsidRDefault="007359E3" w14:paraId="6E574C74" w14:textId="77777777">
            <w:pPr>
              <w:spacing w:after="0" w:line="240" w:lineRule="auto"/>
              <w:jc w:val="right"/>
              <w:rPr>
                <w:rFonts w:cs="Times New Roman"/>
                <w:b/>
                <w:bCs/>
                <w:sz w:val="20"/>
                <w:szCs w:val="20"/>
                <w:lang w:val="en-GB" w:eastAsia="en-GB"/>
              </w:rPr>
            </w:pPr>
            <w:r w:rsidRPr="007359E3">
              <w:rPr>
                <w:rFonts w:cs="Times New Roman"/>
                <w:b/>
                <w:bCs/>
                <w:sz w:val="20"/>
                <w:szCs w:val="20"/>
                <w:lang w:val="en-GB" w:eastAsia="en-GB"/>
              </w:rPr>
              <w:t>Mean absolute right-left area difference, mm²</w:t>
            </w:r>
          </w:p>
        </w:tc>
        <w:tc>
          <w:tcPr>
            <w:tcW w:w="0" w:type="auto"/>
            <w:tcBorders>
              <w:top w:val="single" w:color="000000" w:themeColor="text1" w:sz="12"/>
              <w:bottom w:val="single" w:color="000000" w:themeColor="text1" w:sz="12"/>
            </w:tcBorders>
            <w:shd w:val="clear" w:color="auto" w:fill="F2F2F2" w:themeFill="background1" w:themeFillShade="F2"/>
            <w:tcMar/>
            <w:hideMark/>
          </w:tcPr>
          <w:p w:rsidRPr="007359E3" w:rsidR="007359E3" w:rsidP="007359E3" w:rsidRDefault="007359E3" w14:paraId="261CE65E" w14:textId="77777777">
            <w:pPr>
              <w:spacing w:after="0" w:line="240" w:lineRule="auto"/>
              <w:jc w:val="right"/>
              <w:rPr>
                <w:rFonts w:cs="Times New Roman"/>
                <w:b/>
                <w:bCs/>
                <w:sz w:val="20"/>
                <w:szCs w:val="20"/>
                <w:lang w:val="en-GB" w:eastAsia="en-GB"/>
              </w:rPr>
            </w:pPr>
            <w:r w:rsidRPr="007359E3">
              <w:rPr>
                <w:rFonts w:cs="Times New Roman"/>
                <w:b/>
                <w:bCs/>
                <w:sz w:val="20"/>
                <w:szCs w:val="20"/>
                <w:lang w:val="en-GB" w:eastAsia="en-GB"/>
              </w:rPr>
              <w:t>Median [IQR] absolute right-left area difference, mm²</w:t>
            </w:r>
          </w:p>
        </w:tc>
        <w:tc>
          <w:tcPr>
            <w:tcW w:w="0" w:type="auto"/>
            <w:tcBorders>
              <w:top w:val="single" w:color="000000" w:themeColor="text1" w:sz="12"/>
              <w:bottom w:val="single" w:color="000000" w:themeColor="text1" w:sz="12"/>
            </w:tcBorders>
            <w:shd w:val="clear" w:color="auto" w:fill="F2F2F2" w:themeFill="background1" w:themeFillShade="F2"/>
            <w:tcMar/>
            <w:hideMark/>
          </w:tcPr>
          <w:p w:rsidRPr="007359E3" w:rsidR="007359E3" w:rsidP="007359E3" w:rsidRDefault="007359E3" w14:paraId="3DBE711A" w14:textId="77777777">
            <w:pPr>
              <w:spacing w:after="0" w:line="240" w:lineRule="auto"/>
              <w:jc w:val="right"/>
              <w:rPr>
                <w:rFonts w:cs="Times New Roman"/>
                <w:b/>
                <w:bCs/>
                <w:sz w:val="20"/>
                <w:szCs w:val="20"/>
                <w:lang w:val="en-GB" w:eastAsia="en-GB"/>
              </w:rPr>
            </w:pPr>
            <w:r w:rsidRPr="007359E3">
              <w:rPr>
                <w:rFonts w:cs="Times New Roman"/>
                <w:b/>
                <w:bCs/>
                <w:sz w:val="20"/>
                <w:szCs w:val="20"/>
                <w:lang w:val="en-GB" w:eastAsia="en-GB"/>
              </w:rPr>
              <w:t>Mean absolute right-left occupancy difference, %</w:t>
            </w:r>
          </w:p>
        </w:tc>
        <w:tc>
          <w:tcPr>
            <w:tcW w:w="0" w:type="auto"/>
            <w:tcBorders>
              <w:top w:val="single" w:color="000000" w:themeColor="text1" w:sz="12"/>
              <w:bottom w:val="single" w:color="000000" w:themeColor="text1" w:sz="12"/>
            </w:tcBorders>
            <w:shd w:val="clear" w:color="auto" w:fill="F2F2F2" w:themeFill="background1" w:themeFillShade="F2"/>
            <w:tcMar/>
            <w:hideMark/>
          </w:tcPr>
          <w:p w:rsidRPr="007359E3" w:rsidR="007359E3" w:rsidP="007359E3" w:rsidRDefault="007359E3" w14:paraId="4E05BAD3" w14:textId="77777777">
            <w:pPr>
              <w:spacing w:after="0" w:line="240" w:lineRule="auto"/>
              <w:jc w:val="right"/>
              <w:rPr>
                <w:rFonts w:cs="Times New Roman"/>
                <w:b/>
                <w:bCs/>
                <w:sz w:val="20"/>
                <w:szCs w:val="20"/>
                <w:lang w:val="en-GB" w:eastAsia="en-GB"/>
              </w:rPr>
            </w:pPr>
            <w:r w:rsidRPr="007359E3">
              <w:rPr>
                <w:rFonts w:cs="Times New Roman"/>
                <w:b/>
                <w:bCs/>
                <w:sz w:val="20"/>
                <w:szCs w:val="20"/>
                <w:lang w:val="en-GB" w:eastAsia="en-GB"/>
              </w:rPr>
              <w:t>Median [IQR] absolute right-left occupancy difference, %</w:t>
            </w:r>
          </w:p>
        </w:tc>
      </w:tr>
      <w:tr w:rsidRPr="007359E3" w:rsidR="007359E3" w:rsidTr="5E4E44FE" w14:paraId="5414518C" w14:textId="77777777">
        <w:tc>
          <w:tcPr>
            <w:tcW w:w="0" w:type="auto"/>
            <w:tcBorders>
              <w:top w:val="single" w:color="000000" w:themeColor="text1" w:sz="12"/>
            </w:tcBorders>
            <w:tcMar/>
            <w:hideMark/>
          </w:tcPr>
          <w:p w:rsidRPr="007359E3" w:rsidR="007359E3" w:rsidP="007359E3" w:rsidRDefault="007359E3" w14:paraId="599476AA" w14:textId="77777777">
            <w:pPr>
              <w:spacing w:after="0" w:line="240" w:lineRule="auto"/>
              <w:rPr>
                <w:rFonts w:cs="Times New Roman"/>
                <w:sz w:val="20"/>
                <w:szCs w:val="20"/>
                <w:lang w:val="en-GB" w:eastAsia="en-GB"/>
              </w:rPr>
            </w:pPr>
            <w:r w:rsidRPr="007359E3">
              <w:rPr>
                <w:rFonts w:cs="Times New Roman"/>
                <w:sz w:val="20"/>
                <w:szCs w:val="20"/>
                <w:lang w:val="en-GB" w:eastAsia="en-GB"/>
              </w:rPr>
              <w:t>RORA</w:t>
            </w:r>
          </w:p>
        </w:tc>
        <w:tc>
          <w:tcPr>
            <w:tcW w:w="0" w:type="auto"/>
            <w:tcBorders>
              <w:top w:val="single" w:color="000000" w:themeColor="text1" w:sz="12"/>
            </w:tcBorders>
            <w:tcMar/>
            <w:hideMark/>
          </w:tcPr>
          <w:p w:rsidRPr="007359E3" w:rsidR="007359E3" w:rsidP="007359E3" w:rsidRDefault="007359E3" w14:paraId="2F9941C8"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Central 1 mm</w:t>
            </w:r>
          </w:p>
        </w:tc>
        <w:tc>
          <w:tcPr>
            <w:tcW w:w="0" w:type="auto"/>
            <w:tcBorders>
              <w:top w:val="single" w:color="000000" w:themeColor="text1" w:sz="12"/>
            </w:tcBorders>
            <w:tcMar/>
            <w:hideMark/>
          </w:tcPr>
          <w:p w:rsidRPr="007359E3" w:rsidR="007359E3" w:rsidP="007359E3" w:rsidRDefault="007359E3" w14:paraId="257D7052"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101</w:t>
            </w:r>
          </w:p>
        </w:tc>
        <w:tc>
          <w:tcPr>
            <w:tcW w:w="0" w:type="auto"/>
            <w:tcBorders>
              <w:top w:val="single" w:color="000000" w:themeColor="text1" w:sz="12"/>
            </w:tcBorders>
            <w:tcMar/>
            <w:hideMark/>
          </w:tcPr>
          <w:p w:rsidRPr="007359E3" w:rsidR="007359E3" w:rsidP="007359E3" w:rsidRDefault="007359E3" w14:paraId="584ACB63"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0.210</w:t>
            </w:r>
          </w:p>
        </w:tc>
        <w:tc>
          <w:tcPr>
            <w:tcW w:w="0" w:type="auto"/>
            <w:tcBorders>
              <w:top w:val="single" w:color="000000" w:themeColor="text1" w:sz="12"/>
            </w:tcBorders>
            <w:tcMar/>
            <w:hideMark/>
          </w:tcPr>
          <w:p w:rsidRPr="007359E3" w:rsidR="007359E3" w:rsidP="007359E3" w:rsidRDefault="007359E3" w14:paraId="48696763"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0.141 [0.043, 0.322]</w:t>
            </w:r>
          </w:p>
        </w:tc>
        <w:tc>
          <w:tcPr>
            <w:tcW w:w="0" w:type="auto"/>
            <w:tcBorders>
              <w:top w:val="single" w:color="000000" w:themeColor="text1" w:sz="12"/>
            </w:tcBorders>
            <w:tcMar/>
            <w:hideMark/>
          </w:tcPr>
          <w:p w:rsidRPr="007359E3" w:rsidR="007359E3" w:rsidP="007359E3" w:rsidRDefault="007359E3" w14:paraId="0EB01350"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26.75</w:t>
            </w:r>
          </w:p>
        </w:tc>
        <w:tc>
          <w:tcPr>
            <w:tcW w:w="0" w:type="auto"/>
            <w:tcBorders>
              <w:top w:val="single" w:color="000000" w:themeColor="text1" w:sz="12"/>
            </w:tcBorders>
            <w:tcMar/>
            <w:hideMark/>
          </w:tcPr>
          <w:p w:rsidRPr="007359E3" w:rsidR="007359E3" w:rsidP="007359E3" w:rsidRDefault="007359E3" w14:paraId="13E1AF72"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17.94 [5.48, 40.99]</w:t>
            </w:r>
          </w:p>
        </w:tc>
      </w:tr>
      <w:tr w:rsidRPr="007359E3" w:rsidR="007359E3" w:rsidTr="5E4E44FE" w14:paraId="6893EE96" w14:textId="77777777">
        <w:tc>
          <w:tcPr>
            <w:tcW w:w="0" w:type="auto"/>
            <w:tcMar/>
            <w:hideMark/>
          </w:tcPr>
          <w:p w:rsidRPr="007359E3" w:rsidR="007359E3" w:rsidP="007359E3" w:rsidRDefault="007359E3" w14:paraId="2A895D59" w14:textId="77777777">
            <w:pPr>
              <w:spacing w:after="0" w:line="240" w:lineRule="auto"/>
              <w:rPr>
                <w:rFonts w:cs="Times New Roman"/>
                <w:sz w:val="20"/>
                <w:szCs w:val="20"/>
                <w:lang w:val="en-GB" w:eastAsia="en-GB"/>
              </w:rPr>
            </w:pPr>
            <w:r w:rsidRPr="007359E3">
              <w:rPr>
                <w:rFonts w:cs="Times New Roman"/>
                <w:sz w:val="20"/>
                <w:szCs w:val="20"/>
                <w:lang w:val="en-GB" w:eastAsia="en-GB"/>
              </w:rPr>
              <w:t>RORA</w:t>
            </w:r>
          </w:p>
        </w:tc>
        <w:tc>
          <w:tcPr>
            <w:tcW w:w="0" w:type="auto"/>
            <w:tcMar/>
            <w:hideMark/>
          </w:tcPr>
          <w:p w:rsidRPr="007359E3" w:rsidR="007359E3" w:rsidP="007359E3" w:rsidRDefault="007359E3" w14:paraId="72CEF1FA"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Parafoveal 1–3 mm</w:t>
            </w:r>
          </w:p>
        </w:tc>
        <w:tc>
          <w:tcPr>
            <w:tcW w:w="0" w:type="auto"/>
            <w:tcMar/>
            <w:hideMark/>
          </w:tcPr>
          <w:p w:rsidRPr="007359E3" w:rsidR="007359E3" w:rsidP="007359E3" w:rsidRDefault="007359E3" w14:paraId="0825EB13"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101</w:t>
            </w:r>
          </w:p>
        </w:tc>
        <w:tc>
          <w:tcPr>
            <w:tcW w:w="0" w:type="auto"/>
            <w:tcMar/>
            <w:hideMark/>
          </w:tcPr>
          <w:p w:rsidRPr="007359E3" w:rsidR="007359E3" w:rsidP="007359E3" w:rsidRDefault="007359E3" w14:paraId="31B7F6EB"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0.897</w:t>
            </w:r>
          </w:p>
        </w:tc>
        <w:tc>
          <w:tcPr>
            <w:tcW w:w="0" w:type="auto"/>
            <w:tcMar/>
            <w:hideMark/>
          </w:tcPr>
          <w:p w:rsidRPr="007359E3" w:rsidR="007359E3" w:rsidP="007359E3" w:rsidRDefault="007359E3" w14:paraId="798865FE"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0.683 [0.176, 1.228]</w:t>
            </w:r>
          </w:p>
        </w:tc>
        <w:tc>
          <w:tcPr>
            <w:tcW w:w="0" w:type="auto"/>
            <w:tcMar/>
            <w:hideMark/>
          </w:tcPr>
          <w:p w:rsidRPr="007359E3" w:rsidR="007359E3" w:rsidP="007359E3" w:rsidRDefault="007359E3" w14:paraId="00BDAC33"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14.27</w:t>
            </w:r>
          </w:p>
        </w:tc>
        <w:tc>
          <w:tcPr>
            <w:tcW w:w="0" w:type="auto"/>
            <w:tcMar/>
            <w:hideMark/>
          </w:tcPr>
          <w:p w:rsidRPr="007359E3" w:rsidR="007359E3" w:rsidP="007359E3" w:rsidRDefault="007359E3" w14:paraId="0783DBCD"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10.88 [2.80, 19.54]</w:t>
            </w:r>
          </w:p>
        </w:tc>
      </w:tr>
      <w:tr w:rsidRPr="007359E3" w:rsidR="007359E3" w:rsidTr="5E4E44FE" w14:paraId="05E41262" w14:textId="77777777">
        <w:tc>
          <w:tcPr>
            <w:tcW w:w="0" w:type="auto"/>
            <w:tcMar/>
            <w:hideMark/>
          </w:tcPr>
          <w:p w:rsidRPr="007359E3" w:rsidR="007359E3" w:rsidP="007359E3" w:rsidRDefault="007359E3" w14:paraId="0E34CECB" w14:textId="77777777">
            <w:pPr>
              <w:spacing w:after="0" w:line="240" w:lineRule="auto"/>
              <w:rPr>
                <w:rFonts w:cs="Times New Roman"/>
                <w:sz w:val="20"/>
                <w:szCs w:val="20"/>
                <w:lang w:val="en-GB" w:eastAsia="en-GB"/>
              </w:rPr>
            </w:pPr>
            <w:r w:rsidRPr="007359E3">
              <w:rPr>
                <w:rFonts w:cs="Times New Roman"/>
                <w:sz w:val="20"/>
                <w:szCs w:val="20"/>
                <w:lang w:val="en-GB" w:eastAsia="en-GB"/>
              </w:rPr>
              <w:t>RORA</w:t>
            </w:r>
          </w:p>
        </w:tc>
        <w:tc>
          <w:tcPr>
            <w:tcW w:w="0" w:type="auto"/>
            <w:tcMar/>
            <w:hideMark/>
          </w:tcPr>
          <w:p w:rsidRPr="007359E3" w:rsidR="007359E3" w:rsidP="007359E3" w:rsidRDefault="007359E3" w14:paraId="1AEDF8E5"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Perifoveal 3–6 mm</w:t>
            </w:r>
          </w:p>
        </w:tc>
        <w:tc>
          <w:tcPr>
            <w:tcW w:w="0" w:type="auto"/>
            <w:tcMar/>
            <w:hideMark/>
          </w:tcPr>
          <w:p w:rsidRPr="007359E3" w:rsidR="007359E3" w:rsidP="007359E3" w:rsidRDefault="007359E3" w14:paraId="3672370B"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101</w:t>
            </w:r>
          </w:p>
        </w:tc>
        <w:tc>
          <w:tcPr>
            <w:tcW w:w="0" w:type="auto"/>
            <w:tcMar/>
            <w:hideMark/>
          </w:tcPr>
          <w:p w:rsidRPr="007359E3" w:rsidR="007359E3" w:rsidP="007359E3" w:rsidRDefault="007359E3" w14:paraId="56B67045"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1.383</w:t>
            </w:r>
          </w:p>
        </w:tc>
        <w:tc>
          <w:tcPr>
            <w:tcW w:w="0" w:type="auto"/>
            <w:tcMar/>
            <w:hideMark/>
          </w:tcPr>
          <w:p w:rsidRPr="007359E3" w:rsidR="007359E3" w:rsidP="007359E3" w:rsidRDefault="007359E3" w14:paraId="2FFDE7A6"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0.545 [0.064, 1.797]</w:t>
            </w:r>
          </w:p>
        </w:tc>
        <w:tc>
          <w:tcPr>
            <w:tcW w:w="0" w:type="auto"/>
            <w:tcMar/>
            <w:hideMark/>
          </w:tcPr>
          <w:p w:rsidRPr="007359E3" w:rsidR="007359E3" w:rsidP="007359E3" w:rsidRDefault="007359E3" w14:paraId="3AACAA50"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6.52</w:t>
            </w:r>
          </w:p>
        </w:tc>
        <w:tc>
          <w:tcPr>
            <w:tcW w:w="0" w:type="auto"/>
            <w:tcMar/>
            <w:hideMark/>
          </w:tcPr>
          <w:p w:rsidRPr="007359E3" w:rsidR="007359E3" w:rsidP="007359E3" w:rsidRDefault="007359E3" w14:paraId="0D0EA531"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2.57 [0.30, 8.48]</w:t>
            </w:r>
          </w:p>
        </w:tc>
      </w:tr>
      <w:tr w:rsidRPr="007359E3" w:rsidR="007359E3" w:rsidTr="5E4E44FE" w14:paraId="66A4FACE" w14:textId="77777777">
        <w:tc>
          <w:tcPr>
            <w:tcW w:w="0" w:type="auto"/>
            <w:tcMar/>
            <w:hideMark/>
          </w:tcPr>
          <w:p w:rsidRPr="007359E3" w:rsidR="007359E3" w:rsidP="007359E3" w:rsidRDefault="007359E3" w14:paraId="19A1FB51" w14:textId="0632056D">
            <w:pPr>
              <w:spacing w:after="0" w:line="240" w:lineRule="auto"/>
              <w:rPr>
                <w:rFonts w:cs="Times New Roman"/>
                <w:sz w:val="20"/>
                <w:szCs w:val="20"/>
                <w:lang w:val="en-GB" w:eastAsia="en-GB"/>
              </w:rPr>
            </w:pPr>
            <w:r w:rsidRPr="5E4E44FE" w:rsidR="65F8444A">
              <w:rPr>
                <w:rFonts w:cs="Times New Roman"/>
                <w:sz w:val="20"/>
                <w:szCs w:val="20"/>
                <w:lang w:val="en-GB" w:eastAsia="en-GB"/>
              </w:rPr>
              <w:t>EZ-IZ loss</w:t>
            </w:r>
          </w:p>
        </w:tc>
        <w:tc>
          <w:tcPr>
            <w:tcW w:w="0" w:type="auto"/>
            <w:tcMar/>
            <w:hideMark/>
          </w:tcPr>
          <w:p w:rsidRPr="007359E3" w:rsidR="007359E3" w:rsidP="007359E3" w:rsidRDefault="007359E3" w14:paraId="7633115D"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Central 1 mm</w:t>
            </w:r>
          </w:p>
        </w:tc>
        <w:tc>
          <w:tcPr>
            <w:tcW w:w="0" w:type="auto"/>
            <w:tcMar/>
            <w:hideMark/>
          </w:tcPr>
          <w:p w:rsidRPr="007359E3" w:rsidR="007359E3" w:rsidP="007359E3" w:rsidRDefault="007359E3" w14:paraId="202E0CCE"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80</w:t>
            </w:r>
          </w:p>
        </w:tc>
        <w:tc>
          <w:tcPr>
            <w:tcW w:w="0" w:type="auto"/>
            <w:tcMar/>
            <w:hideMark/>
          </w:tcPr>
          <w:p w:rsidRPr="007359E3" w:rsidR="007359E3" w:rsidP="007359E3" w:rsidRDefault="007359E3" w14:paraId="21AE0398"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0.151</w:t>
            </w:r>
          </w:p>
        </w:tc>
        <w:tc>
          <w:tcPr>
            <w:tcW w:w="0" w:type="auto"/>
            <w:tcMar/>
            <w:hideMark/>
          </w:tcPr>
          <w:p w:rsidRPr="007359E3" w:rsidR="007359E3" w:rsidP="007359E3" w:rsidRDefault="007359E3" w14:paraId="2BCCA002"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0.081 [0.006, 0.223]</w:t>
            </w:r>
          </w:p>
        </w:tc>
        <w:tc>
          <w:tcPr>
            <w:tcW w:w="0" w:type="auto"/>
            <w:tcMar/>
            <w:hideMark/>
          </w:tcPr>
          <w:p w:rsidRPr="007359E3" w:rsidR="007359E3" w:rsidP="007359E3" w:rsidRDefault="007359E3" w14:paraId="642332A2"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19.26</w:t>
            </w:r>
          </w:p>
        </w:tc>
        <w:tc>
          <w:tcPr>
            <w:tcW w:w="0" w:type="auto"/>
            <w:tcMar/>
            <w:hideMark/>
          </w:tcPr>
          <w:p w:rsidRPr="007359E3" w:rsidR="007359E3" w:rsidP="007359E3" w:rsidRDefault="007359E3" w14:paraId="355A5CC0"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10.32 [0.73, 28.35]</w:t>
            </w:r>
          </w:p>
        </w:tc>
      </w:tr>
      <w:tr w:rsidRPr="007359E3" w:rsidR="007359E3" w:rsidTr="5E4E44FE" w14:paraId="3CD7439F" w14:textId="77777777">
        <w:tc>
          <w:tcPr>
            <w:tcW w:w="0" w:type="auto"/>
            <w:tcMar/>
            <w:hideMark/>
          </w:tcPr>
          <w:p w:rsidRPr="007359E3" w:rsidR="007359E3" w:rsidP="007359E3" w:rsidRDefault="007359E3" w14:paraId="62368E7F" w14:textId="7AEA9CA6">
            <w:pPr>
              <w:spacing w:after="0" w:line="240" w:lineRule="auto"/>
              <w:rPr>
                <w:rFonts w:cs="Times New Roman"/>
                <w:sz w:val="20"/>
                <w:szCs w:val="20"/>
                <w:lang w:val="en-GB" w:eastAsia="en-GB"/>
              </w:rPr>
            </w:pPr>
            <w:r w:rsidRPr="5E4E44FE" w:rsidR="65F8444A">
              <w:rPr>
                <w:rFonts w:cs="Times New Roman"/>
                <w:sz w:val="20"/>
                <w:szCs w:val="20"/>
                <w:lang w:val="en-GB" w:eastAsia="en-GB"/>
              </w:rPr>
              <w:t>EZ-IZ loss</w:t>
            </w:r>
          </w:p>
        </w:tc>
        <w:tc>
          <w:tcPr>
            <w:tcW w:w="0" w:type="auto"/>
            <w:tcMar/>
            <w:hideMark/>
          </w:tcPr>
          <w:p w:rsidRPr="007359E3" w:rsidR="007359E3" w:rsidP="007359E3" w:rsidRDefault="007359E3" w14:paraId="620579EC"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Parafoveal 1–3 mm</w:t>
            </w:r>
          </w:p>
        </w:tc>
        <w:tc>
          <w:tcPr>
            <w:tcW w:w="0" w:type="auto"/>
            <w:tcMar/>
            <w:hideMark/>
          </w:tcPr>
          <w:p w:rsidRPr="007359E3" w:rsidR="007359E3" w:rsidP="007359E3" w:rsidRDefault="007359E3" w14:paraId="07234022"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80</w:t>
            </w:r>
          </w:p>
        </w:tc>
        <w:tc>
          <w:tcPr>
            <w:tcW w:w="0" w:type="auto"/>
            <w:tcMar/>
            <w:hideMark/>
          </w:tcPr>
          <w:p w:rsidRPr="007359E3" w:rsidR="007359E3" w:rsidP="007359E3" w:rsidRDefault="007359E3" w14:paraId="6E601351"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0.934</w:t>
            </w:r>
          </w:p>
        </w:tc>
        <w:tc>
          <w:tcPr>
            <w:tcW w:w="0" w:type="auto"/>
            <w:tcMar/>
            <w:hideMark/>
          </w:tcPr>
          <w:p w:rsidRPr="007359E3" w:rsidR="007359E3" w:rsidP="007359E3" w:rsidRDefault="007359E3" w14:paraId="76D208C0"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0.493 [0.175, 1.328]</w:t>
            </w:r>
          </w:p>
        </w:tc>
        <w:tc>
          <w:tcPr>
            <w:tcW w:w="0" w:type="auto"/>
            <w:tcMar/>
            <w:hideMark/>
          </w:tcPr>
          <w:p w:rsidRPr="007359E3" w:rsidR="007359E3" w:rsidP="007359E3" w:rsidRDefault="007359E3" w14:paraId="72A6B764"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14.87</w:t>
            </w:r>
          </w:p>
        </w:tc>
        <w:tc>
          <w:tcPr>
            <w:tcW w:w="0" w:type="auto"/>
            <w:tcMar/>
            <w:hideMark/>
          </w:tcPr>
          <w:p w:rsidRPr="007359E3" w:rsidR="007359E3" w:rsidP="007359E3" w:rsidRDefault="007359E3" w14:paraId="00D66B19"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7.84 [2.78, 21.13]</w:t>
            </w:r>
          </w:p>
        </w:tc>
      </w:tr>
      <w:tr w:rsidRPr="007359E3" w:rsidR="007359E3" w:rsidTr="5E4E44FE" w14:paraId="65E498AB" w14:textId="77777777">
        <w:tc>
          <w:tcPr>
            <w:tcW w:w="0" w:type="auto"/>
            <w:tcMar/>
            <w:hideMark/>
          </w:tcPr>
          <w:p w:rsidRPr="007359E3" w:rsidR="007359E3" w:rsidP="007359E3" w:rsidRDefault="007359E3" w14:paraId="294A04AE" w14:textId="58D5C645">
            <w:pPr>
              <w:spacing w:after="0" w:line="240" w:lineRule="auto"/>
              <w:rPr>
                <w:rFonts w:cs="Times New Roman"/>
                <w:sz w:val="20"/>
                <w:szCs w:val="20"/>
                <w:lang w:val="en-GB" w:eastAsia="en-GB"/>
              </w:rPr>
            </w:pPr>
            <w:r w:rsidRPr="5E4E44FE" w:rsidR="65F8444A">
              <w:rPr>
                <w:rFonts w:cs="Times New Roman"/>
                <w:sz w:val="20"/>
                <w:szCs w:val="20"/>
                <w:lang w:val="en-GB" w:eastAsia="en-GB"/>
              </w:rPr>
              <w:t>EZ-IZ loss</w:t>
            </w:r>
          </w:p>
        </w:tc>
        <w:tc>
          <w:tcPr>
            <w:tcW w:w="0" w:type="auto"/>
            <w:tcMar/>
            <w:hideMark/>
          </w:tcPr>
          <w:p w:rsidRPr="007359E3" w:rsidR="007359E3" w:rsidP="007359E3" w:rsidRDefault="007359E3" w14:paraId="17A244F4"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Perifoveal 3–6 mm</w:t>
            </w:r>
          </w:p>
        </w:tc>
        <w:tc>
          <w:tcPr>
            <w:tcW w:w="0" w:type="auto"/>
            <w:tcMar/>
            <w:hideMark/>
          </w:tcPr>
          <w:p w:rsidRPr="007359E3" w:rsidR="007359E3" w:rsidP="007359E3" w:rsidRDefault="007359E3" w14:paraId="473C11E4"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80</w:t>
            </w:r>
          </w:p>
        </w:tc>
        <w:tc>
          <w:tcPr>
            <w:tcW w:w="0" w:type="auto"/>
            <w:tcMar/>
            <w:hideMark/>
          </w:tcPr>
          <w:p w:rsidRPr="007359E3" w:rsidR="007359E3" w:rsidP="007359E3" w:rsidRDefault="007359E3" w14:paraId="66873C15"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2.222</w:t>
            </w:r>
          </w:p>
        </w:tc>
        <w:tc>
          <w:tcPr>
            <w:tcW w:w="0" w:type="auto"/>
            <w:tcMar/>
            <w:hideMark/>
          </w:tcPr>
          <w:p w:rsidRPr="007359E3" w:rsidR="007359E3" w:rsidP="007359E3" w:rsidRDefault="007359E3" w14:paraId="6D18CCD0"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1.010 [0.359, 2.550]</w:t>
            </w:r>
          </w:p>
        </w:tc>
        <w:tc>
          <w:tcPr>
            <w:tcW w:w="0" w:type="auto"/>
            <w:tcMar/>
            <w:hideMark/>
          </w:tcPr>
          <w:p w:rsidRPr="007359E3" w:rsidR="007359E3" w:rsidP="007359E3" w:rsidRDefault="007359E3" w14:paraId="6B7649EF"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10.48</w:t>
            </w:r>
          </w:p>
        </w:tc>
        <w:tc>
          <w:tcPr>
            <w:tcW w:w="0" w:type="auto"/>
            <w:tcMar/>
            <w:hideMark/>
          </w:tcPr>
          <w:p w:rsidRPr="007359E3" w:rsidR="007359E3" w:rsidP="007359E3" w:rsidRDefault="007359E3" w14:paraId="33FF5820"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4.77 [1.69, 12.03]</w:t>
            </w:r>
          </w:p>
        </w:tc>
      </w:tr>
      <w:tr w:rsidRPr="007359E3" w:rsidR="007359E3" w:rsidTr="5E4E44FE" w14:paraId="7B201167" w14:textId="77777777">
        <w:tc>
          <w:tcPr>
            <w:tcW w:w="0" w:type="auto"/>
            <w:tcMar/>
            <w:hideMark/>
          </w:tcPr>
          <w:p w:rsidRPr="007359E3" w:rsidR="007359E3" w:rsidP="007359E3" w:rsidRDefault="007359E3" w14:paraId="0DC1B82F" w14:textId="77777777">
            <w:pPr>
              <w:spacing w:after="0" w:line="240" w:lineRule="auto"/>
              <w:rPr>
                <w:rFonts w:cs="Times New Roman"/>
                <w:sz w:val="20"/>
                <w:szCs w:val="20"/>
                <w:lang w:val="en-GB" w:eastAsia="en-GB"/>
              </w:rPr>
            </w:pPr>
            <w:r w:rsidRPr="007359E3">
              <w:rPr>
                <w:rFonts w:cs="Times New Roman"/>
                <w:sz w:val="20"/>
                <w:szCs w:val="20"/>
                <w:lang w:val="en-GB" w:eastAsia="en-GB"/>
              </w:rPr>
              <w:t>EZ loss</w:t>
            </w:r>
          </w:p>
        </w:tc>
        <w:tc>
          <w:tcPr>
            <w:tcW w:w="0" w:type="auto"/>
            <w:tcMar/>
            <w:hideMark/>
          </w:tcPr>
          <w:p w:rsidRPr="007359E3" w:rsidR="007359E3" w:rsidP="007359E3" w:rsidRDefault="007359E3" w14:paraId="5BC3914E"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Central 1 mm</w:t>
            </w:r>
          </w:p>
        </w:tc>
        <w:tc>
          <w:tcPr>
            <w:tcW w:w="0" w:type="auto"/>
            <w:tcMar/>
            <w:hideMark/>
          </w:tcPr>
          <w:p w:rsidRPr="007359E3" w:rsidR="007359E3" w:rsidP="007359E3" w:rsidRDefault="007359E3" w14:paraId="78AA39F2"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101</w:t>
            </w:r>
          </w:p>
        </w:tc>
        <w:tc>
          <w:tcPr>
            <w:tcW w:w="0" w:type="auto"/>
            <w:tcMar/>
            <w:hideMark/>
          </w:tcPr>
          <w:p w:rsidRPr="007359E3" w:rsidR="007359E3" w:rsidP="007359E3" w:rsidRDefault="007359E3" w14:paraId="357DE63C"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0.238</w:t>
            </w:r>
          </w:p>
        </w:tc>
        <w:tc>
          <w:tcPr>
            <w:tcW w:w="0" w:type="auto"/>
            <w:tcMar/>
            <w:hideMark/>
          </w:tcPr>
          <w:p w:rsidRPr="007359E3" w:rsidR="007359E3" w:rsidP="007359E3" w:rsidRDefault="007359E3" w14:paraId="39F6663C"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0.171 [0.030, 0.389]</w:t>
            </w:r>
          </w:p>
        </w:tc>
        <w:tc>
          <w:tcPr>
            <w:tcW w:w="0" w:type="auto"/>
            <w:tcMar/>
            <w:hideMark/>
          </w:tcPr>
          <w:p w:rsidRPr="007359E3" w:rsidR="007359E3" w:rsidP="007359E3" w:rsidRDefault="007359E3" w14:paraId="3CBCEEDA"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30.25</w:t>
            </w:r>
          </w:p>
        </w:tc>
        <w:tc>
          <w:tcPr>
            <w:tcW w:w="0" w:type="auto"/>
            <w:tcMar/>
            <w:hideMark/>
          </w:tcPr>
          <w:p w:rsidRPr="007359E3" w:rsidR="007359E3" w:rsidP="007359E3" w:rsidRDefault="007359E3" w14:paraId="3723FFFB"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21.83 [3.84, 49.52]</w:t>
            </w:r>
          </w:p>
        </w:tc>
      </w:tr>
      <w:tr w:rsidRPr="007359E3" w:rsidR="007359E3" w:rsidTr="5E4E44FE" w14:paraId="429FB79A" w14:textId="77777777">
        <w:tc>
          <w:tcPr>
            <w:tcW w:w="0" w:type="auto"/>
            <w:tcMar/>
            <w:hideMark/>
          </w:tcPr>
          <w:p w:rsidRPr="007359E3" w:rsidR="007359E3" w:rsidP="007359E3" w:rsidRDefault="007359E3" w14:paraId="184898BA" w14:textId="77777777">
            <w:pPr>
              <w:spacing w:after="0" w:line="240" w:lineRule="auto"/>
              <w:rPr>
                <w:rFonts w:cs="Times New Roman"/>
                <w:sz w:val="20"/>
                <w:szCs w:val="20"/>
                <w:lang w:val="en-GB" w:eastAsia="en-GB"/>
              </w:rPr>
            </w:pPr>
            <w:r w:rsidRPr="007359E3">
              <w:rPr>
                <w:rFonts w:cs="Times New Roman"/>
                <w:sz w:val="20"/>
                <w:szCs w:val="20"/>
                <w:lang w:val="en-GB" w:eastAsia="en-GB"/>
              </w:rPr>
              <w:t>EZ loss</w:t>
            </w:r>
          </w:p>
        </w:tc>
        <w:tc>
          <w:tcPr>
            <w:tcW w:w="0" w:type="auto"/>
            <w:tcMar/>
            <w:hideMark/>
          </w:tcPr>
          <w:p w:rsidRPr="007359E3" w:rsidR="007359E3" w:rsidP="007359E3" w:rsidRDefault="007359E3" w14:paraId="3417D83C"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Parafoveal 1–3 mm</w:t>
            </w:r>
          </w:p>
        </w:tc>
        <w:tc>
          <w:tcPr>
            <w:tcW w:w="0" w:type="auto"/>
            <w:tcMar/>
            <w:hideMark/>
          </w:tcPr>
          <w:p w:rsidRPr="007359E3" w:rsidR="007359E3" w:rsidP="007359E3" w:rsidRDefault="007359E3" w14:paraId="11CF4646"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101</w:t>
            </w:r>
          </w:p>
        </w:tc>
        <w:tc>
          <w:tcPr>
            <w:tcW w:w="0" w:type="auto"/>
            <w:tcMar/>
            <w:hideMark/>
          </w:tcPr>
          <w:p w:rsidRPr="007359E3" w:rsidR="007359E3" w:rsidP="007359E3" w:rsidRDefault="007359E3" w14:paraId="57C7A20D"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1.466</w:t>
            </w:r>
          </w:p>
        </w:tc>
        <w:tc>
          <w:tcPr>
            <w:tcW w:w="0" w:type="auto"/>
            <w:tcMar/>
            <w:hideMark/>
          </w:tcPr>
          <w:p w:rsidRPr="007359E3" w:rsidR="007359E3" w:rsidP="007359E3" w:rsidRDefault="007359E3" w14:paraId="20A0B686"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0.764 [0.310, 2.357]</w:t>
            </w:r>
          </w:p>
        </w:tc>
        <w:tc>
          <w:tcPr>
            <w:tcW w:w="0" w:type="auto"/>
            <w:tcMar/>
            <w:hideMark/>
          </w:tcPr>
          <w:p w:rsidRPr="007359E3" w:rsidR="007359E3" w:rsidP="007359E3" w:rsidRDefault="007359E3" w14:paraId="5086F870"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23.33</w:t>
            </w:r>
          </w:p>
        </w:tc>
        <w:tc>
          <w:tcPr>
            <w:tcW w:w="0" w:type="auto"/>
            <w:tcMar/>
            <w:hideMark/>
          </w:tcPr>
          <w:p w:rsidRPr="007359E3" w:rsidR="007359E3" w:rsidP="007359E3" w:rsidRDefault="007359E3" w14:paraId="64F5BEA5"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12.16 [4.93, 37.52]</w:t>
            </w:r>
          </w:p>
        </w:tc>
      </w:tr>
      <w:tr w:rsidRPr="007359E3" w:rsidR="007359E3" w:rsidTr="5E4E44FE" w14:paraId="0D207EBF" w14:textId="77777777">
        <w:tc>
          <w:tcPr>
            <w:tcW w:w="0" w:type="auto"/>
            <w:tcMar/>
            <w:hideMark/>
          </w:tcPr>
          <w:p w:rsidRPr="007359E3" w:rsidR="007359E3" w:rsidP="007359E3" w:rsidRDefault="007359E3" w14:paraId="04536BDC" w14:textId="77777777">
            <w:pPr>
              <w:spacing w:after="0" w:line="240" w:lineRule="auto"/>
              <w:rPr>
                <w:rFonts w:cs="Times New Roman"/>
                <w:sz w:val="20"/>
                <w:szCs w:val="20"/>
                <w:lang w:val="en-GB" w:eastAsia="en-GB"/>
              </w:rPr>
            </w:pPr>
            <w:r w:rsidRPr="007359E3">
              <w:rPr>
                <w:rFonts w:cs="Times New Roman"/>
                <w:sz w:val="20"/>
                <w:szCs w:val="20"/>
                <w:lang w:val="en-GB" w:eastAsia="en-GB"/>
              </w:rPr>
              <w:t>EZ loss</w:t>
            </w:r>
          </w:p>
        </w:tc>
        <w:tc>
          <w:tcPr>
            <w:tcW w:w="0" w:type="auto"/>
            <w:tcMar/>
            <w:hideMark/>
          </w:tcPr>
          <w:p w:rsidRPr="007359E3" w:rsidR="007359E3" w:rsidP="007359E3" w:rsidRDefault="007359E3" w14:paraId="0F5D9364"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Perifoveal 3–6 mm</w:t>
            </w:r>
          </w:p>
        </w:tc>
        <w:tc>
          <w:tcPr>
            <w:tcW w:w="0" w:type="auto"/>
            <w:tcMar/>
            <w:hideMark/>
          </w:tcPr>
          <w:p w:rsidRPr="007359E3" w:rsidR="007359E3" w:rsidP="007359E3" w:rsidRDefault="007359E3" w14:paraId="13EC2D36"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101</w:t>
            </w:r>
          </w:p>
        </w:tc>
        <w:tc>
          <w:tcPr>
            <w:tcW w:w="0" w:type="auto"/>
            <w:tcMar/>
            <w:hideMark/>
          </w:tcPr>
          <w:p w:rsidRPr="007359E3" w:rsidR="007359E3" w:rsidP="007359E3" w:rsidRDefault="007359E3" w14:paraId="668F27D6"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2.967</w:t>
            </w:r>
          </w:p>
        </w:tc>
        <w:tc>
          <w:tcPr>
            <w:tcW w:w="0" w:type="auto"/>
            <w:tcMar/>
            <w:hideMark/>
          </w:tcPr>
          <w:p w:rsidRPr="007359E3" w:rsidR="007359E3" w:rsidP="007359E3" w:rsidRDefault="007359E3" w14:paraId="1CF837ED"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1.381 [0.414, 3.882]</w:t>
            </w:r>
          </w:p>
        </w:tc>
        <w:tc>
          <w:tcPr>
            <w:tcW w:w="0" w:type="auto"/>
            <w:tcMar/>
            <w:hideMark/>
          </w:tcPr>
          <w:p w:rsidRPr="007359E3" w:rsidR="007359E3" w:rsidP="007359E3" w:rsidRDefault="007359E3" w14:paraId="79864A3F"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13.99</w:t>
            </w:r>
          </w:p>
        </w:tc>
        <w:tc>
          <w:tcPr>
            <w:tcW w:w="0" w:type="auto"/>
            <w:tcMar/>
            <w:hideMark/>
          </w:tcPr>
          <w:p w:rsidRPr="007359E3" w:rsidR="007359E3" w:rsidP="007359E3" w:rsidRDefault="007359E3" w14:paraId="2FDB5A35"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6.51 [1.95, 18.31]</w:t>
            </w:r>
          </w:p>
        </w:tc>
      </w:tr>
      <w:tr w:rsidRPr="007359E3" w:rsidR="007359E3" w:rsidTr="5E4E44FE" w14:paraId="07EC2A2B" w14:textId="77777777">
        <w:tc>
          <w:tcPr>
            <w:tcW w:w="0" w:type="auto"/>
            <w:tcMar/>
            <w:hideMark/>
          </w:tcPr>
          <w:p w:rsidRPr="007359E3" w:rsidR="007359E3" w:rsidP="007359E3" w:rsidRDefault="007359E3" w14:paraId="32AB108C" w14:textId="77777777">
            <w:pPr>
              <w:spacing w:after="0" w:line="240" w:lineRule="auto"/>
              <w:rPr>
                <w:rFonts w:cs="Times New Roman"/>
                <w:sz w:val="20"/>
                <w:szCs w:val="20"/>
                <w:lang w:val="en-GB" w:eastAsia="en-GB"/>
              </w:rPr>
            </w:pPr>
            <w:r w:rsidRPr="007359E3">
              <w:rPr>
                <w:rFonts w:cs="Times New Roman"/>
                <w:sz w:val="20"/>
                <w:szCs w:val="20"/>
                <w:lang w:val="en-GB" w:eastAsia="en-GB"/>
              </w:rPr>
              <w:t>EZ loss in isolation</w:t>
            </w:r>
          </w:p>
        </w:tc>
        <w:tc>
          <w:tcPr>
            <w:tcW w:w="0" w:type="auto"/>
            <w:tcMar/>
            <w:hideMark/>
          </w:tcPr>
          <w:p w:rsidRPr="007359E3" w:rsidR="007359E3" w:rsidP="007359E3" w:rsidRDefault="007359E3" w14:paraId="67A6964F"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Central 1 mm</w:t>
            </w:r>
          </w:p>
        </w:tc>
        <w:tc>
          <w:tcPr>
            <w:tcW w:w="0" w:type="auto"/>
            <w:tcMar/>
            <w:hideMark/>
          </w:tcPr>
          <w:p w:rsidRPr="007359E3" w:rsidR="007359E3" w:rsidP="007359E3" w:rsidRDefault="007359E3" w14:paraId="7CE15187"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101</w:t>
            </w:r>
          </w:p>
        </w:tc>
        <w:tc>
          <w:tcPr>
            <w:tcW w:w="0" w:type="auto"/>
            <w:tcMar/>
            <w:hideMark/>
          </w:tcPr>
          <w:p w:rsidRPr="007359E3" w:rsidR="007359E3" w:rsidP="007359E3" w:rsidRDefault="007359E3" w14:paraId="6B019968"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0.137</w:t>
            </w:r>
          </w:p>
        </w:tc>
        <w:tc>
          <w:tcPr>
            <w:tcW w:w="0" w:type="auto"/>
            <w:tcMar/>
            <w:hideMark/>
          </w:tcPr>
          <w:p w:rsidRPr="007359E3" w:rsidR="007359E3" w:rsidP="007359E3" w:rsidRDefault="007359E3" w14:paraId="3767243E"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0.096 [0.028, 0.175]</w:t>
            </w:r>
          </w:p>
        </w:tc>
        <w:tc>
          <w:tcPr>
            <w:tcW w:w="0" w:type="auto"/>
            <w:tcMar/>
            <w:hideMark/>
          </w:tcPr>
          <w:p w:rsidRPr="007359E3" w:rsidR="007359E3" w:rsidP="007359E3" w:rsidRDefault="007359E3" w14:paraId="0AE622F0"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17.41</w:t>
            </w:r>
          </w:p>
        </w:tc>
        <w:tc>
          <w:tcPr>
            <w:tcW w:w="0" w:type="auto"/>
            <w:tcMar/>
            <w:hideMark/>
          </w:tcPr>
          <w:p w:rsidRPr="007359E3" w:rsidR="007359E3" w:rsidP="007359E3" w:rsidRDefault="007359E3" w14:paraId="39D6FE72"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12.25 [3.59, 22.33]</w:t>
            </w:r>
          </w:p>
        </w:tc>
      </w:tr>
      <w:tr w:rsidRPr="007359E3" w:rsidR="007359E3" w:rsidTr="5E4E44FE" w14:paraId="036B573B" w14:textId="77777777">
        <w:tc>
          <w:tcPr>
            <w:tcW w:w="0" w:type="auto"/>
            <w:tcMar/>
            <w:hideMark/>
          </w:tcPr>
          <w:p w:rsidRPr="007359E3" w:rsidR="007359E3" w:rsidP="007359E3" w:rsidRDefault="007359E3" w14:paraId="0A1A636E" w14:textId="77777777">
            <w:pPr>
              <w:spacing w:after="0" w:line="240" w:lineRule="auto"/>
              <w:rPr>
                <w:rFonts w:cs="Times New Roman"/>
                <w:sz w:val="20"/>
                <w:szCs w:val="20"/>
                <w:lang w:val="en-GB" w:eastAsia="en-GB"/>
              </w:rPr>
            </w:pPr>
            <w:r w:rsidRPr="007359E3">
              <w:rPr>
                <w:rFonts w:cs="Times New Roman"/>
                <w:sz w:val="20"/>
                <w:szCs w:val="20"/>
                <w:lang w:val="en-GB" w:eastAsia="en-GB"/>
              </w:rPr>
              <w:t>EZ loss in isolation</w:t>
            </w:r>
          </w:p>
        </w:tc>
        <w:tc>
          <w:tcPr>
            <w:tcW w:w="0" w:type="auto"/>
            <w:tcMar/>
            <w:hideMark/>
          </w:tcPr>
          <w:p w:rsidRPr="007359E3" w:rsidR="007359E3" w:rsidP="007359E3" w:rsidRDefault="007359E3" w14:paraId="31652218"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Parafoveal 1–3 mm</w:t>
            </w:r>
          </w:p>
        </w:tc>
        <w:tc>
          <w:tcPr>
            <w:tcW w:w="0" w:type="auto"/>
            <w:tcMar/>
            <w:hideMark/>
          </w:tcPr>
          <w:p w:rsidRPr="007359E3" w:rsidR="007359E3" w:rsidP="007359E3" w:rsidRDefault="007359E3" w14:paraId="0FD9AFDD"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101</w:t>
            </w:r>
          </w:p>
        </w:tc>
        <w:tc>
          <w:tcPr>
            <w:tcW w:w="0" w:type="auto"/>
            <w:tcMar/>
            <w:hideMark/>
          </w:tcPr>
          <w:p w:rsidRPr="007359E3" w:rsidR="007359E3" w:rsidP="007359E3" w:rsidRDefault="007359E3" w14:paraId="2D3C6D28"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0.933</w:t>
            </w:r>
          </w:p>
        </w:tc>
        <w:tc>
          <w:tcPr>
            <w:tcW w:w="0" w:type="auto"/>
            <w:tcMar/>
            <w:hideMark/>
          </w:tcPr>
          <w:p w:rsidRPr="007359E3" w:rsidR="007359E3" w:rsidP="007359E3" w:rsidRDefault="007359E3" w14:paraId="02345008"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0.581 [0.313, 1.416]</w:t>
            </w:r>
          </w:p>
        </w:tc>
        <w:tc>
          <w:tcPr>
            <w:tcW w:w="0" w:type="auto"/>
            <w:tcMar/>
            <w:hideMark/>
          </w:tcPr>
          <w:p w:rsidRPr="007359E3" w:rsidR="007359E3" w:rsidP="007359E3" w:rsidRDefault="007359E3" w14:paraId="2BEEF4BC"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14.85</w:t>
            </w:r>
          </w:p>
        </w:tc>
        <w:tc>
          <w:tcPr>
            <w:tcW w:w="0" w:type="auto"/>
            <w:tcMar/>
            <w:hideMark/>
          </w:tcPr>
          <w:p w:rsidRPr="007359E3" w:rsidR="007359E3" w:rsidP="007359E3" w:rsidRDefault="007359E3" w14:paraId="092FA220"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9.24 [4.98, 22.53]</w:t>
            </w:r>
          </w:p>
        </w:tc>
      </w:tr>
      <w:tr w:rsidRPr="007359E3" w:rsidR="007359E3" w:rsidTr="5E4E44FE" w14:paraId="6D570411" w14:textId="77777777">
        <w:tc>
          <w:tcPr>
            <w:tcW w:w="0" w:type="auto"/>
            <w:tcBorders>
              <w:bottom w:val="single" w:color="000000" w:themeColor="text1" w:sz="12"/>
            </w:tcBorders>
            <w:tcMar/>
            <w:hideMark/>
          </w:tcPr>
          <w:p w:rsidRPr="007359E3" w:rsidR="007359E3" w:rsidP="007359E3" w:rsidRDefault="007359E3" w14:paraId="47FE2F5A" w14:textId="77777777">
            <w:pPr>
              <w:spacing w:after="0" w:line="240" w:lineRule="auto"/>
              <w:rPr>
                <w:rFonts w:cs="Times New Roman"/>
                <w:sz w:val="20"/>
                <w:szCs w:val="20"/>
                <w:lang w:val="en-GB" w:eastAsia="en-GB"/>
              </w:rPr>
            </w:pPr>
            <w:r w:rsidRPr="007359E3">
              <w:rPr>
                <w:rFonts w:cs="Times New Roman"/>
                <w:sz w:val="20"/>
                <w:szCs w:val="20"/>
                <w:lang w:val="en-GB" w:eastAsia="en-GB"/>
              </w:rPr>
              <w:t>EZ loss in isolation</w:t>
            </w:r>
          </w:p>
        </w:tc>
        <w:tc>
          <w:tcPr>
            <w:tcW w:w="0" w:type="auto"/>
            <w:tcBorders>
              <w:bottom w:val="single" w:color="000000" w:themeColor="text1" w:sz="12"/>
            </w:tcBorders>
            <w:tcMar/>
            <w:hideMark/>
          </w:tcPr>
          <w:p w:rsidRPr="007359E3" w:rsidR="007359E3" w:rsidP="007359E3" w:rsidRDefault="007359E3" w14:paraId="7D6B5D05"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Perifoveal 3–6 mm</w:t>
            </w:r>
          </w:p>
        </w:tc>
        <w:tc>
          <w:tcPr>
            <w:tcW w:w="0" w:type="auto"/>
            <w:tcBorders>
              <w:bottom w:val="single" w:color="000000" w:themeColor="text1" w:sz="12"/>
            </w:tcBorders>
            <w:tcMar/>
            <w:hideMark/>
          </w:tcPr>
          <w:p w:rsidRPr="007359E3" w:rsidR="007359E3" w:rsidP="007359E3" w:rsidRDefault="007359E3" w14:paraId="1ADC740B"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101</w:t>
            </w:r>
          </w:p>
        </w:tc>
        <w:tc>
          <w:tcPr>
            <w:tcW w:w="0" w:type="auto"/>
            <w:tcBorders>
              <w:bottom w:val="single" w:color="000000" w:themeColor="text1" w:sz="12"/>
            </w:tcBorders>
            <w:tcMar/>
            <w:hideMark/>
          </w:tcPr>
          <w:p w:rsidRPr="007359E3" w:rsidR="007359E3" w:rsidP="007359E3" w:rsidRDefault="007359E3" w14:paraId="165C7AC7"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1.848</w:t>
            </w:r>
          </w:p>
        </w:tc>
        <w:tc>
          <w:tcPr>
            <w:tcW w:w="0" w:type="auto"/>
            <w:tcBorders>
              <w:bottom w:val="single" w:color="000000" w:themeColor="text1" w:sz="12"/>
            </w:tcBorders>
            <w:tcMar/>
            <w:hideMark/>
          </w:tcPr>
          <w:p w:rsidRPr="007359E3" w:rsidR="007359E3" w:rsidP="007359E3" w:rsidRDefault="007359E3" w14:paraId="74DEE148"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1.132 [0.279, 2.290]</w:t>
            </w:r>
          </w:p>
        </w:tc>
        <w:tc>
          <w:tcPr>
            <w:tcW w:w="0" w:type="auto"/>
            <w:tcBorders>
              <w:bottom w:val="single" w:color="000000" w:themeColor="text1" w:sz="12"/>
            </w:tcBorders>
            <w:tcMar/>
            <w:hideMark/>
          </w:tcPr>
          <w:p w:rsidRPr="007359E3" w:rsidR="007359E3" w:rsidP="007359E3" w:rsidRDefault="007359E3" w14:paraId="257581D1"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8.72</w:t>
            </w:r>
          </w:p>
        </w:tc>
        <w:tc>
          <w:tcPr>
            <w:tcW w:w="0" w:type="auto"/>
            <w:tcBorders>
              <w:bottom w:val="single" w:color="000000" w:themeColor="text1" w:sz="12"/>
            </w:tcBorders>
            <w:tcMar/>
            <w:hideMark/>
          </w:tcPr>
          <w:p w:rsidRPr="007359E3" w:rsidR="007359E3" w:rsidP="007359E3" w:rsidRDefault="007359E3" w14:paraId="2801EFBE" w14:textId="77777777">
            <w:pPr>
              <w:spacing w:after="0" w:line="240" w:lineRule="auto"/>
              <w:jc w:val="right"/>
              <w:rPr>
                <w:rFonts w:cs="Times New Roman"/>
                <w:sz w:val="20"/>
                <w:szCs w:val="20"/>
                <w:lang w:val="en-GB" w:eastAsia="en-GB"/>
              </w:rPr>
            </w:pPr>
            <w:r w:rsidRPr="007359E3">
              <w:rPr>
                <w:rFonts w:cs="Times New Roman"/>
                <w:sz w:val="20"/>
                <w:szCs w:val="20"/>
                <w:lang w:val="en-GB" w:eastAsia="en-GB"/>
              </w:rPr>
              <w:t>5.34 [1.32, 10.80]</w:t>
            </w:r>
          </w:p>
        </w:tc>
      </w:tr>
    </w:tbl>
    <w:p w:rsidRPr="006F5F77" w:rsidR="007359E3" w:rsidP="5E4E44FE" w:rsidRDefault="007359E3" w14:paraId="3E43FB49" w14:textId="5AC42E21">
      <w:pPr>
        <w:spacing w:before="100" w:beforeAutospacing="on" w:after="100" w:afterAutospacing="on" w:line="480" w:lineRule="auto"/>
        <w:jc w:val="both"/>
        <w:rPr>
          <w:rFonts w:cs="Times New Roman"/>
          <w:color w:val="595959" w:themeColor="text1" w:themeTint="A6"/>
          <w:sz w:val="16"/>
          <w:szCs w:val="16"/>
          <w:lang w:val="en-GB" w:eastAsia="en-GB"/>
        </w:rPr>
      </w:pPr>
      <w:r w:rsidRPr="5E4E44FE" w:rsidR="5D0B8B85">
        <w:rPr>
          <w:rFonts w:cs="Times New Roman"/>
          <w:b w:val="1"/>
          <w:bCs w:val="1"/>
          <w:color w:val="595959" w:themeColor="text1" w:themeTint="A6" w:themeShade="FF"/>
          <w:sz w:val="16"/>
          <w:szCs w:val="16"/>
          <w:lang w:val="en-GB" w:eastAsia="en-GB"/>
        </w:rPr>
        <w:t>Supplementary Table S4. ETDRS regional inter-eye asymmetry across primary OCT-derived biomarkers.</w:t>
      </w:r>
      <w:r w:rsidRPr="5E4E44FE" w:rsidR="5D0B8B85">
        <w:rPr>
          <w:rFonts w:cs="Times New Roman"/>
          <w:b w:val="1"/>
          <w:bCs w:val="1"/>
          <w:color w:val="595959" w:themeColor="text1" w:themeTint="A6" w:themeShade="FF"/>
          <w:sz w:val="16"/>
          <w:szCs w:val="16"/>
          <w:lang w:val="en-GB" w:eastAsia="en-GB"/>
        </w:rPr>
        <w:t xml:space="preserve"> </w:t>
      </w:r>
      <w:r w:rsidRPr="5E4E44FE" w:rsidR="5D0B8B85">
        <w:rPr>
          <w:rFonts w:cs="Times New Roman"/>
          <w:color w:val="595959" w:themeColor="text1" w:themeTint="A6" w:themeShade="FF"/>
          <w:sz w:val="16"/>
          <w:szCs w:val="16"/>
          <w:lang w:val="en-GB" w:eastAsia="en-GB"/>
        </w:rPr>
        <w:t xml:space="preserve">Values are reported as mean and median [interquartile range]. Occupancy-normalised lesion area was defined as the percentage of each ETDRS region occupied by the biomarker. Measurements were calculated using fixed right-eye versus left-eye pairing. Sample size varied by biomarker where paired ETDRS regional measurements were unavailable; ETDRS regional </w:t>
      </w:r>
      <w:r w:rsidRPr="5E4E44FE" w:rsidR="65F8444A">
        <w:rPr>
          <w:rFonts w:cs="Times New Roman"/>
          <w:color w:val="595959" w:themeColor="text1" w:themeTint="A6" w:themeShade="FF"/>
          <w:sz w:val="16"/>
          <w:szCs w:val="16"/>
          <w:lang w:val="en-GB" w:eastAsia="en-GB"/>
        </w:rPr>
        <w:t>EZ-IZ loss</w:t>
      </w:r>
      <w:r w:rsidRPr="5E4E44FE" w:rsidR="5D0B8B85">
        <w:rPr>
          <w:rFonts w:cs="Times New Roman"/>
          <w:color w:val="595959" w:themeColor="text1" w:themeTint="A6" w:themeShade="FF"/>
          <w:sz w:val="16"/>
          <w:szCs w:val="16"/>
          <w:lang w:val="en-GB" w:eastAsia="en-GB"/>
        </w:rPr>
        <w:t xml:space="preserve"> measurements were available for the PROBE-IGA cohort only.</w:t>
      </w:r>
    </w:p>
    <w:p w:rsidRPr="000658BC" w:rsidR="6EE11D5F" w:rsidP="00143F3C" w:rsidRDefault="6EE11D5F" w14:paraId="72271738" w14:textId="77777777">
      <w:pPr>
        <w:spacing w:before="40" w:line="480" w:lineRule="auto"/>
        <w:jc w:val="both"/>
        <w:rPr>
          <w:rFonts w:ascii="Arial" w:hAnsi="Arial" w:eastAsia="Arial" w:cs="Arial"/>
          <w:color w:val="595959" w:themeColor="text1" w:themeTint="A6"/>
          <w:sz w:val="16"/>
          <w:szCs w:val="16"/>
        </w:rPr>
      </w:pPr>
    </w:p>
    <w:sectPr w:rsidRPr="000658BC" w:rsidR="6EE11D5F" w:rsidSect="00034616">
      <w:pgSz w:w="12240" w:h="15840" w:orient="portrait"/>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16cid:durableId="583033030">
    <w:abstractNumId w:val="8"/>
  </w:num>
  <w:num w:numId="2" w16cid:durableId="1670987335">
    <w:abstractNumId w:val="6"/>
  </w:num>
  <w:num w:numId="3" w16cid:durableId="1308121569">
    <w:abstractNumId w:val="5"/>
  </w:num>
  <w:num w:numId="4" w16cid:durableId="1001935332">
    <w:abstractNumId w:val="4"/>
  </w:num>
  <w:num w:numId="5" w16cid:durableId="1072700041">
    <w:abstractNumId w:val="7"/>
  </w:num>
  <w:num w:numId="6" w16cid:durableId="141312804">
    <w:abstractNumId w:val="3"/>
  </w:num>
  <w:num w:numId="7" w16cid:durableId="465507466">
    <w:abstractNumId w:val="2"/>
  </w:num>
  <w:num w:numId="8" w16cid:durableId="1352336077">
    <w:abstractNumId w:val="1"/>
  </w:num>
  <w:num w:numId="9" w16cid:durableId="1027801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2"/>
  <w:proofState w:spelling="clean" w:grammar="dirty"/>
  <w:trackRevisions w:val="false"/>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2867"/>
    <w:rsid w:val="00034616"/>
    <w:rsid w:val="00053158"/>
    <w:rsid w:val="0006063C"/>
    <w:rsid w:val="000658BC"/>
    <w:rsid w:val="000F5F04"/>
    <w:rsid w:val="00143F3C"/>
    <w:rsid w:val="0015074B"/>
    <w:rsid w:val="001E5966"/>
    <w:rsid w:val="00245D41"/>
    <w:rsid w:val="0029639D"/>
    <w:rsid w:val="00326F90"/>
    <w:rsid w:val="00412FA7"/>
    <w:rsid w:val="0041474D"/>
    <w:rsid w:val="00433BC2"/>
    <w:rsid w:val="0043AFFD"/>
    <w:rsid w:val="00513C42"/>
    <w:rsid w:val="00583DFD"/>
    <w:rsid w:val="005F031B"/>
    <w:rsid w:val="00611E4A"/>
    <w:rsid w:val="00644D4D"/>
    <w:rsid w:val="006F5F77"/>
    <w:rsid w:val="007359E3"/>
    <w:rsid w:val="00777A19"/>
    <w:rsid w:val="009922D8"/>
    <w:rsid w:val="00AA1D8D"/>
    <w:rsid w:val="00B47730"/>
    <w:rsid w:val="00BC3F25"/>
    <w:rsid w:val="00BD420F"/>
    <w:rsid w:val="00CB0664"/>
    <w:rsid w:val="00E0414B"/>
    <w:rsid w:val="00E81F7E"/>
    <w:rsid w:val="00EE331C"/>
    <w:rsid w:val="00F018A6"/>
    <w:rsid w:val="00F95C2D"/>
    <w:rsid w:val="00FC693F"/>
    <w:rsid w:val="04764884"/>
    <w:rsid w:val="06979316"/>
    <w:rsid w:val="069B25F3"/>
    <w:rsid w:val="07C0E919"/>
    <w:rsid w:val="0879280A"/>
    <w:rsid w:val="0A7A1709"/>
    <w:rsid w:val="0FE4863C"/>
    <w:rsid w:val="1050287A"/>
    <w:rsid w:val="117E5D13"/>
    <w:rsid w:val="134DAAC7"/>
    <w:rsid w:val="15A829DF"/>
    <w:rsid w:val="16C3031D"/>
    <w:rsid w:val="1B2241AE"/>
    <w:rsid w:val="1B6ACBC6"/>
    <w:rsid w:val="1C8A6DE6"/>
    <w:rsid w:val="22A46286"/>
    <w:rsid w:val="2387D89F"/>
    <w:rsid w:val="23FBEE2C"/>
    <w:rsid w:val="25040231"/>
    <w:rsid w:val="26D0FADE"/>
    <w:rsid w:val="26F59FC4"/>
    <w:rsid w:val="27D70919"/>
    <w:rsid w:val="292EC2A9"/>
    <w:rsid w:val="2A46EE3B"/>
    <w:rsid w:val="2CE40E8F"/>
    <w:rsid w:val="2DCFFDAE"/>
    <w:rsid w:val="311DC734"/>
    <w:rsid w:val="340F975D"/>
    <w:rsid w:val="34BFAA5D"/>
    <w:rsid w:val="35ECD7D9"/>
    <w:rsid w:val="37C0C752"/>
    <w:rsid w:val="39878BE0"/>
    <w:rsid w:val="3A4A768C"/>
    <w:rsid w:val="3A6B0623"/>
    <w:rsid w:val="3C34BE3A"/>
    <w:rsid w:val="3D1EEB92"/>
    <w:rsid w:val="3FE69A74"/>
    <w:rsid w:val="408E9D2A"/>
    <w:rsid w:val="40C232A5"/>
    <w:rsid w:val="40F53B98"/>
    <w:rsid w:val="41C97178"/>
    <w:rsid w:val="426B53D8"/>
    <w:rsid w:val="42F38F83"/>
    <w:rsid w:val="432D4D42"/>
    <w:rsid w:val="4800E6D1"/>
    <w:rsid w:val="4979B7E7"/>
    <w:rsid w:val="4AB3752D"/>
    <w:rsid w:val="4AF46DD7"/>
    <w:rsid w:val="4B8A7918"/>
    <w:rsid w:val="4E35E2C1"/>
    <w:rsid w:val="4F9351E1"/>
    <w:rsid w:val="50C08C3E"/>
    <w:rsid w:val="5230E310"/>
    <w:rsid w:val="5421581A"/>
    <w:rsid w:val="563670E3"/>
    <w:rsid w:val="589BB12F"/>
    <w:rsid w:val="5D0B8B85"/>
    <w:rsid w:val="5E4E44FE"/>
    <w:rsid w:val="6047C011"/>
    <w:rsid w:val="614E3F23"/>
    <w:rsid w:val="61ABECE1"/>
    <w:rsid w:val="621B547B"/>
    <w:rsid w:val="62F0034E"/>
    <w:rsid w:val="63D1CC7C"/>
    <w:rsid w:val="65F8444A"/>
    <w:rsid w:val="68FA5B1A"/>
    <w:rsid w:val="6A2CC48A"/>
    <w:rsid w:val="6AFF2451"/>
    <w:rsid w:val="6CC81AE9"/>
    <w:rsid w:val="6E5E1F7F"/>
    <w:rsid w:val="6EE11D5F"/>
    <w:rsid w:val="6EFFE072"/>
    <w:rsid w:val="71172D30"/>
    <w:rsid w:val="71DA6779"/>
    <w:rsid w:val="731AD87C"/>
    <w:rsid w:val="73910847"/>
    <w:rsid w:val="74CFC6BA"/>
    <w:rsid w:val="755DE0AB"/>
    <w:rsid w:val="75BC9BFE"/>
    <w:rsid w:val="76655907"/>
    <w:rsid w:val="76D259FE"/>
    <w:rsid w:val="78A200E3"/>
    <w:rsid w:val="7C2E03A4"/>
    <w:rsid w:val="7C753F17"/>
    <w:rsid w:val="7DE390A8"/>
    <w:rsid w:val="7DF491E0"/>
    <w:rsid w:val="7E2235E9"/>
    <w:rsid w:val="7E27C6F1"/>
    <w:rsid w:val="7F4E57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A83814"/>
  <w14:defaultImageDpi w14:val="300"/>
  <w15:docId w15:val="{CB1CF616-C7CA-FB44-B055-BF0CCA0AF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spacing w:after="120" w:line="264" w:lineRule="auto"/>
    </w:pPr>
    <w:rPr>
      <w:rFonts w:ascii="Times New Roman" w:hAnsi="Times New Roman" w:eastAsia="Times New Roman"/>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hAnsiTheme="majorHAnsi" w:eastAsiaTheme="majorEastAsia"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E0414B"/>
    <w:pPr>
      <w:spacing w:before="100" w:beforeAutospacing="1" w:after="100" w:afterAutospacing="1" w:line="240" w:lineRule="auto"/>
    </w:pPr>
    <w:rPr>
      <w:rFonts w:cs="Times New Roman"/>
      <w:sz w:val="24"/>
      <w:szCs w:val="24"/>
      <w:lang w:val="en-GB" w:eastAsia="en-GB"/>
    </w:rPr>
  </w:style>
  <w:style w:type="character" w:styleId="normaltextrun" w:customStyle="1">
    <w:name w:val="normaltextrun"/>
    <w:basedOn w:val="DefaultParagraphFont"/>
    <w:rsid w:val="00412F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 Type="http://schemas.openxmlformats.org/officeDocument/2006/relationships/image" Target="/media/image3.png" Id="rId1872055791" /><Relationship Type="http://schemas.openxmlformats.org/officeDocument/2006/relationships/image" Target="/media/image2.png" Id="rId1821338465" /><Relationship Type="http://schemas.openxmlformats.org/officeDocument/2006/relationships/image" Target="/media/image4.png" Id="rId643439011" /><Relationship Type="http://schemas.openxmlformats.org/officeDocument/2006/relationships/image" Target="/media/image5.png" Id="rId181235469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BAGGA, Pallavi (MOORFIELDS EYE HOSPITAL NHS FOUNDATION TRUST)</lastModifiedBy>
  <revision>30</revision>
  <dcterms:created xsi:type="dcterms:W3CDTF">2013-12-23T23:15:00.0000000Z</dcterms:created>
  <dcterms:modified xsi:type="dcterms:W3CDTF">2026-08-11T13:01:34.3526643Z</dcterms:modified>
  <category/>
</coreProperties>
</file>