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A0CB8" w14:textId="77777777" w:rsidR="00FF39E3" w:rsidRDefault="00000000">
      <w:pPr>
        <w:jc w:val="center"/>
      </w:pPr>
      <w:r>
        <w:rPr>
          <w:b/>
          <w:sz w:val="24"/>
        </w:rPr>
        <w:t>Table 4. Follow-up outcomes</w:t>
      </w:r>
    </w:p>
    <w:p w14:paraId="4446D7D1" w14:textId="5B5E492F" w:rsidR="00FF39E3" w:rsidRDefault="00000000">
      <w:pPr>
        <w:jc w:val="center"/>
      </w:pPr>
      <w:r>
        <w:rPr>
          <w:i/>
          <w:sz w:val="18"/>
        </w:rPr>
        <w:t xml:space="preserve">Comparison </w:t>
      </w:r>
      <w:r w:rsidR="00873491">
        <w:rPr>
          <w:i/>
          <w:sz w:val="18"/>
        </w:rPr>
        <w:t>b</w:t>
      </w:r>
      <w:r>
        <w:rPr>
          <w:i/>
          <w:sz w:val="18"/>
        </w:rPr>
        <w:t>etween standard transperitoneal laparoscopic pyelolithotomy and modified posterior transperitoneal laparoscopic pyelolithotomy</w:t>
      </w:r>
    </w:p>
    <w:tbl>
      <w:tblPr>
        <w:tblStyle w:val="TableGrid"/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4680"/>
        <w:gridCol w:w="1944"/>
        <w:gridCol w:w="1944"/>
        <w:gridCol w:w="1800"/>
      </w:tblGrid>
      <w:tr w:rsidR="00FF39E3" w14:paraId="0B87E57D" w14:textId="77777777">
        <w:trPr>
          <w:tblHeader/>
          <w:jc w:val="center"/>
        </w:trPr>
        <w:tc>
          <w:tcPr>
            <w:tcW w:w="4680" w:type="dxa"/>
            <w:shd w:val="clear" w:color="auto" w:fill="D9EAF7"/>
            <w:vAlign w:val="center"/>
          </w:tcPr>
          <w:p w14:paraId="6CD25932" w14:textId="77777777" w:rsidR="00FF39E3" w:rsidRDefault="00000000">
            <w:pPr>
              <w:jc w:val="center"/>
            </w:pPr>
            <w:r>
              <w:rPr>
                <w:b/>
              </w:rPr>
              <w:t>Outcome</w:t>
            </w:r>
          </w:p>
        </w:tc>
        <w:tc>
          <w:tcPr>
            <w:tcW w:w="1944" w:type="dxa"/>
            <w:shd w:val="clear" w:color="auto" w:fill="D9EAF7"/>
            <w:vAlign w:val="center"/>
          </w:tcPr>
          <w:p w14:paraId="5CB4BF0F" w14:textId="77777777" w:rsidR="00FF39E3" w:rsidRDefault="00000000">
            <w:pPr>
              <w:jc w:val="center"/>
            </w:pPr>
            <w:r>
              <w:rPr>
                <w:b/>
              </w:rPr>
              <w:t>Group A</w:t>
            </w:r>
            <w:r>
              <w:rPr>
                <w:b/>
              </w:rPr>
              <w:br/>
              <w:t>(n = 18)</w:t>
            </w:r>
          </w:p>
        </w:tc>
        <w:tc>
          <w:tcPr>
            <w:tcW w:w="1944" w:type="dxa"/>
            <w:shd w:val="clear" w:color="auto" w:fill="D9EAF7"/>
            <w:vAlign w:val="center"/>
          </w:tcPr>
          <w:p w14:paraId="1D1291DF" w14:textId="77777777" w:rsidR="00FF39E3" w:rsidRDefault="00000000">
            <w:pPr>
              <w:jc w:val="center"/>
            </w:pPr>
            <w:r>
              <w:rPr>
                <w:b/>
              </w:rPr>
              <w:t>Group B</w:t>
            </w:r>
            <w:r>
              <w:rPr>
                <w:b/>
              </w:rPr>
              <w:br/>
              <w:t>(n = 18)</w:t>
            </w:r>
          </w:p>
        </w:tc>
        <w:tc>
          <w:tcPr>
            <w:tcW w:w="1296" w:type="dxa"/>
            <w:shd w:val="clear" w:color="auto" w:fill="D9EAF7"/>
            <w:vAlign w:val="center"/>
          </w:tcPr>
          <w:p w14:paraId="6C72CF4E" w14:textId="77777777" w:rsidR="00FF39E3" w:rsidRDefault="00000000">
            <w:pPr>
              <w:jc w:val="center"/>
            </w:pPr>
            <w:r>
              <w:rPr>
                <w:b/>
              </w:rPr>
              <w:t>p-value</w:t>
            </w:r>
          </w:p>
        </w:tc>
      </w:tr>
      <w:tr w:rsidR="00FF39E3" w14:paraId="5FA2B740" w14:textId="77777777">
        <w:trPr>
          <w:jc w:val="center"/>
        </w:trPr>
        <w:tc>
          <w:tcPr>
            <w:tcW w:w="10368" w:type="dxa"/>
            <w:gridSpan w:val="4"/>
            <w:shd w:val="clear" w:color="auto" w:fill="EDEDED"/>
            <w:vAlign w:val="center"/>
          </w:tcPr>
          <w:p w14:paraId="777BB384" w14:textId="77777777" w:rsidR="00FF39E3" w:rsidRDefault="00000000">
            <w:r>
              <w:rPr>
                <w:b/>
              </w:rPr>
              <w:t>6-week follow-up</w:t>
            </w:r>
          </w:p>
        </w:tc>
      </w:tr>
      <w:tr w:rsidR="00FF39E3" w14:paraId="3721490A" w14:textId="77777777">
        <w:trPr>
          <w:jc w:val="center"/>
        </w:trPr>
        <w:tc>
          <w:tcPr>
            <w:tcW w:w="4680" w:type="dxa"/>
            <w:vAlign w:val="center"/>
          </w:tcPr>
          <w:p w14:paraId="005D0C76" w14:textId="77777777" w:rsidR="00FF39E3" w:rsidRDefault="00000000">
            <w:r>
              <w:t>Hydronephrosis</w:t>
            </w:r>
          </w:p>
        </w:tc>
        <w:tc>
          <w:tcPr>
            <w:tcW w:w="1944" w:type="dxa"/>
            <w:vAlign w:val="center"/>
          </w:tcPr>
          <w:p w14:paraId="0CB3C829" w14:textId="77777777" w:rsidR="00FF39E3" w:rsidRDefault="00000000">
            <w:pPr>
              <w:jc w:val="center"/>
            </w:pPr>
            <w:r>
              <w:t>1 (5.6%)</w:t>
            </w:r>
          </w:p>
        </w:tc>
        <w:tc>
          <w:tcPr>
            <w:tcW w:w="1944" w:type="dxa"/>
            <w:vAlign w:val="center"/>
          </w:tcPr>
          <w:p w14:paraId="681296B3" w14:textId="77777777" w:rsidR="00FF39E3" w:rsidRDefault="00000000">
            <w:pPr>
              <w:jc w:val="center"/>
            </w:pPr>
            <w:r>
              <w:t>3 (16.7%)</w:t>
            </w:r>
          </w:p>
        </w:tc>
        <w:tc>
          <w:tcPr>
            <w:tcW w:w="1296" w:type="dxa"/>
            <w:vAlign w:val="center"/>
          </w:tcPr>
          <w:p w14:paraId="2C2C3606" w14:textId="77777777" w:rsidR="00FF39E3" w:rsidRDefault="00000000">
            <w:pPr>
              <w:jc w:val="center"/>
            </w:pPr>
            <w:r>
              <w:t>0.603</w:t>
            </w:r>
          </w:p>
        </w:tc>
      </w:tr>
      <w:tr w:rsidR="00FF39E3" w14:paraId="64D87DD4" w14:textId="77777777">
        <w:trPr>
          <w:jc w:val="center"/>
        </w:trPr>
        <w:tc>
          <w:tcPr>
            <w:tcW w:w="4680" w:type="dxa"/>
            <w:vAlign w:val="center"/>
          </w:tcPr>
          <w:p w14:paraId="12FBDBB4" w14:textId="77777777" w:rsidR="00FF39E3" w:rsidRDefault="00000000">
            <w:r>
              <w:t>Residual stone fragment</w:t>
            </w:r>
          </w:p>
        </w:tc>
        <w:tc>
          <w:tcPr>
            <w:tcW w:w="1944" w:type="dxa"/>
            <w:vAlign w:val="center"/>
          </w:tcPr>
          <w:p w14:paraId="63283E69" w14:textId="77777777" w:rsidR="00FF39E3" w:rsidRDefault="00000000">
            <w:pPr>
              <w:jc w:val="center"/>
            </w:pPr>
            <w:r>
              <w:t>0 (0.0%)</w:t>
            </w:r>
          </w:p>
        </w:tc>
        <w:tc>
          <w:tcPr>
            <w:tcW w:w="1944" w:type="dxa"/>
            <w:vAlign w:val="center"/>
          </w:tcPr>
          <w:p w14:paraId="19EF40ED" w14:textId="77777777" w:rsidR="00FF39E3" w:rsidRDefault="00000000">
            <w:pPr>
              <w:jc w:val="center"/>
            </w:pPr>
            <w:r>
              <w:t>1 (5.6%)</w:t>
            </w:r>
          </w:p>
        </w:tc>
        <w:tc>
          <w:tcPr>
            <w:tcW w:w="1296" w:type="dxa"/>
            <w:vAlign w:val="center"/>
          </w:tcPr>
          <w:p w14:paraId="0A9A8477" w14:textId="77777777" w:rsidR="00FF39E3" w:rsidRDefault="00000000">
            <w:pPr>
              <w:jc w:val="center"/>
            </w:pPr>
            <w:r>
              <w:t>1.000</w:t>
            </w:r>
          </w:p>
        </w:tc>
      </w:tr>
      <w:tr w:rsidR="00FF39E3" w14:paraId="2B60402B" w14:textId="77777777">
        <w:trPr>
          <w:jc w:val="center"/>
        </w:trPr>
        <w:tc>
          <w:tcPr>
            <w:tcW w:w="4680" w:type="dxa"/>
            <w:vAlign w:val="center"/>
          </w:tcPr>
          <w:p w14:paraId="60601B7C" w14:textId="77777777" w:rsidR="00FF39E3" w:rsidRDefault="00000000">
            <w:r>
              <w:t>Stone-free status</w:t>
            </w:r>
          </w:p>
        </w:tc>
        <w:tc>
          <w:tcPr>
            <w:tcW w:w="1944" w:type="dxa"/>
            <w:vAlign w:val="center"/>
          </w:tcPr>
          <w:p w14:paraId="620B4C58" w14:textId="77777777" w:rsidR="00FF39E3" w:rsidRDefault="00000000">
            <w:pPr>
              <w:jc w:val="center"/>
            </w:pPr>
            <w:r>
              <w:t>18 (100.0%)</w:t>
            </w:r>
          </w:p>
        </w:tc>
        <w:tc>
          <w:tcPr>
            <w:tcW w:w="1944" w:type="dxa"/>
            <w:vAlign w:val="center"/>
          </w:tcPr>
          <w:p w14:paraId="667CC62D" w14:textId="77777777" w:rsidR="00FF39E3" w:rsidRDefault="00000000">
            <w:pPr>
              <w:jc w:val="center"/>
            </w:pPr>
            <w:r>
              <w:t>17 (94.4%)</w:t>
            </w:r>
          </w:p>
        </w:tc>
        <w:tc>
          <w:tcPr>
            <w:tcW w:w="1296" w:type="dxa"/>
            <w:vAlign w:val="center"/>
          </w:tcPr>
          <w:p w14:paraId="5BCB9000" w14:textId="77777777" w:rsidR="00FF39E3" w:rsidRDefault="00000000">
            <w:pPr>
              <w:jc w:val="center"/>
            </w:pPr>
            <w:r>
              <w:t>1.000</w:t>
            </w:r>
          </w:p>
        </w:tc>
      </w:tr>
      <w:tr w:rsidR="00FF39E3" w14:paraId="2B99651A" w14:textId="77777777">
        <w:trPr>
          <w:jc w:val="center"/>
        </w:trPr>
        <w:tc>
          <w:tcPr>
            <w:tcW w:w="10368" w:type="dxa"/>
            <w:gridSpan w:val="4"/>
            <w:shd w:val="clear" w:color="auto" w:fill="EDEDED"/>
            <w:vAlign w:val="center"/>
          </w:tcPr>
          <w:p w14:paraId="268A883D" w14:textId="77777777" w:rsidR="00FF39E3" w:rsidRDefault="00000000">
            <w:r>
              <w:rPr>
                <w:b/>
              </w:rPr>
              <w:t>3-month follow-up</w:t>
            </w:r>
          </w:p>
        </w:tc>
      </w:tr>
      <w:tr w:rsidR="00FF39E3" w14:paraId="507C4034" w14:textId="77777777">
        <w:trPr>
          <w:jc w:val="center"/>
        </w:trPr>
        <w:tc>
          <w:tcPr>
            <w:tcW w:w="4680" w:type="dxa"/>
            <w:vAlign w:val="center"/>
          </w:tcPr>
          <w:p w14:paraId="36C8613A" w14:textId="77777777" w:rsidR="00FF39E3" w:rsidRDefault="00000000">
            <w:r>
              <w:t>Hydronephrosis</w:t>
            </w:r>
          </w:p>
        </w:tc>
        <w:tc>
          <w:tcPr>
            <w:tcW w:w="1944" w:type="dxa"/>
            <w:vAlign w:val="center"/>
          </w:tcPr>
          <w:p w14:paraId="4046AC30" w14:textId="77777777" w:rsidR="00FF39E3" w:rsidRDefault="00000000">
            <w:pPr>
              <w:jc w:val="center"/>
            </w:pPr>
            <w:r>
              <w:t>0 (0.0%)</w:t>
            </w:r>
          </w:p>
        </w:tc>
        <w:tc>
          <w:tcPr>
            <w:tcW w:w="1944" w:type="dxa"/>
            <w:vAlign w:val="center"/>
          </w:tcPr>
          <w:p w14:paraId="7248772A" w14:textId="77777777" w:rsidR="00FF39E3" w:rsidRDefault="00000000">
            <w:pPr>
              <w:jc w:val="center"/>
            </w:pPr>
            <w:r>
              <w:t>2 (11.1%)</w:t>
            </w:r>
          </w:p>
        </w:tc>
        <w:tc>
          <w:tcPr>
            <w:tcW w:w="1296" w:type="dxa"/>
            <w:vAlign w:val="center"/>
          </w:tcPr>
          <w:p w14:paraId="61107C45" w14:textId="77777777" w:rsidR="00FF39E3" w:rsidRDefault="00000000">
            <w:pPr>
              <w:jc w:val="center"/>
            </w:pPr>
            <w:r>
              <w:t>0.486</w:t>
            </w:r>
          </w:p>
        </w:tc>
      </w:tr>
      <w:tr w:rsidR="00FF39E3" w14:paraId="5C5E37AB" w14:textId="77777777">
        <w:trPr>
          <w:jc w:val="center"/>
        </w:trPr>
        <w:tc>
          <w:tcPr>
            <w:tcW w:w="4680" w:type="dxa"/>
            <w:vAlign w:val="center"/>
          </w:tcPr>
          <w:p w14:paraId="49B7DC43" w14:textId="77777777" w:rsidR="00FF39E3" w:rsidRDefault="00000000">
            <w:r>
              <w:t>Residual stone fragment</w:t>
            </w:r>
          </w:p>
        </w:tc>
        <w:tc>
          <w:tcPr>
            <w:tcW w:w="1944" w:type="dxa"/>
            <w:vAlign w:val="center"/>
          </w:tcPr>
          <w:p w14:paraId="2D89DA39" w14:textId="77777777" w:rsidR="00FF39E3" w:rsidRDefault="00000000">
            <w:pPr>
              <w:jc w:val="center"/>
            </w:pPr>
            <w:r>
              <w:t>0 (0.0%)</w:t>
            </w:r>
          </w:p>
        </w:tc>
        <w:tc>
          <w:tcPr>
            <w:tcW w:w="1944" w:type="dxa"/>
            <w:vAlign w:val="center"/>
          </w:tcPr>
          <w:p w14:paraId="1C85750E" w14:textId="77777777" w:rsidR="00FF39E3" w:rsidRDefault="00000000">
            <w:pPr>
              <w:jc w:val="center"/>
            </w:pPr>
            <w:r>
              <w:t>0 (0.0%)</w:t>
            </w:r>
          </w:p>
        </w:tc>
        <w:tc>
          <w:tcPr>
            <w:tcW w:w="1296" w:type="dxa"/>
            <w:vAlign w:val="center"/>
          </w:tcPr>
          <w:p w14:paraId="46E86457" w14:textId="77777777" w:rsidR="00FF39E3" w:rsidRDefault="00000000">
            <w:pPr>
              <w:jc w:val="center"/>
            </w:pPr>
            <w:r>
              <w:t>N/A</w:t>
            </w:r>
          </w:p>
        </w:tc>
      </w:tr>
      <w:tr w:rsidR="00FF39E3" w14:paraId="0BFBCA44" w14:textId="77777777">
        <w:trPr>
          <w:jc w:val="center"/>
        </w:trPr>
        <w:tc>
          <w:tcPr>
            <w:tcW w:w="4680" w:type="dxa"/>
            <w:vAlign w:val="center"/>
          </w:tcPr>
          <w:p w14:paraId="258A81B3" w14:textId="77777777" w:rsidR="00FF39E3" w:rsidRDefault="00000000">
            <w:r>
              <w:t>Stone-free status</w:t>
            </w:r>
          </w:p>
        </w:tc>
        <w:tc>
          <w:tcPr>
            <w:tcW w:w="1944" w:type="dxa"/>
            <w:vAlign w:val="center"/>
          </w:tcPr>
          <w:p w14:paraId="4D9E7D0E" w14:textId="77777777" w:rsidR="00FF39E3" w:rsidRDefault="00000000">
            <w:pPr>
              <w:jc w:val="center"/>
            </w:pPr>
            <w:r>
              <w:t>18 (100.0%)</w:t>
            </w:r>
          </w:p>
        </w:tc>
        <w:tc>
          <w:tcPr>
            <w:tcW w:w="1944" w:type="dxa"/>
            <w:vAlign w:val="center"/>
          </w:tcPr>
          <w:p w14:paraId="5430516F" w14:textId="77777777" w:rsidR="00FF39E3" w:rsidRDefault="00000000">
            <w:pPr>
              <w:jc w:val="center"/>
            </w:pPr>
            <w:r>
              <w:t>18 (100.0%)</w:t>
            </w:r>
          </w:p>
        </w:tc>
        <w:tc>
          <w:tcPr>
            <w:tcW w:w="1296" w:type="dxa"/>
            <w:vAlign w:val="center"/>
          </w:tcPr>
          <w:p w14:paraId="5CB0F6E0" w14:textId="77777777" w:rsidR="00FF39E3" w:rsidRDefault="00000000">
            <w:pPr>
              <w:jc w:val="center"/>
            </w:pPr>
            <w:r>
              <w:t>N/A</w:t>
            </w:r>
          </w:p>
        </w:tc>
      </w:tr>
    </w:tbl>
    <w:p w14:paraId="558B52D7" w14:textId="77777777" w:rsidR="00FF39E3" w:rsidRDefault="00000000">
      <w:pPr>
        <w:spacing w:before="160" w:after="0"/>
      </w:pPr>
      <w:r>
        <w:rPr>
          <w:sz w:val="18"/>
        </w:rPr>
        <w:t>Data are presented as n (%). P-values were calculated using exact tests/Fisher’s exact test as appropriate. N/A indicates that no statistical comparison was computed because the variable was constant across both treatment groups.</w:t>
      </w:r>
    </w:p>
    <w:p w14:paraId="5CF5EE86" w14:textId="77777777" w:rsidR="00FF39E3" w:rsidRDefault="00000000">
      <w:pPr>
        <w:spacing w:before="40"/>
      </w:pPr>
      <w:r>
        <w:rPr>
          <w:sz w:val="18"/>
        </w:rPr>
        <w:t>Abbreviations: TLP, transperitoneal laparoscopic pyelolithotomy.</w:t>
      </w:r>
    </w:p>
    <w:sectPr w:rsidR="00FF39E3" w:rsidSect="00034616">
      <w:pgSz w:w="12240" w:h="15840"/>
      <w:pgMar w:top="1008" w:right="936" w:bottom="100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5345280">
    <w:abstractNumId w:val="8"/>
  </w:num>
  <w:num w:numId="2" w16cid:durableId="14429787">
    <w:abstractNumId w:val="6"/>
  </w:num>
  <w:num w:numId="3" w16cid:durableId="1795635718">
    <w:abstractNumId w:val="5"/>
  </w:num>
  <w:num w:numId="4" w16cid:durableId="932980119">
    <w:abstractNumId w:val="4"/>
  </w:num>
  <w:num w:numId="5" w16cid:durableId="1266691190">
    <w:abstractNumId w:val="7"/>
  </w:num>
  <w:num w:numId="6" w16cid:durableId="2055150301">
    <w:abstractNumId w:val="3"/>
  </w:num>
  <w:num w:numId="7" w16cid:durableId="193688341">
    <w:abstractNumId w:val="2"/>
  </w:num>
  <w:num w:numId="8" w16cid:durableId="462969947">
    <w:abstractNumId w:val="1"/>
  </w:num>
  <w:num w:numId="9" w16cid:durableId="1192499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73491"/>
    <w:rsid w:val="00AA1D8D"/>
    <w:rsid w:val="00B47730"/>
    <w:rsid w:val="00CB0664"/>
    <w:rsid w:val="00FC693F"/>
    <w:rsid w:val="00FF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E047CC3"/>
  <w14:defaultImageDpi w14:val="300"/>
  <w15:docId w15:val="{67E34E2C-2678-4A4E-968E-D324D187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4. Follow-up outcomes</dc:title>
  <dc:subject/>
  <dc:creator/>
  <cp:keywords/>
  <dc:description>generated by python-docx</dc:description>
  <cp:lastModifiedBy>Alaa Aldakak</cp:lastModifiedBy>
  <cp:revision>2</cp:revision>
  <dcterms:created xsi:type="dcterms:W3CDTF">2013-12-23T23:15:00Z</dcterms:created>
  <dcterms:modified xsi:type="dcterms:W3CDTF">2026-05-22T21:28:00Z</dcterms:modified>
  <cp:category/>
</cp:coreProperties>
</file>