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942AD" w14:textId="77777777" w:rsidR="00715401" w:rsidRDefault="00000000">
      <w:pPr>
        <w:jc w:val="center"/>
      </w:pPr>
      <w:r>
        <w:rPr>
          <w:b/>
          <w:sz w:val="24"/>
        </w:rPr>
        <w:t>Table 2. Intraoperative outcomes</w:t>
      </w:r>
    </w:p>
    <w:p w14:paraId="1D4FBD64" w14:textId="77777777" w:rsidR="00715401" w:rsidRDefault="00000000">
      <w:pPr>
        <w:spacing w:before="60" w:after="60"/>
      </w:pPr>
      <w:r>
        <w:rPr>
          <w:sz w:val="17"/>
        </w:rPr>
        <w:t>Values are presented as median (Q1–Q3) with mean rank for continuous variables, and n (%) for categorical variables.</w:t>
      </w:r>
    </w:p>
    <w:tbl>
      <w:tblPr>
        <w:tblStyle w:val="TableGrid"/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  <w:gridCol w:w="2400"/>
        <w:gridCol w:w="2400"/>
      </w:tblGrid>
      <w:tr w:rsidR="00715401" w14:paraId="7F4552F7" w14:textId="77777777">
        <w:trPr>
          <w:jc w:val="center"/>
        </w:trPr>
        <w:tc>
          <w:tcPr>
            <w:tcW w:w="2400" w:type="dxa"/>
            <w:shd w:val="clear" w:color="auto" w:fill="D9EAF7"/>
            <w:vAlign w:val="center"/>
          </w:tcPr>
          <w:p w14:paraId="1721774D" w14:textId="77777777" w:rsidR="00715401" w:rsidRDefault="00000000">
            <w:pPr>
              <w:jc w:val="center"/>
            </w:pPr>
            <w:r>
              <w:rPr>
                <w:b/>
                <w:sz w:val="17"/>
              </w:rPr>
              <w:t>Variable</w:t>
            </w:r>
          </w:p>
        </w:tc>
        <w:tc>
          <w:tcPr>
            <w:tcW w:w="2400" w:type="dxa"/>
            <w:shd w:val="clear" w:color="auto" w:fill="D9EAF7"/>
            <w:vAlign w:val="center"/>
          </w:tcPr>
          <w:p w14:paraId="79EA93DE" w14:textId="77777777" w:rsidR="00715401" w:rsidRDefault="00000000">
            <w:pPr>
              <w:jc w:val="center"/>
            </w:pPr>
            <w:r>
              <w:rPr>
                <w:b/>
                <w:sz w:val="17"/>
              </w:rPr>
              <w:t>Group A</w:t>
            </w:r>
            <w:r>
              <w:rPr>
                <w:b/>
                <w:sz w:val="17"/>
              </w:rPr>
              <w:br/>
              <w:t>standard-TLP</w:t>
            </w:r>
            <w:r>
              <w:rPr>
                <w:b/>
                <w:sz w:val="17"/>
              </w:rPr>
              <w:br/>
              <w:t>(n = 18)</w:t>
            </w:r>
          </w:p>
        </w:tc>
        <w:tc>
          <w:tcPr>
            <w:tcW w:w="2400" w:type="dxa"/>
            <w:shd w:val="clear" w:color="auto" w:fill="D9EAF7"/>
            <w:vAlign w:val="center"/>
          </w:tcPr>
          <w:p w14:paraId="3737B61E" w14:textId="77777777" w:rsidR="00715401" w:rsidRDefault="00000000">
            <w:pPr>
              <w:jc w:val="center"/>
            </w:pPr>
            <w:r>
              <w:rPr>
                <w:b/>
                <w:sz w:val="17"/>
              </w:rPr>
              <w:t>Mean rank</w:t>
            </w:r>
            <w:r>
              <w:rPr>
                <w:b/>
                <w:sz w:val="17"/>
              </w:rPr>
              <w:br/>
              <w:t>Group A</w:t>
            </w:r>
          </w:p>
        </w:tc>
        <w:tc>
          <w:tcPr>
            <w:tcW w:w="2400" w:type="dxa"/>
            <w:shd w:val="clear" w:color="auto" w:fill="D9EAF7"/>
            <w:vAlign w:val="center"/>
          </w:tcPr>
          <w:p w14:paraId="6F526A26" w14:textId="77777777" w:rsidR="00715401" w:rsidRDefault="00000000">
            <w:pPr>
              <w:jc w:val="center"/>
            </w:pPr>
            <w:r>
              <w:rPr>
                <w:b/>
                <w:sz w:val="17"/>
              </w:rPr>
              <w:t>Group B</w:t>
            </w:r>
            <w:r>
              <w:rPr>
                <w:b/>
                <w:sz w:val="17"/>
              </w:rPr>
              <w:br/>
              <w:t>modified posterior-TLP</w:t>
            </w:r>
            <w:r>
              <w:rPr>
                <w:b/>
                <w:sz w:val="17"/>
              </w:rPr>
              <w:br/>
              <w:t>(n = 18)</w:t>
            </w:r>
          </w:p>
        </w:tc>
        <w:tc>
          <w:tcPr>
            <w:tcW w:w="2400" w:type="dxa"/>
            <w:shd w:val="clear" w:color="auto" w:fill="D9EAF7"/>
            <w:vAlign w:val="center"/>
          </w:tcPr>
          <w:p w14:paraId="47BF180F" w14:textId="77777777" w:rsidR="00715401" w:rsidRDefault="00000000">
            <w:pPr>
              <w:jc w:val="center"/>
            </w:pPr>
            <w:r>
              <w:rPr>
                <w:b/>
                <w:sz w:val="17"/>
              </w:rPr>
              <w:t>Mean rank</w:t>
            </w:r>
            <w:r>
              <w:rPr>
                <w:b/>
                <w:sz w:val="17"/>
              </w:rPr>
              <w:br/>
              <w:t>Group B</w:t>
            </w:r>
          </w:p>
        </w:tc>
        <w:tc>
          <w:tcPr>
            <w:tcW w:w="2400" w:type="dxa"/>
            <w:shd w:val="clear" w:color="auto" w:fill="D9EAF7"/>
            <w:vAlign w:val="center"/>
          </w:tcPr>
          <w:p w14:paraId="090AD2CA" w14:textId="77777777" w:rsidR="00715401" w:rsidRDefault="00000000">
            <w:pPr>
              <w:jc w:val="center"/>
            </w:pPr>
            <w:r>
              <w:rPr>
                <w:b/>
                <w:sz w:val="17"/>
              </w:rPr>
              <w:t>p-value</w:t>
            </w:r>
          </w:p>
        </w:tc>
      </w:tr>
      <w:tr w:rsidR="00715401" w14:paraId="26D10AD4" w14:textId="77777777">
        <w:trPr>
          <w:jc w:val="center"/>
        </w:trPr>
        <w:tc>
          <w:tcPr>
            <w:tcW w:w="2400" w:type="dxa"/>
            <w:vAlign w:val="center"/>
          </w:tcPr>
          <w:p w14:paraId="218CC7CA" w14:textId="77777777" w:rsidR="00715401" w:rsidRPr="002F26A4" w:rsidRDefault="00000000">
            <w:pPr>
              <w:rPr>
                <w:b/>
                <w:bCs/>
              </w:rPr>
            </w:pPr>
            <w:r w:rsidRPr="002F26A4">
              <w:rPr>
                <w:b/>
                <w:bCs/>
                <w:sz w:val="17"/>
              </w:rPr>
              <w:t>Operative time, min</w:t>
            </w:r>
          </w:p>
        </w:tc>
        <w:tc>
          <w:tcPr>
            <w:tcW w:w="2400" w:type="dxa"/>
            <w:vAlign w:val="center"/>
          </w:tcPr>
          <w:p w14:paraId="30D9662D" w14:textId="77777777" w:rsidR="00715401" w:rsidRDefault="00000000">
            <w:pPr>
              <w:jc w:val="center"/>
            </w:pPr>
            <w:r>
              <w:rPr>
                <w:sz w:val="17"/>
              </w:rPr>
              <w:t>125.0 (100.0–141.3)</w:t>
            </w:r>
          </w:p>
        </w:tc>
        <w:tc>
          <w:tcPr>
            <w:tcW w:w="2400" w:type="dxa"/>
            <w:vAlign w:val="center"/>
          </w:tcPr>
          <w:p w14:paraId="1F31A55D" w14:textId="77777777" w:rsidR="00715401" w:rsidRDefault="00000000">
            <w:pPr>
              <w:jc w:val="center"/>
            </w:pPr>
            <w:r>
              <w:rPr>
                <w:sz w:val="17"/>
              </w:rPr>
              <w:t>10.94</w:t>
            </w:r>
          </w:p>
        </w:tc>
        <w:tc>
          <w:tcPr>
            <w:tcW w:w="2400" w:type="dxa"/>
            <w:vAlign w:val="center"/>
          </w:tcPr>
          <w:p w14:paraId="4EA1B288" w14:textId="77777777" w:rsidR="00715401" w:rsidRDefault="00000000">
            <w:pPr>
              <w:jc w:val="center"/>
            </w:pPr>
            <w:r>
              <w:rPr>
                <w:sz w:val="17"/>
              </w:rPr>
              <w:t>172.5 (151.3–186.3)</w:t>
            </w:r>
          </w:p>
        </w:tc>
        <w:tc>
          <w:tcPr>
            <w:tcW w:w="2400" w:type="dxa"/>
            <w:vAlign w:val="center"/>
          </w:tcPr>
          <w:p w14:paraId="2C4AEBC4" w14:textId="77777777" w:rsidR="00715401" w:rsidRDefault="00000000">
            <w:pPr>
              <w:jc w:val="center"/>
            </w:pPr>
            <w:r>
              <w:rPr>
                <w:sz w:val="17"/>
              </w:rPr>
              <w:t>26.06</w:t>
            </w:r>
          </w:p>
        </w:tc>
        <w:tc>
          <w:tcPr>
            <w:tcW w:w="2400" w:type="dxa"/>
            <w:vAlign w:val="center"/>
          </w:tcPr>
          <w:p w14:paraId="5143884E" w14:textId="77777777" w:rsidR="00715401" w:rsidRDefault="00000000">
            <w:pPr>
              <w:jc w:val="center"/>
            </w:pPr>
            <w:r>
              <w:rPr>
                <w:sz w:val="17"/>
              </w:rPr>
              <w:t>&lt;0.001</w:t>
            </w:r>
          </w:p>
        </w:tc>
      </w:tr>
      <w:tr w:rsidR="00715401" w14:paraId="467809AB" w14:textId="77777777">
        <w:trPr>
          <w:jc w:val="center"/>
        </w:trPr>
        <w:tc>
          <w:tcPr>
            <w:tcW w:w="2400" w:type="dxa"/>
            <w:vAlign w:val="center"/>
          </w:tcPr>
          <w:p w14:paraId="3C992F79" w14:textId="77777777" w:rsidR="00715401" w:rsidRPr="002F26A4" w:rsidRDefault="00000000">
            <w:pPr>
              <w:rPr>
                <w:b/>
                <w:bCs/>
              </w:rPr>
            </w:pPr>
            <w:r w:rsidRPr="002F26A4">
              <w:rPr>
                <w:b/>
                <w:bCs/>
                <w:sz w:val="17"/>
              </w:rPr>
              <w:t>Estimated blood loss, mL</w:t>
            </w:r>
          </w:p>
        </w:tc>
        <w:tc>
          <w:tcPr>
            <w:tcW w:w="2400" w:type="dxa"/>
            <w:vAlign w:val="center"/>
          </w:tcPr>
          <w:p w14:paraId="5BBF013C" w14:textId="77777777" w:rsidR="00715401" w:rsidRDefault="00000000">
            <w:pPr>
              <w:jc w:val="center"/>
            </w:pPr>
            <w:r>
              <w:rPr>
                <w:sz w:val="17"/>
              </w:rPr>
              <w:t>40.0 (30.0–60.0)</w:t>
            </w:r>
          </w:p>
        </w:tc>
        <w:tc>
          <w:tcPr>
            <w:tcW w:w="2400" w:type="dxa"/>
            <w:vAlign w:val="center"/>
          </w:tcPr>
          <w:p w14:paraId="499F3130" w14:textId="77777777" w:rsidR="00715401" w:rsidRDefault="00000000">
            <w:pPr>
              <w:jc w:val="center"/>
            </w:pPr>
            <w:r>
              <w:rPr>
                <w:sz w:val="17"/>
              </w:rPr>
              <w:t>12.78</w:t>
            </w:r>
          </w:p>
        </w:tc>
        <w:tc>
          <w:tcPr>
            <w:tcW w:w="2400" w:type="dxa"/>
            <w:vAlign w:val="center"/>
          </w:tcPr>
          <w:p w14:paraId="7B2EE8D5" w14:textId="77777777" w:rsidR="00715401" w:rsidRDefault="00000000">
            <w:pPr>
              <w:jc w:val="center"/>
            </w:pPr>
            <w:r>
              <w:rPr>
                <w:sz w:val="17"/>
              </w:rPr>
              <w:t>65.0 (57.5–82.5)</w:t>
            </w:r>
          </w:p>
        </w:tc>
        <w:tc>
          <w:tcPr>
            <w:tcW w:w="2400" w:type="dxa"/>
            <w:vAlign w:val="center"/>
          </w:tcPr>
          <w:p w14:paraId="51A730E2" w14:textId="77777777" w:rsidR="00715401" w:rsidRDefault="00000000">
            <w:pPr>
              <w:jc w:val="center"/>
            </w:pPr>
            <w:r>
              <w:rPr>
                <w:sz w:val="17"/>
              </w:rPr>
              <w:t>24.22</w:t>
            </w:r>
          </w:p>
        </w:tc>
        <w:tc>
          <w:tcPr>
            <w:tcW w:w="2400" w:type="dxa"/>
            <w:vAlign w:val="center"/>
          </w:tcPr>
          <w:p w14:paraId="160B3189" w14:textId="77777777" w:rsidR="00715401" w:rsidRDefault="00000000">
            <w:pPr>
              <w:jc w:val="center"/>
            </w:pPr>
            <w:r>
              <w:rPr>
                <w:sz w:val="17"/>
              </w:rPr>
              <w:t>0.001</w:t>
            </w:r>
          </w:p>
        </w:tc>
      </w:tr>
      <w:tr w:rsidR="00715401" w14:paraId="518B005B" w14:textId="77777777">
        <w:trPr>
          <w:jc w:val="center"/>
        </w:trPr>
        <w:tc>
          <w:tcPr>
            <w:tcW w:w="2400" w:type="dxa"/>
            <w:vAlign w:val="center"/>
          </w:tcPr>
          <w:p w14:paraId="0617C81B" w14:textId="77777777" w:rsidR="00715401" w:rsidRPr="002F26A4" w:rsidRDefault="00000000">
            <w:pPr>
              <w:rPr>
                <w:b/>
                <w:bCs/>
              </w:rPr>
            </w:pPr>
            <w:r w:rsidRPr="002F26A4">
              <w:rPr>
                <w:b/>
                <w:bCs/>
                <w:sz w:val="17"/>
              </w:rPr>
              <w:t>Hemoglobin drop, g/dL</w:t>
            </w:r>
          </w:p>
        </w:tc>
        <w:tc>
          <w:tcPr>
            <w:tcW w:w="2400" w:type="dxa"/>
            <w:vAlign w:val="center"/>
          </w:tcPr>
          <w:p w14:paraId="59646543" w14:textId="77777777" w:rsidR="00715401" w:rsidRDefault="00000000">
            <w:pPr>
              <w:jc w:val="center"/>
            </w:pPr>
            <w:r>
              <w:rPr>
                <w:sz w:val="17"/>
              </w:rPr>
              <w:t>0.35 (0.20–0.50)</w:t>
            </w:r>
          </w:p>
        </w:tc>
        <w:tc>
          <w:tcPr>
            <w:tcW w:w="2400" w:type="dxa"/>
            <w:vAlign w:val="center"/>
          </w:tcPr>
          <w:p w14:paraId="7B8D90AE" w14:textId="77777777" w:rsidR="00715401" w:rsidRDefault="00000000">
            <w:pPr>
              <w:jc w:val="center"/>
            </w:pPr>
            <w:r>
              <w:rPr>
                <w:sz w:val="17"/>
              </w:rPr>
              <w:t>14.42</w:t>
            </w:r>
          </w:p>
        </w:tc>
        <w:tc>
          <w:tcPr>
            <w:tcW w:w="2400" w:type="dxa"/>
            <w:vAlign w:val="center"/>
          </w:tcPr>
          <w:p w14:paraId="00F45F26" w14:textId="77777777" w:rsidR="00715401" w:rsidRDefault="00000000">
            <w:pPr>
              <w:jc w:val="center"/>
            </w:pPr>
            <w:r>
              <w:rPr>
                <w:sz w:val="17"/>
              </w:rPr>
              <w:t>0.50 (0.40–0.68)</w:t>
            </w:r>
          </w:p>
        </w:tc>
        <w:tc>
          <w:tcPr>
            <w:tcW w:w="2400" w:type="dxa"/>
            <w:vAlign w:val="center"/>
          </w:tcPr>
          <w:p w14:paraId="39F2D2B4" w14:textId="77777777" w:rsidR="00715401" w:rsidRDefault="00000000">
            <w:pPr>
              <w:jc w:val="center"/>
            </w:pPr>
            <w:r>
              <w:rPr>
                <w:sz w:val="17"/>
              </w:rPr>
              <w:t>22.58</w:t>
            </w:r>
          </w:p>
        </w:tc>
        <w:tc>
          <w:tcPr>
            <w:tcW w:w="2400" w:type="dxa"/>
            <w:vAlign w:val="center"/>
          </w:tcPr>
          <w:p w14:paraId="338A0914" w14:textId="77777777" w:rsidR="00715401" w:rsidRDefault="00000000">
            <w:pPr>
              <w:jc w:val="center"/>
            </w:pPr>
            <w:r>
              <w:rPr>
                <w:sz w:val="17"/>
              </w:rPr>
              <w:t>0.017</w:t>
            </w:r>
          </w:p>
        </w:tc>
      </w:tr>
      <w:tr w:rsidR="00715401" w14:paraId="71D4D025" w14:textId="77777777">
        <w:trPr>
          <w:jc w:val="center"/>
        </w:trPr>
        <w:tc>
          <w:tcPr>
            <w:tcW w:w="2400" w:type="dxa"/>
            <w:vAlign w:val="center"/>
          </w:tcPr>
          <w:p w14:paraId="5C9996D2" w14:textId="77777777" w:rsidR="00715401" w:rsidRPr="002F26A4" w:rsidRDefault="00000000">
            <w:pPr>
              <w:rPr>
                <w:b/>
                <w:bCs/>
              </w:rPr>
            </w:pPr>
            <w:r w:rsidRPr="002F26A4">
              <w:rPr>
                <w:b/>
                <w:bCs/>
                <w:sz w:val="17"/>
              </w:rPr>
              <w:t>Blood transfusion, yes</w:t>
            </w:r>
          </w:p>
        </w:tc>
        <w:tc>
          <w:tcPr>
            <w:tcW w:w="2400" w:type="dxa"/>
            <w:vAlign w:val="center"/>
          </w:tcPr>
          <w:p w14:paraId="0B3BE87C" w14:textId="77777777" w:rsidR="00715401" w:rsidRDefault="00000000">
            <w:pPr>
              <w:jc w:val="center"/>
            </w:pPr>
            <w:r>
              <w:rPr>
                <w:sz w:val="17"/>
              </w:rPr>
              <w:t>1 (5.6%)</w:t>
            </w:r>
          </w:p>
        </w:tc>
        <w:tc>
          <w:tcPr>
            <w:tcW w:w="2400" w:type="dxa"/>
            <w:vAlign w:val="center"/>
          </w:tcPr>
          <w:p w14:paraId="145289A2" w14:textId="77777777" w:rsidR="00715401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400" w:type="dxa"/>
            <w:vAlign w:val="center"/>
          </w:tcPr>
          <w:p w14:paraId="3D76C240" w14:textId="77777777" w:rsidR="00715401" w:rsidRDefault="00000000">
            <w:pPr>
              <w:jc w:val="center"/>
            </w:pPr>
            <w:r>
              <w:rPr>
                <w:sz w:val="17"/>
              </w:rPr>
              <w:t>1 (5.6%)</w:t>
            </w:r>
          </w:p>
        </w:tc>
        <w:tc>
          <w:tcPr>
            <w:tcW w:w="2400" w:type="dxa"/>
            <w:vAlign w:val="center"/>
          </w:tcPr>
          <w:p w14:paraId="1006E626" w14:textId="77777777" w:rsidR="00715401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400" w:type="dxa"/>
            <w:vAlign w:val="center"/>
          </w:tcPr>
          <w:p w14:paraId="73B7EB8F" w14:textId="77777777" w:rsidR="00715401" w:rsidRDefault="00000000">
            <w:pPr>
              <w:jc w:val="center"/>
            </w:pPr>
            <w:r>
              <w:rPr>
                <w:sz w:val="17"/>
              </w:rPr>
              <w:t>1.000</w:t>
            </w:r>
          </w:p>
        </w:tc>
      </w:tr>
      <w:tr w:rsidR="00715401" w14:paraId="2C221297" w14:textId="77777777">
        <w:trPr>
          <w:jc w:val="center"/>
        </w:trPr>
        <w:tc>
          <w:tcPr>
            <w:tcW w:w="2400" w:type="dxa"/>
            <w:shd w:val="clear" w:color="auto" w:fill="F2F2F2"/>
            <w:vAlign w:val="center"/>
          </w:tcPr>
          <w:p w14:paraId="0C421DBF" w14:textId="77777777" w:rsidR="00715401" w:rsidRPr="002F26A4" w:rsidRDefault="00000000">
            <w:pPr>
              <w:rPr>
                <w:b/>
                <w:bCs/>
              </w:rPr>
            </w:pPr>
            <w:r w:rsidRPr="002F26A4">
              <w:rPr>
                <w:b/>
                <w:bCs/>
                <w:sz w:val="17"/>
              </w:rPr>
              <w:t>Number of trocars used</w:t>
            </w:r>
          </w:p>
        </w:tc>
        <w:tc>
          <w:tcPr>
            <w:tcW w:w="2400" w:type="dxa"/>
            <w:shd w:val="clear" w:color="auto" w:fill="F2F2F2"/>
            <w:vAlign w:val="center"/>
          </w:tcPr>
          <w:p w14:paraId="5F7BD711" w14:textId="77777777" w:rsidR="00715401" w:rsidRDefault="00715401">
            <w:pPr>
              <w:jc w:val="center"/>
            </w:pPr>
          </w:p>
        </w:tc>
        <w:tc>
          <w:tcPr>
            <w:tcW w:w="2400" w:type="dxa"/>
            <w:shd w:val="clear" w:color="auto" w:fill="F2F2F2"/>
            <w:vAlign w:val="center"/>
          </w:tcPr>
          <w:p w14:paraId="2CF6873C" w14:textId="77777777" w:rsidR="00715401" w:rsidRDefault="00715401">
            <w:pPr>
              <w:jc w:val="center"/>
            </w:pPr>
          </w:p>
        </w:tc>
        <w:tc>
          <w:tcPr>
            <w:tcW w:w="2400" w:type="dxa"/>
            <w:shd w:val="clear" w:color="auto" w:fill="F2F2F2"/>
            <w:vAlign w:val="center"/>
          </w:tcPr>
          <w:p w14:paraId="08AEDD65" w14:textId="77777777" w:rsidR="00715401" w:rsidRDefault="00715401">
            <w:pPr>
              <w:jc w:val="center"/>
            </w:pPr>
          </w:p>
        </w:tc>
        <w:tc>
          <w:tcPr>
            <w:tcW w:w="2400" w:type="dxa"/>
            <w:shd w:val="clear" w:color="auto" w:fill="F2F2F2"/>
            <w:vAlign w:val="center"/>
          </w:tcPr>
          <w:p w14:paraId="377021F1" w14:textId="77777777" w:rsidR="00715401" w:rsidRDefault="00715401">
            <w:pPr>
              <w:jc w:val="center"/>
            </w:pPr>
          </w:p>
        </w:tc>
        <w:tc>
          <w:tcPr>
            <w:tcW w:w="2400" w:type="dxa"/>
            <w:shd w:val="clear" w:color="auto" w:fill="F2F2F2"/>
            <w:vAlign w:val="center"/>
          </w:tcPr>
          <w:p w14:paraId="63D2E182" w14:textId="77777777" w:rsidR="00715401" w:rsidRDefault="00000000">
            <w:pPr>
              <w:jc w:val="center"/>
            </w:pPr>
            <w:r>
              <w:rPr>
                <w:sz w:val="17"/>
              </w:rPr>
              <w:t>0.003</w:t>
            </w:r>
          </w:p>
        </w:tc>
      </w:tr>
      <w:tr w:rsidR="00715401" w14:paraId="4E8EB235" w14:textId="77777777">
        <w:trPr>
          <w:jc w:val="center"/>
        </w:trPr>
        <w:tc>
          <w:tcPr>
            <w:tcW w:w="2400" w:type="dxa"/>
            <w:vAlign w:val="center"/>
          </w:tcPr>
          <w:p w14:paraId="323006F2" w14:textId="77777777" w:rsidR="00715401" w:rsidRDefault="00000000">
            <w:r>
              <w:rPr>
                <w:sz w:val="17"/>
              </w:rPr>
              <w:t xml:space="preserve">  Three trocars</w:t>
            </w:r>
          </w:p>
        </w:tc>
        <w:tc>
          <w:tcPr>
            <w:tcW w:w="2400" w:type="dxa"/>
            <w:vAlign w:val="center"/>
          </w:tcPr>
          <w:p w14:paraId="77872E74" w14:textId="77777777" w:rsidR="00715401" w:rsidRDefault="00000000">
            <w:pPr>
              <w:jc w:val="center"/>
            </w:pPr>
            <w:r>
              <w:rPr>
                <w:sz w:val="17"/>
              </w:rPr>
              <w:t>18 (100.0%)</w:t>
            </w:r>
          </w:p>
        </w:tc>
        <w:tc>
          <w:tcPr>
            <w:tcW w:w="2400" w:type="dxa"/>
            <w:vAlign w:val="center"/>
          </w:tcPr>
          <w:p w14:paraId="180E0F5B" w14:textId="77777777" w:rsidR="00715401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400" w:type="dxa"/>
            <w:vAlign w:val="center"/>
          </w:tcPr>
          <w:p w14:paraId="6E6FC93B" w14:textId="77777777" w:rsidR="00715401" w:rsidRDefault="00000000">
            <w:pPr>
              <w:jc w:val="center"/>
            </w:pPr>
            <w:r>
              <w:rPr>
                <w:sz w:val="17"/>
              </w:rPr>
              <w:t>10 (55.6%)</w:t>
            </w:r>
          </w:p>
        </w:tc>
        <w:tc>
          <w:tcPr>
            <w:tcW w:w="2400" w:type="dxa"/>
            <w:vAlign w:val="center"/>
          </w:tcPr>
          <w:p w14:paraId="5187DEF5" w14:textId="77777777" w:rsidR="00715401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400" w:type="dxa"/>
            <w:vAlign w:val="center"/>
          </w:tcPr>
          <w:p w14:paraId="64814707" w14:textId="77777777" w:rsidR="00715401" w:rsidRDefault="00715401">
            <w:pPr>
              <w:jc w:val="center"/>
            </w:pPr>
          </w:p>
        </w:tc>
      </w:tr>
      <w:tr w:rsidR="00715401" w14:paraId="710E7DAD" w14:textId="77777777">
        <w:trPr>
          <w:jc w:val="center"/>
        </w:trPr>
        <w:tc>
          <w:tcPr>
            <w:tcW w:w="2400" w:type="dxa"/>
            <w:vAlign w:val="center"/>
          </w:tcPr>
          <w:p w14:paraId="53576CDA" w14:textId="77777777" w:rsidR="00715401" w:rsidRDefault="00000000">
            <w:r>
              <w:rPr>
                <w:sz w:val="17"/>
              </w:rPr>
              <w:t xml:space="preserve">  Four trocars</w:t>
            </w:r>
          </w:p>
        </w:tc>
        <w:tc>
          <w:tcPr>
            <w:tcW w:w="2400" w:type="dxa"/>
            <w:vAlign w:val="center"/>
          </w:tcPr>
          <w:p w14:paraId="5BF7B99D" w14:textId="77777777" w:rsidR="00715401" w:rsidRDefault="00000000">
            <w:pPr>
              <w:jc w:val="center"/>
            </w:pPr>
            <w:r>
              <w:rPr>
                <w:sz w:val="17"/>
              </w:rPr>
              <w:t>0 (0.0%)</w:t>
            </w:r>
          </w:p>
        </w:tc>
        <w:tc>
          <w:tcPr>
            <w:tcW w:w="2400" w:type="dxa"/>
            <w:vAlign w:val="center"/>
          </w:tcPr>
          <w:p w14:paraId="4998B4BF" w14:textId="77777777" w:rsidR="00715401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400" w:type="dxa"/>
            <w:vAlign w:val="center"/>
          </w:tcPr>
          <w:p w14:paraId="025ACEC5" w14:textId="77777777" w:rsidR="00715401" w:rsidRDefault="00000000">
            <w:pPr>
              <w:jc w:val="center"/>
            </w:pPr>
            <w:r>
              <w:rPr>
                <w:sz w:val="17"/>
              </w:rPr>
              <w:t>8 (44.4%)</w:t>
            </w:r>
          </w:p>
        </w:tc>
        <w:tc>
          <w:tcPr>
            <w:tcW w:w="2400" w:type="dxa"/>
            <w:vAlign w:val="center"/>
          </w:tcPr>
          <w:p w14:paraId="70BB04B3" w14:textId="77777777" w:rsidR="00715401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400" w:type="dxa"/>
            <w:vAlign w:val="center"/>
          </w:tcPr>
          <w:p w14:paraId="51B03C84" w14:textId="77777777" w:rsidR="00715401" w:rsidRDefault="00715401">
            <w:pPr>
              <w:jc w:val="center"/>
            </w:pPr>
          </w:p>
        </w:tc>
      </w:tr>
      <w:tr w:rsidR="00715401" w14:paraId="3CE12DFA" w14:textId="77777777">
        <w:trPr>
          <w:jc w:val="center"/>
        </w:trPr>
        <w:tc>
          <w:tcPr>
            <w:tcW w:w="2400" w:type="dxa"/>
            <w:vAlign w:val="center"/>
          </w:tcPr>
          <w:p w14:paraId="53F83B00" w14:textId="77777777" w:rsidR="00715401" w:rsidRPr="002F26A4" w:rsidRDefault="00000000">
            <w:pPr>
              <w:rPr>
                <w:b/>
                <w:bCs/>
              </w:rPr>
            </w:pPr>
            <w:r w:rsidRPr="002F26A4">
              <w:rPr>
                <w:b/>
                <w:bCs/>
                <w:sz w:val="17"/>
              </w:rPr>
              <w:t>Selective posterior peritoneal closure</w:t>
            </w:r>
          </w:p>
        </w:tc>
        <w:tc>
          <w:tcPr>
            <w:tcW w:w="2400" w:type="dxa"/>
            <w:vAlign w:val="center"/>
          </w:tcPr>
          <w:p w14:paraId="74FC513A" w14:textId="77777777" w:rsidR="00715401" w:rsidRDefault="00000000">
            <w:pPr>
              <w:jc w:val="center"/>
            </w:pPr>
            <w:r>
              <w:rPr>
                <w:sz w:val="17"/>
              </w:rPr>
              <w:t>N/A</w:t>
            </w:r>
          </w:p>
        </w:tc>
        <w:tc>
          <w:tcPr>
            <w:tcW w:w="2400" w:type="dxa"/>
            <w:vAlign w:val="center"/>
          </w:tcPr>
          <w:p w14:paraId="0EC5234C" w14:textId="77777777" w:rsidR="00715401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400" w:type="dxa"/>
            <w:vAlign w:val="center"/>
          </w:tcPr>
          <w:p w14:paraId="3BE7CC96" w14:textId="77777777" w:rsidR="00715401" w:rsidRDefault="00000000">
            <w:pPr>
              <w:jc w:val="center"/>
            </w:pPr>
            <w:r>
              <w:rPr>
                <w:sz w:val="17"/>
              </w:rPr>
              <w:t>4 (22.2%)</w:t>
            </w:r>
          </w:p>
        </w:tc>
        <w:tc>
          <w:tcPr>
            <w:tcW w:w="2400" w:type="dxa"/>
            <w:vAlign w:val="center"/>
          </w:tcPr>
          <w:p w14:paraId="46A07640" w14:textId="77777777" w:rsidR="00715401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400" w:type="dxa"/>
            <w:vAlign w:val="center"/>
          </w:tcPr>
          <w:p w14:paraId="14E55456" w14:textId="77777777" w:rsidR="00715401" w:rsidRDefault="00000000">
            <w:pPr>
              <w:jc w:val="center"/>
            </w:pPr>
            <w:r>
              <w:rPr>
                <w:sz w:val="17"/>
              </w:rPr>
              <w:t>N/A</w:t>
            </w:r>
          </w:p>
        </w:tc>
      </w:tr>
      <w:tr w:rsidR="00715401" w14:paraId="7E62CE1A" w14:textId="77777777">
        <w:trPr>
          <w:jc w:val="center"/>
        </w:trPr>
        <w:tc>
          <w:tcPr>
            <w:tcW w:w="2400" w:type="dxa"/>
            <w:vAlign w:val="center"/>
          </w:tcPr>
          <w:p w14:paraId="25AD9548" w14:textId="77777777" w:rsidR="00715401" w:rsidRPr="002F26A4" w:rsidRDefault="00000000">
            <w:pPr>
              <w:rPr>
                <w:b/>
                <w:bCs/>
              </w:rPr>
            </w:pPr>
            <w:r w:rsidRPr="002F26A4">
              <w:rPr>
                <w:b/>
                <w:bCs/>
                <w:sz w:val="17"/>
              </w:rPr>
              <w:t>Bowel injury, yes</w:t>
            </w:r>
          </w:p>
        </w:tc>
        <w:tc>
          <w:tcPr>
            <w:tcW w:w="2400" w:type="dxa"/>
            <w:vAlign w:val="center"/>
          </w:tcPr>
          <w:p w14:paraId="0F44AD3F" w14:textId="77777777" w:rsidR="00715401" w:rsidRDefault="00000000">
            <w:pPr>
              <w:jc w:val="center"/>
            </w:pPr>
            <w:r>
              <w:rPr>
                <w:sz w:val="17"/>
              </w:rPr>
              <w:t>0 (0.0%)</w:t>
            </w:r>
          </w:p>
        </w:tc>
        <w:tc>
          <w:tcPr>
            <w:tcW w:w="2400" w:type="dxa"/>
            <w:vAlign w:val="center"/>
          </w:tcPr>
          <w:p w14:paraId="58B7054E" w14:textId="77777777" w:rsidR="00715401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400" w:type="dxa"/>
            <w:vAlign w:val="center"/>
          </w:tcPr>
          <w:p w14:paraId="00535CC1" w14:textId="77777777" w:rsidR="00715401" w:rsidRDefault="00000000">
            <w:pPr>
              <w:jc w:val="center"/>
            </w:pPr>
            <w:r>
              <w:rPr>
                <w:sz w:val="17"/>
              </w:rPr>
              <w:t>0 (0.0%)</w:t>
            </w:r>
          </w:p>
        </w:tc>
        <w:tc>
          <w:tcPr>
            <w:tcW w:w="2400" w:type="dxa"/>
            <w:vAlign w:val="center"/>
          </w:tcPr>
          <w:p w14:paraId="1919FC4E" w14:textId="77777777" w:rsidR="00715401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400" w:type="dxa"/>
            <w:vAlign w:val="center"/>
          </w:tcPr>
          <w:p w14:paraId="14F10BEA" w14:textId="77777777" w:rsidR="00715401" w:rsidRDefault="00000000">
            <w:pPr>
              <w:jc w:val="center"/>
            </w:pPr>
            <w:r>
              <w:rPr>
                <w:sz w:val="17"/>
              </w:rPr>
              <w:t>N/A</w:t>
            </w:r>
          </w:p>
        </w:tc>
      </w:tr>
    </w:tbl>
    <w:p w14:paraId="2F89B363" w14:textId="77777777" w:rsidR="00715401" w:rsidRDefault="00000000">
      <w:pPr>
        <w:spacing w:before="60" w:after="60"/>
      </w:pPr>
      <w:r>
        <w:rPr>
          <w:sz w:val="17"/>
        </w:rPr>
        <w:t>Abbreviations: IQR, interquartile range; N/A, not applicable; TLP, transperitoneal laparoscopic pyelolithotomy.</w:t>
      </w:r>
    </w:p>
    <w:p w14:paraId="50B3B741" w14:textId="77777777" w:rsidR="00715401" w:rsidRDefault="00000000">
      <w:pPr>
        <w:spacing w:before="60" w:after="60"/>
      </w:pPr>
      <w:r>
        <w:rPr>
          <w:sz w:val="17"/>
        </w:rPr>
        <w:t>Continuous variables were compared using the Mann–Whitney U test with exact two-sided p-values. Categorical variables were compared using Fisher’s exact test or exact chi-square test, as appropriate.</w:t>
      </w:r>
    </w:p>
    <w:p w14:paraId="198A0DBC" w14:textId="77777777" w:rsidR="00715401" w:rsidRDefault="00000000">
      <w:pPr>
        <w:spacing w:before="60" w:after="60"/>
      </w:pPr>
      <w:r>
        <w:rPr>
          <w:sz w:val="17"/>
        </w:rPr>
        <w:t>Selective posterior peritoneal closure was applicable only to the modified posterior-TLP group; therefore, no between-group comparison was performed.</w:t>
      </w:r>
    </w:p>
    <w:p w14:paraId="603DA5F5" w14:textId="77777777" w:rsidR="00715401" w:rsidRDefault="00000000">
      <w:pPr>
        <w:spacing w:before="60" w:after="60"/>
      </w:pPr>
      <w:r>
        <w:rPr>
          <w:sz w:val="17"/>
        </w:rPr>
        <w:t>Bowel injury was constant with zero events in both groups; therefore, no association test was computed and the p-value is not applicable.</w:t>
      </w:r>
    </w:p>
    <w:p w14:paraId="38149ED7" w14:textId="77777777" w:rsidR="00715401" w:rsidRDefault="00000000">
      <w:pPr>
        <w:spacing w:before="60" w:after="60"/>
      </w:pPr>
      <w:r>
        <w:rPr>
          <w:sz w:val="17"/>
        </w:rPr>
        <w:t>For continuous variables, values are median (Q1–Q3); mean ranks are reported to document the Mann–Whitney comparison.</w:t>
      </w:r>
    </w:p>
    <w:sectPr w:rsidR="00715401" w:rsidSect="00034616">
      <w:pgSz w:w="15840" w:h="12240" w:orient="landscape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8156807">
    <w:abstractNumId w:val="8"/>
  </w:num>
  <w:num w:numId="2" w16cid:durableId="572009213">
    <w:abstractNumId w:val="6"/>
  </w:num>
  <w:num w:numId="3" w16cid:durableId="1695304860">
    <w:abstractNumId w:val="5"/>
  </w:num>
  <w:num w:numId="4" w16cid:durableId="1211309282">
    <w:abstractNumId w:val="4"/>
  </w:num>
  <w:num w:numId="5" w16cid:durableId="878589840">
    <w:abstractNumId w:val="7"/>
  </w:num>
  <w:num w:numId="6" w16cid:durableId="1873689399">
    <w:abstractNumId w:val="3"/>
  </w:num>
  <w:num w:numId="7" w16cid:durableId="1032460528">
    <w:abstractNumId w:val="2"/>
  </w:num>
  <w:num w:numId="8" w16cid:durableId="1657369271">
    <w:abstractNumId w:val="1"/>
  </w:num>
  <w:num w:numId="9" w16cid:durableId="195089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26A4"/>
    <w:rsid w:val="00326F90"/>
    <w:rsid w:val="0071540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E650B27"/>
  <w14:defaultImageDpi w14:val="300"/>
  <w15:docId w15:val="{7FD898F8-F789-4CC8-A1D3-FB3064EC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Alaa Aldakak</cp:lastModifiedBy>
  <cp:revision>2</cp:revision>
  <dcterms:created xsi:type="dcterms:W3CDTF">2013-12-23T23:15:00Z</dcterms:created>
  <dcterms:modified xsi:type="dcterms:W3CDTF">2026-05-24T19:40:00Z</dcterms:modified>
  <cp:category/>
</cp:coreProperties>
</file>