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b/>
          <w:sz w:val="28"/>
        </w:rPr>
        <w:t>Additional file 1: e-Supplement</w:t>
      </w:r>
    </w:p>
    <w:p>
      <w:pPr>
        <w:spacing w:after="120"/>
      </w:pPr>
      <w:r>
        <w:rPr>
          <w:rFonts w:ascii="Times New Roman" w:hAnsi="Times New Roman"/>
          <w:b w:val="0"/>
          <w:sz w:val="22"/>
        </w:rPr>
      </w:r>
    </w:p>
    <w:p>
      <w:pPr>
        <w:spacing w:after="120"/>
        <w:jc w:val="center"/>
      </w:pPr>
      <w:r>
        <w:t>Bayesian Reanalysis of Prone Positioning During VV-ECMO for ARDS: Posterior Probabilities and Likelihood Ratios</w:t>
      </w:r>
    </w:p>
    <w:p>
      <w:pPr>
        <w:spacing w:after="120"/>
      </w:pPr>
      <w:r>
        <w:rPr>
          <w:rFonts w:ascii="Times New Roman" w:hAnsi="Times New Roman"/>
          <w:b/>
          <w:sz w:val="22"/>
        </w:rPr>
        <w:t>1. Detailed Methods and Risk of Bias Assessment</w:t>
      </w:r>
    </w:p>
    <w:p>
      <w:pPr>
        <w:spacing w:after="120"/>
      </w:pPr>
      <w:r>
        <w:rPr>
          <w:rFonts w:ascii="Times New Roman" w:hAnsi="Times New Roman"/>
          <w:b w:val="0"/>
          <w:sz w:val="22"/>
        </w:rPr>
        <w:t>The 2 RCTs were assessed as having low risk of bias using the RoB 2 tool. The 6 observational studies were assessed using the ROBINS-I tool; 5 had moderate risk of bias and 1 had serious risk of bias.</w:t>
      </w:r>
    </w:p>
    <w:p>
      <w:pPr>
        <w:spacing w:after="120"/>
      </w:pPr>
      <w:r>
        <w:rPr>
          <w:rFonts w:ascii="Times New Roman" w:hAnsi="Times New Roman"/>
          <w:b/>
          <w:sz w:val="20"/>
        </w:rPr>
        <w:t>1.1 Randomized Controlled Trials (RCTs)</w:t>
      </w:r>
    </w:p>
    <w:p>
      <w:pPr>
        <w:spacing w:after="120"/>
      </w:pPr>
      <w:r>
        <w:rPr>
          <w:rFonts w:ascii="Times New Roman" w:hAnsi="Times New Roman"/>
          <w:b w:val="0"/>
          <w:sz w:val="22"/>
        </w:rPr>
        <w:t>Tool: RoB 2 (Risk of Bias 2 tool, Cochrane)</w:t>
      </w:r>
    </w:p>
    <w:p>
      <w:pPr>
        <w:spacing w:after="120"/>
      </w:pPr>
      <w:r>
        <w:rPr>
          <w:rFonts w:ascii="Times New Roman" w:hAnsi="Times New Roman"/>
          <w:b w:val="0"/>
          <w:sz w:val="22"/>
        </w:rPr>
        <w:t>Results:</w:t>
      </w:r>
    </w:p>
    <w:p>
      <w:pPr>
        <w:spacing w:after="120"/>
      </w:pPr>
      <w:r>
        <w:rPr>
          <w:rFonts w:ascii="Times New Roman" w:hAnsi="Times New Roman"/>
          <w:b w:val="0"/>
          <w:sz w:val="22"/>
        </w:rPr>
        <w:t>Schmidt et al. 2023</w:t>
      </w:r>
    </w:p>
    <w:p>
      <w:pPr>
        <w:spacing w:after="120"/>
      </w:pPr>
      <w:r>
        <w:rPr>
          <w:rFonts w:ascii="Times New Roman" w:hAnsi="Times New Roman"/>
          <w:b/>
          <w:sz w:val="22"/>
        </w:rPr>
        <w:t>Overall Risk of Bias: Low</w:t>
      </w:r>
    </w:p>
    <w:p>
      <w:pPr>
        <w:spacing w:after="120"/>
      </w:pPr>
      <w:r>
        <w:rPr>
          <w:rFonts w:ascii="Times New Roman" w:hAnsi="Times New Roman"/>
          <w:b w:val="0"/>
          <w:sz w:val="22"/>
        </w:rPr>
        <w:t>Domain Assessments:</w:t>
      </w:r>
    </w:p>
    <w:p>
      <w:pPr>
        <w:spacing w:after="120"/>
      </w:pPr>
      <w:r>
        <w:rPr>
          <w:rFonts w:ascii="Times New Roman" w:hAnsi="Times New Roman"/>
          <w:b w:val="0"/>
          <w:sz w:val="22"/>
        </w:rPr>
        <w:t xml:space="preserve">    Randomization process: Low</w:t>
      </w:r>
    </w:p>
    <w:p>
      <w:pPr>
        <w:spacing w:after="120"/>
      </w:pPr>
      <w:r>
        <w:rPr>
          <w:rFonts w:ascii="Times New Roman" w:hAnsi="Times New Roman"/>
          <w:b w:val="0"/>
          <w:sz w:val="22"/>
        </w:rPr>
        <w:t xml:space="preserve">    Deviations from intended interventions: Low</w:t>
      </w:r>
    </w:p>
    <w:p>
      <w:pPr>
        <w:spacing w:after="120"/>
      </w:pPr>
      <w:r>
        <w:rPr>
          <w:rFonts w:ascii="Times New Roman" w:hAnsi="Times New Roman"/>
          <w:b w:val="0"/>
          <w:sz w:val="22"/>
        </w:rPr>
        <w:t xml:space="preserve">    Missing outcome data: Low</w:t>
      </w:r>
    </w:p>
    <w:p>
      <w:pPr>
        <w:spacing w:after="120"/>
      </w:pPr>
      <w:r>
        <w:rPr>
          <w:rFonts w:ascii="Times New Roman" w:hAnsi="Times New Roman"/>
          <w:b w:val="0"/>
          <w:sz w:val="22"/>
        </w:rPr>
        <w:t xml:space="preserve">    Measurement of the outcome: Low</w:t>
      </w:r>
    </w:p>
    <w:p>
      <w:pPr>
        <w:spacing w:after="120"/>
      </w:pPr>
      <w:r>
        <w:rPr>
          <w:rFonts w:ascii="Times New Roman" w:hAnsi="Times New Roman"/>
          <w:b w:val="0"/>
          <w:sz w:val="22"/>
        </w:rPr>
        <w:t xml:space="preserve">    Selection of the reported result: Low</w:t>
      </w:r>
    </w:p>
    <w:p>
      <w:pPr>
        <w:spacing w:after="120"/>
      </w:pPr>
      <w:r>
        <w:rPr>
          <w:rFonts w:ascii="Times New Roman" w:hAnsi="Times New Roman"/>
          <w:b w:val="0"/>
          <w:sz w:val="22"/>
        </w:rPr>
        <w:t>Hongjie Tong et al. 2024</w:t>
      </w:r>
    </w:p>
    <w:p>
      <w:pPr>
        <w:spacing w:after="120"/>
      </w:pPr>
      <w:r>
        <w:rPr>
          <w:rFonts w:ascii="Times New Roman" w:hAnsi="Times New Roman"/>
          <w:b/>
          <w:sz w:val="22"/>
        </w:rPr>
        <w:t>Overall Risk of Bias: Low</w:t>
      </w:r>
    </w:p>
    <w:p>
      <w:pPr>
        <w:spacing w:after="120"/>
      </w:pPr>
      <w:r>
        <w:rPr>
          <w:rFonts w:ascii="Times New Roman" w:hAnsi="Times New Roman"/>
          <w:b w:val="0"/>
          <w:sz w:val="22"/>
        </w:rPr>
        <w:t>Domain Assessments:</w:t>
      </w:r>
    </w:p>
    <w:p>
      <w:pPr>
        <w:spacing w:after="120"/>
      </w:pPr>
      <w:r>
        <w:rPr>
          <w:rFonts w:ascii="Times New Roman" w:hAnsi="Times New Roman"/>
          <w:b w:val="0"/>
          <w:sz w:val="22"/>
        </w:rPr>
        <w:t xml:space="preserve">    Randomization process: Low</w:t>
      </w:r>
    </w:p>
    <w:p>
      <w:pPr>
        <w:spacing w:after="120"/>
      </w:pPr>
      <w:r>
        <w:rPr>
          <w:rFonts w:ascii="Times New Roman" w:hAnsi="Times New Roman"/>
          <w:b w:val="0"/>
          <w:sz w:val="22"/>
        </w:rPr>
        <w:t xml:space="preserve">    Deviations from intended interventions: Low</w:t>
      </w:r>
    </w:p>
    <w:p>
      <w:pPr>
        <w:spacing w:after="120"/>
      </w:pPr>
      <w:r>
        <w:rPr>
          <w:rFonts w:ascii="Times New Roman" w:hAnsi="Times New Roman"/>
          <w:b w:val="0"/>
          <w:sz w:val="22"/>
        </w:rPr>
        <w:t xml:space="preserve">    Missing outcome data: Low</w:t>
      </w:r>
    </w:p>
    <w:p>
      <w:pPr>
        <w:spacing w:after="120"/>
      </w:pPr>
      <w:r>
        <w:rPr>
          <w:rFonts w:ascii="Times New Roman" w:hAnsi="Times New Roman"/>
          <w:b w:val="0"/>
          <w:sz w:val="22"/>
        </w:rPr>
        <w:t xml:space="preserve">    Measurement of the outcome: Low</w:t>
      </w:r>
    </w:p>
    <w:p>
      <w:pPr>
        <w:spacing w:after="120"/>
      </w:pPr>
      <w:r>
        <w:rPr>
          <w:rFonts w:ascii="Times New Roman" w:hAnsi="Times New Roman"/>
          <w:b w:val="0"/>
          <w:sz w:val="22"/>
        </w:rPr>
        <w:t xml:space="preserve">    Selection of the reported result: Low</w:t>
      </w:r>
    </w:p>
    <w:p>
      <w:pPr>
        <w:spacing w:after="120"/>
      </w:pPr>
      <w:r>
        <w:rPr>
          <w:rFonts w:ascii="Times New Roman" w:hAnsi="Times New Roman"/>
          <w:b w:val="0"/>
          <w:sz w:val="22"/>
        </w:rPr>
        <w:t>D1-D5 represent the five RoB 2 domains: (D1) bias arising from the randomization process, (D2) deviations from intended interventions, (D3) missing outcome data, (D4) measurement of the outcome, and (D5) selection of the reported result.</w:t>
      </w:r>
    </w:p>
    <w:p>
      <w:pPr>
        <w:spacing w:after="120"/>
      </w:pPr>
      <w:r>
        <w:rPr>
          <w:rFonts w:ascii="Times New Roman" w:hAnsi="Times New Roman"/>
          <w:b w:val="0"/>
          <w:sz w:val="22"/>
        </w:rPr>
        <w:t>Schmidt 2023 and Hongjie Tong 2024 were rated as low risk across all domains.</w:t>
      </w:r>
    </w:p>
    <w:p>
      <w:pPr>
        <w:spacing w:after="120"/>
      </w:pPr>
      <w:r>
        <w:rPr>
          <w:rFonts w:ascii="Times New Roman" w:hAnsi="Times New Roman"/>
          <w:b w:val="0"/>
          <w:sz w:val="18"/>
        </w:rPr>
        <w:t>Figure S1. Risk of Bias Assessment Summary for Randomized Controlled Trials (RoB 2). Domain-level judgments for the two included RCTs. All domains were rated low risk of bias.</w:t>
      </w:r>
    </w:p>
    <w:p>
      <w:r>
        <w:drawing>
          <wp:inline xmlns:a="http://schemas.openxmlformats.org/drawingml/2006/main" xmlns:pic="http://schemas.openxmlformats.org/drawingml/2006/picture">
            <wp:extent cx="5029200" cy="1220128"/>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5029200" cy="1220128"/>
                    </a:xfrm>
                    <a:prstGeom prst="rect"/>
                  </pic:spPr>
                </pic:pic>
              </a:graphicData>
            </a:graphic>
          </wp:inline>
        </w:drawing>
      </w:r>
    </w:p>
    <w:p>
      <w:pPr>
        <w:spacing w:after="120"/>
      </w:pPr>
      <w:r>
        <w:rPr>
          <w:rFonts w:ascii="Times New Roman" w:hAnsi="Times New Roman"/>
          <w:b w:val="0"/>
          <w:sz w:val="22"/>
        </w:rPr>
      </w:r>
    </w:p>
    <w:p>
      <w:pPr>
        <w:spacing w:after="120"/>
      </w:pPr>
      <w:r>
        <w:rPr>
          <w:rFonts w:ascii="Times New Roman" w:hAnsi="Times New Roman"/>
          <w:b/>
          <w:sz w:val="20"/>
        </w:rPr>
        <w:t>1.2 Observational Studies</w:t>
      </w:r>
    </w:p>
    <w:p>
      <w:pPr>
        <w:spacing w:after="120"/>
      </w:pPr>
      <w:r>
        <w:rPr>
          <w:rFonts w:ascii="Times New Roman" w:hAnsi="Times New Roman"/>
          <w:b w:val="0"/>
          <w:sz w:val="22"/>
        </w:rPr>
        <w:t>Tool: ROBINS-I (Risk Of Bias In Non-randomised Studies of Interventions)</w:t>
      </w:r>
    </w:p>
    <w:p>
      <w:pPr>
        <w:spacing w:after="120"/>
      </w:pPr>
      <w:r>
        <w:rPr>
          <w:rFonts w:ascii="Times New Roman" w:hAnsi="Times New Roman"/>
          <w:b w:val="0"/>
          <w:sz w:val="22"/>
        </w:rPr>
        <w:t>Results Summary:</w:t>
      </w:r>
    </w:p>
    <w:p>
      <w:pPr>
        <w:spacing w:after="120"/>
      </w:pPr>
      <w:r>
        <w:rPr>
          <w:rFonts w:ascii="Times New Roman" w:hAnsi="Times New Roman"/>
          <w:b w:val="0"/>
          <w:sz w:val="22"/>
        </w:rPr>
        <w:t>Overall judgements (last column): five studies graded as moderate risk; Bruno Garcia et al., 2020 rated serious due to major confounding by indication and selection bias arising from post-ECMO sedation choice.</w:t>
      </w:r>
    </w:p>
    <w:p>
      <w:pPr>
        <w:spacing w:after="120"/>
      </w:pPr>
      <w:r>
        <w:rPr>
          <w:rFonts w:ascii="Times New Roman" w:hAnsi="Times New Roman"/>
          <w:b/>
          <w:sz w:val="18"/>
        </w:rPr>
        <w:t>Table S2. Risk of Bias Assessment Summary for Observational Studies (ROBINS-I). Domain-level judgments for the six included observational studies.</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Layout w:type="autofit"/>
      </w:tblPr>
      <w:tblGrid>
        <w:gridCol w:w="941"/>
        <w:gridCol w:w="941"/>
        <w:gridCol w:w="941"/>
        <w:gridCol w:w="941"/>
        <w:gridCol w:w="941"/>
        <w:gridCol w:w="941"/>
        <w:gridCol w:w="941"/>
        <w:gridCol w:w="941"/>
        <w:gridCol w:w="941"/>
        <w:gridCol w:w="941"/>
      </w:tblGrid>
      <w:tr>
        <w:tc>
          <w:tcPr>
            <w:tcW w:type="dxa" w:w="1701"/>
            <w:vAlign w:val="center"/>
            <w:tcBorders>
              <w:bottom w:val="single" w:sz="8" w:space="0" w:color="000000"/>
            </w:tcBorders>
          </w:tcPr>
          <w:p>
            <w:pPr>
              <w:jc w:val="center"/>
            </w:pPr>
            <w:r/>
            <w:r>
              <w:rPr>
                <w:rFonts w:ascii="Times New Roman" w:hAnsi="Times New Roman"/>
                <w:b/>
                <w:color w:val="000000"/>
                <w:sz w:val="14"/>
              </w:rPr>
              <w:t>Study(Year)</w:t>
            </w:r>
          </w:p>
        </w:tc>
        <w:tc>
          <w:tcPr>
            <w:tcW w:type="dxa" w:w="1984"/>
            <w:vAlign w:val="center"/>
            <w:tcBorders>
              <w:bottom w:val="single" w:sz="8" w:space="0" w:color="000000"/>
            </w:tcBorders>
          </w:tcPr>
          <w:p>
            <w:pPr>
              <w:jc w:val="center"/>
            </w:pPr>
            <w:r/>
            <w:r>
              <w:rPr>
                <w:rFonts w:ascii="Times New Roman" w:hAnsi="Times New Roman"/>
                <w:b/>
                <w:color w:val="000000"/>
                <w:sz w:val="14"/>
              </w:rPr>
              <w:t>Design/Setting</w:t>
            </w:r>
          </w:p>
        </w:tc>
        <w:tc>
          <w:tcPr>
            <w:tcW w:type="dxa" w:w="1191"/>
            <w:vAlign w:val="center"/>
            <w:tcBorders>
              <w:bottom w:val="single" w:sz="8" w:space="0" w:color="000000"/>
            </w:tcBorders>
          </w:tcPr>
          <w:p>
            <w:pPr>
              <w:jc w:val="center"/>
            </w:pPr>
            <w:r/>
            <w:r>
              <w:rPr>
                <w:rFonts w:ascii="Times New Roman" w:hAnsi="Times New Roman"/>
                <w:b/>
                <w:color w:val="000000"/>
                <w:sz w:val="14"/>
              </w:rPr>
              <w:t>1. Bias Due to Confounding</w:t>
            </w:r>
          </w:p>
        </w:tc>
        <w:tc>
          <w:tcPr>
            <w:tcW w:type="dxa" w:w="1191"/>
            <w:vAlign w:val="center"/>
            <w:tcBorders>
              <w:bottom w:val="single" w:sz="8" w:space="0" w:color="000000"/>
            </w:tcBorders>
          </w:tcPr>
          <w:p>
            <w:pPr>
              <w:jc w:val="center"/>
            </w:pPr>
            <w:r/>
            <w:r>
              <w:rPr>
                <w:rFonts w:ascii="Times New Roman" w:hAnsi="Times New Roman"/>
                <w:b/>
                <w:color w:val="000000"/>
                <w:sz w:val="14"/>
              </w:rPr>
              <w:t>2. Selection of Participants</w:t>
            </w:r>
          </w:p>
        </w:tc>
        <w:tc>
          <w:tcPr>
            <w:tcW w:type="dxa" w:w="1191"/>
            <w:vAlign w:val="center"/>
            <w:tcBorders>
              <w:bottom w:val="single" w:sz="8" w:space="0" w:color="000000"/>
            </w:tcBorders>
          </w:tcPr>
          <w:p>
            <w:pPr>
              <w:jc w:val="center"/>
            </w:pPr>
            <w:r/>
            <w:r>
              <w:rPr>
                <w:rFonts w:ascii="Times New Roman" w:hAnsi="Times New Roman"/>
                <w:b/>
                <w:color w:val="000000"/>
                <w:sz w:val="14"/>
              </w:rPr>
              <w:t>3. Classification of Interventions</w:t>
            </w:r>
          </w:p>
        </w:tc>
        <w:tc>
          <w:tcPr>
            <w:tcW w:type="dxa" w:w="1191"/>
            <w:vAlign w:val="center"/>
            <w:tcBorders>
              <w:bottom w:val="single" w:sz="8" w:space="0" w:color="000000"/>
            </w:tcBorders>
          </w:tcPr>
          <w:p>
            <w:pPr>
              <w:jc w:val="center"/>
            </w:pPr>
            <w:r/>
            <w:r>
              <w:rPr>
                <w:rFonts w:ascii="Times New Roman" w:hAnsi="Times New Roman"/>
                <w:b/>
                <w:color w:val="000000"/>
                <w:sz w:val="14"/>
              </w:rPr>
              <w:t>4. Deviations from Intended Interventions</w:t>
            </w:r>
          </w:p>
        </w:tc>
        <w:tc>
          <w:tcPr>
            <w:tcW w:type="dxa" w:w="1191"/>
            <w:vAlign w:val="center"/>
            <w:tcBorders>
              <w:bottom w:val="single" w:sz="8" w:space="0" w:color="000000"/>
            </w:tcBorders>
          </w:tcPr>
          <w:p>
            <w:pPr>
              <w:jc w:val="center"/>
            </w:pPr>
            <w:r/>
            <w:r>
              <w:rPr>
                <w:rFonts w:ascii="Times New Roman" w:hAnsi="Times New Roman"/>
                <w:b/>
                <w:color w:val="000000"/>
                <w:sz w:val="14"/>
              </w:rPr>
              <w:t>5. Missing Data</w:t>
            </w:r>
          </w:p>
        </w:tc>
        <w:tc>
          <w:tcPr>
            <w:tcW w:type="dxa" w:w="1191"/>
            <w:vAlign w:val="center"/>
            <w:tcBorders>
              <w:bottom w:val="single" w:sz="8" w:space="0" w:color="000000"/>
            </w:tcBorders>
          </w:tcPr>
          <w:p>
            <w:pPr>
              <w:jc w:val="center"/>
            </w:pPr>
            <w:r/>
            <w:r>
              <w:rPr>
                <w:rFonts w:ascii="Times New Roman" w:hAnsi="Times New Roman"/>
                <w:b/>
                <w:color w:val="000000"/>
                <w:sz w:val="14"/>
              </w:rPr>
              <w:t>6. Measurement of Outcomes</w:t>
            </w:r>
          </w:p>
        </w:tc>
        <w:tc>
          <w:tcPr>
            <w:tcW w:type="dxa" w:w="1191"/>
            <w:vAlign w:val="center"/>
            <w:tcBorders>
              <w:bottom w:val="single" w:sz="8" w:space="0" w:color="000000"/>
            </w:tcBorders>
          </w:tcPr>
          <w:p>
            <w:pPr>
              <w:jc w:val="center"/>
            </w:pPr>
            <w:r/>
            <w:r>
              <w:rPr>
                <w:rFonts w:ascii="Times New Roman" w:hAnsi="Times New Roman"/>
                <w:b/>
                <w:color w:val="000000"/>
                <w:sz w:val="14"/>
              </w:rPr>
              <w:t>7. Selection of Reported Result</w:t>
            </w:r>
          </w:p>
        </w:tc>
        <w:tc>
          <w:tcPr>
            <w:tcW w:type="dxa" w:w="1191"/>
            <w:vAlign w:val="center"/>
            <w:tcBorders>
              <w:bottom w:val="single" w:sz="8" w:space="0" w:color="000000"/>
            </w:tcBorders>
          </w:tcPr>
          <w:p>
            <w:pPr>
              <w:jc w:val="center"/>
            </w:pPr>
            <w:r/>
            <w:r>
              <w:rPr>
                <w:rFonts w:ascii="Times New Roman" w:hAnsi="Times New Roman"/>
                <w:b/>
                <w:color w:val="000000"/>
                <w:sz w:val="14"/>
              </w:rPr>
              <w:t>Overall</w:t>
            </w:r>
          </w:p>
        </w:tc>
      </w:tr>
      <w:tr>
        <w:tc>
          <w:tcPr>
            <w:tcW w:type="dxa" w:w="1701"/>
            <w:vAlign w:val="center"/>
          </w:tcPr>
          <w:p>
            <w:pPr>
              <w:jc w:val="center"/>
            </w:pPr>
            <w:r/>
            <w:r>
              <w:rPr>
                <w:rFonts w:ascii="Times New Roman" w:hAnsi="Times New Roman"/>
                <w:b/>
                <w:color w:val="000000"/>
                <w:sz w:val="14"/>
              </w:rPr>
              <w:t>Rilinger et al., 2020</w:t>
            </w:r>
          </w:p>
        </w:tc>
        <w:tc>
          <w:tcPr>
            <w:tcW w:type="dxa" w:w="1984"/>
            <w:vAlign w:val="center"/>
          </w:tcPr>
          <w:p>
            <w:pPr>
              <w:jc w:val="center"/>
            </w:pPr>
            <w:r/>
            <w:r>
              <w:rPr>
                <w:rFonts w:ascii="Times New Roman" w:hAnsi="Times New Roman"/>
                <w:b/>
                <w:color w:val="000000"/>
                <w:sz w:val="14"/>
              </w:rPr>
              <w:t>Retrospective cohort (Single-Centre)</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Moderate</w:t>
            </w:r>
          </w:p>
        </w:tc>
      </w:tr>
      <w:tr>
        <w:tc>
          <w:tcPr>
            <w:tcW w:type="dxa" w:w="1701"/>
            <w:vAlign w:val="center"/>
          </w:tcPr>
          <w:p>
            <w:pPr>
              <w:jc w:val="center"/>
            </w:pPr>
            <w:r/>
            <w:r>
              <w:rPr>
                <w:rFonts w:ascii="Times New Roman" w:hAnsi="Times New Roman"/>
                <w:b/>
                <w:color w:val="000000"/>
                <w:sz w:val="14"/>
              </w:rPr>
              <w:t>Garcia et al., 2020</w:t>
            </w:r>
          </w:p>
        </w:tc>
        <w:tc>
          <w:tcPr>
            <w:tcW w:type="dxa" w:w="1984"/>
            <w:vAlign w:val="center"/>
          </w:tcPr>
          <w:p>
            <w:pPr>
              <w:jc w:val="center"/>
            </w:pPr>
            <w:r/>
            <w:r>
              <w:rPr>
                <w:rFonts w:ascii="Times New Roman" w:hAnsi="Times New Roman"/>
                <w:b/>
                <w:color w:val="000000"/>
                <w:sz w:val="14"/>
              </w:rPr>
              <w:t>Retrospective cohort (Single-Centre)</w:t>
            </w:r>
          </w:p>
        </w:tc>
        <w:tc>
          <w:tcPr>
            <w:tcW w:type="dxa" w:w="1191"/>
            <w:vAlign w:val="center"/>
          </w:tcPr>
          <w:p>
            <w:pPr>
              <w:jc w:val="center"/>
            </w:pPr>
            <w:r/>
            <w:r>
              <w:rPr>
                <w:rFonts w:ascii="Times New Roman" w:hAnsi="Times New Roman"/>
                <w:b w:val="0"/>
                <w:color w:val="000000"/>
                <w:sz w:val="14"/>
              </w:rPr>
              <w:t>Serious</w:t>
            </w:r>
          </w:p>
        </w:tc>
        <w:tc>
          <w:tcPr>
            <w:tcW w:type="dxa" w:w="1191"/>
            <w:vAlign w:val="center"/>
          </w:tcPr>
          <w:p>
            <w:pPr>
              <w:jc w:val="center"/>
            </w:pPr>
            <w:r/>
            <w:r>
              <w:rPr>
                <w:rFonts w:ascii="Times New Roman" w:hAnsi="Times New Roman"/>
                <w:b w:val="0"/>
                <w:color w:val="000000"/>
                <w:sz w:val="14"/>
              </w:rPr>
              <w:t>Serious</w:t>
            </w:r>
          </w:p>
        </w:tc>
        <w:tc>
          <w:tcPr>
            <w:tcW w:type="dxa" w:w="1191"/>
            <w:vAlign w:val="center"/>
          </w:tcPr>
          <w:p>
            <w:pPr>
              <w:jc w:val="center"/>
            </w:pPr>
            <w:r/>
            <w:r>
              <w:rPr>
                <w:rFonts w:ascii="Times New Roman" w:hAnsi="Times New Roman"/>
                <w:b w:val="0"/>
                <w:color w:val="000000"/>
                <w:sz w:val="14"/>
              </w:rPr>
              <w:t>Moderate</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Serious</w:t>
            </w:r>
          </w:p>
        </w:tc>
      </w:tr>
      <w:tr>
        <w:tc>
          <w:tcPr>
            <w:tcW w:type="dxa" w:w="1701"/>
            <w:vAlign w:val="center"/>
          </w:tcPr>
          <w:p>
            <w:pPr>
              <w:jc w:val="center"/>
            </w:pPr>
            <w:r/>
            <w:r>
              <w:rPr>
                <w:rFonts w:ascii="Times New Roman" w:hAnsi="Times New Roman"/>
                <w:b/>
                <w:color w:val="000000"/>
                <w:sz w:val="14"/>
              </w:rPr>
              <w:t>Chen et al., 2022</w:t>
            </w:r>
          </w:p>
        </w:tc>
        <w:tc>
          <w:tcPr>
            <w:tcW w:type="dxa" w:w="1984"/>
            <w:vAlign w:val="center"/>
          </w:tcPr>
          <w:p>
            <w:pPr>
              <w:jc w:val="center"/>
            </w:pPr>
            <w:r/>
            <w:r>
              <w:rPr>
                <w:rFonts w:ascii="Times New Roman" w:hAnsi="Times New Roman"/>
                <w:b/>
                <w:color w:val="000000"/>
                <w:sz w:val="14"/>
              </w:rPr>
              <w:t>Retrospective cohort (Single-Centre)</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Moderate</w:t>
            </w:r>
          </w:p>
        </w:tc>
      </w:tr>
      <w:tr>
        <w:tc>
          <w:tcPr>
            <w:tcW w:type="dxa" w:w="1701"/>
            <w:vAlign w:val="center"/>
          </w:tcPr>
          <w:p>
            <w:pPr>
              <w:jc w:val="center"/>
            </w:pPr>
            <w:r/>
            <w:r>
              <w:rPr>
                <w:rFonts w:ascii="Times New Roman" w:hAnsi="Times New Roman"/>
                <w:b/>
                <w:color w:val="000000"/>
                <w:sz w:val="14"/>
              </w:rPr>
              <w:t>Petit et al., 2022</w:t>
            </w:r>
          </w:p>
        </w:tc>
        <w:tc>
          <w:tcPr>
            <w:tcW w:type="dxa" w:w="1984"/>
            <w:vAlign w:val="center"/>
          </w:tcPr>
          <w:p>
            <w:pPr>
              <w:jc w:val="center"/>
            </w:pPr>
            <w:r/>
            <w:r>
              <w:rPr>
                <w:rFonts w:ascii="Times New Roman" w:hAnsi="Times New Roman"/>
                <w:b/>
                <w:color w:val="000000"/>
                <w:sz w:val="14"/>
              </w:rPr>
              <w:t>Retrospective cohort (Single-Centre)</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Moderate</w:t>
            </w:r>
          </w:p>
        </w:tc>
        <w:tc>
          <w:tcPr>
            <w:tcW w:type="dxa" w:w="1191"/>
            <w:vAlign w:val="center"/>
          </w:tcPr>
          <w:p>
            <w:pPr>
              <w:jc w:val="center"/>
            </w:pPr>
            <w:r/>
            <w:r>
              <w:rPr>
                <w:rFonts w:ascii="Times New Roman" w:hAnsi="Times New Roman"/>
                <w:b w:val="0"/>
                <w:color w:val="000000"/>
                <w:sz w:val="14"/>
              </w:rPr>
              <w:t>Moderate</w:t>
            </w:r>
          </w:p>
        </w:tc>
        <w:tc>
          <w:tcPr>
            <w:tcW w:type="dxa" w:w="1191"/>
            <w:vAlign w:val="center"/>
          </w:tcPr>
          <w:p>
            <w:pPr>
              <w:jc w:val="center"/>
            </w:pPr>
            <w:r/>
            <w:r>
              <w:rPr>
                <w:rFonts w:ascii="Times New Roman" w:hAnsi="Times New Roman"/>
                <w:b w:val="0"/>
                <w:color w:val="000000"/>
                <w:sz w:val="14"/>
              </w:rPr>
              <w:t>Moderate</w:t>
            </w:r>
          </w:p>
        </w:tc>
      </w:tr>
      <w:tr>
        <w:tc>
          <w:tcPr>
            <w:tcW w:type="dxa" w:w="1701"/>
            <w:vAlign w:val="center"/>
          </w:tcPr>
          <w:p>
            <w:pPr>
              <w:jc w:val="center"/>
            </w:pPr>
            <w:r/>
            <w:r>
              <w:rPr>
                <w:rFonts w:ascii="Times New Roman" w:hAnsi="Times New Roman"/>
                <w:b/>
                <w:color w:val="000000"/>
                <w:sz w:val="14"/>
              </w:rPr>
              <w:t>Tang X et al., 2024</w:t>
            </w:r>
          </w:p>
        </w:tc>
        <w:tc>
          <w:tcPr>
            <w:tcW w:type="dxa" w:w="1984"/>
            <w:vAlign w:val="center"/>
          </w:tcPr>
          <w:p>
            <w:pPr>
              <w:jc w:val="center"/>
            </w:pPr>
            <w:r/>
            <w:r>
              <w:rPr>
                <w:rFonts w:ascii="Times New Roman" w:hAnsi="Times New Roman"/>
                <w:b/>
                <w:color w:val="000000"/>
                <w:sz w:val="14"/>
              </w:rPr>
              <w:t>Prospective cohort (Single-Centre)</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Low</w:t>
            </w:r>
          </w:p>
        </w:tc>
        <w:tc>
          <w:tcPr>
            <w:tcW w:type="dxa" w:w="1191"/>
            <w:vAlign w:val="center"/>
          </w:tcPr>
          <w:p>
            <w:pPr>
              <w:jc w:val="center"/>
            </w:pPr>
            <w:r/>
            <w:r>
              <w:rPr>
                <w:rFonts w:ascii="Times New Roman" w:hAnsi="Times New Roman"/>
                <w:b w:val="0"/>
                <w:color w:val="000000"/>
                <w:sz w:val="14"/>
              </w:rPr>
              <w:t>Moderate</w:t>
            </w:r>
          </w:p>
        </w:tc>
      </w:tr>
      <w:tr>
        <w:tc>
          <w:tcPr>
            <w:tcW w:type="dxa" w:w="1701"/>
            <w:vAlign w:val="center"/>
            <w:tcBorders>
              <w:bottom w:val="single" w:sz="8" w:space="0" w:color="000000"/>
            </w:tcBorders>
          </w:tcPr>
          <w:p>
            <w:pPr>
              <w:jc w:val="center"/>
            </w:pPr>
            <w:r/>
            <w:r>
              <w:rPr>
                <w:rFonts w:ascii="Times New Roman" w:hAnsi="Times New Roman"/>
                <w:b/>
                <w:color w:val="000000"/>
                <w:sz w:val="14"/>
              </w:rPr>
              <w:t>Martinez et al., 2021</w:t>
            </w:r>
          </w:p>
        </w:tc>
        <w:tc>
          <w:tcPr>
            <w:tcW w:type="dxa" w:w="1984"/>
            <w:vAlign w:val="center"/>
            <w:tcBorders>
              <w:bottom w:val="single" w:sz="8" w:space="0" w:color="000000"/>
            </w:tcBorders>
          </w:tcPr>
          <w:p>
            <w:pPr>
              <w:jc w:val="center"/>
            </w:pPr>
            <w:r/>
            <w:r>
              <w:rPr>
                <w:rFonts w:ascii="Times New Roman" w:hAnsi="Times New Roman"/>
                <w:b/>
                <w:color w:val="000000"/>
                <w:sz w:val="14"/>
              </w:rPr>
              <w:t>Retrospective cohort (Single-Centre)</w:t>
            </w:r>
          </w:p>
        </w:tc>
        <w:tc>
          <w:tcPr>
            <w:tcW w:type="dxa" w:w="1191"/>
            <w:vAlign w:val="center"/>
            <w:tcBorders>
              <w:bottom w:val="single" w:sz="8" w:space="0" w:color="000000"/>
            </w:tcBorders>
          </w:tcPr>
          <w:p>
            <w:pPr>
              <w:jc w:val="center"/>
            </w:pPr>
            <w:r/>
            <w:r>
              <w:rPr>
                <w:rFonts w:ascii="Times New Roman" w:hAnsi="Times New Roman"/>
                <w:b w:val="0"/>
                <w:color w:val="000000"/>
                <w:sz w:val="14"/>
              </w:rPr>
              <w:t>Moderate</w:t>
            </w:r>
          </w:p>
        </w:tc>
        <w:tc>
          <w:tcPr>
            <w:tcW w:type="dxa" w:w="1191"/>
            <w:vAlign w:val="center"/>
            <w:tcBorders>
              <w:bottom w:val="single" w:sz="8" w:space="0" w:color="000000"/>
            </w:tcBorders>
          </w:tcPr>
          <w:p>
            <w:pPr>
              <w:jc w:val="center"/>
            </w:pPr>
            <w:r/>
            <w:r>
              <w:rPr>
                <w:rFonts w:ascii="Times New Roman" w:hAnsi="Times New Roman"/>
                <w:b w:val="0"/>
                <w:color w:val="000000"/>
                <w:sz w:val="14"/>
              </w:rPr>
              <w:t>Moderate</w:t>
            </w:r>
          </w:p>
        </w:tc>
        <w:tc>
          <w:tcPr>
            <w:tcW w:type="dxa" w:w="1191"/>
            <w:vAlign w:val="center"/>
            <w:tcBorders>
              <w:bottom w:val="single" w:sz="8" w:space="0" w:color="000000"/>
            </w:tcBorders>
          </w:tcPr>
          <w:p>
            <w:pPr>
              <w:jc w:val="center"/>
            </w:pPr>
            <w:r/>
            <w:r>
              <w:rPr>
                <w:rFonts w:ascii="Times New Roman" w:hAnsi="Times New Roman"/>
                <w:b w:val="0"/>
                <w:color w:val="000000"/>
                <w:sz w:val="14"/>
              </w:rPr>
              <w:t>Low</w:t>
            </w:r>
          </w:p>
        </w:tc>
        <w:tc>
          <w:tcPr>
            <w:tcW w:type="dxa" w:w="1191"/>
            <w:vAlign w:val="center"/>
            <w:tcBorders>
              <w:bottom w:val="single" w:sz="8" w:space="0" w:color="000000"/>
            </w:tcBorders>
          </w:tcPr>
          <w:p>
            <w:pPr>
              <w:jc w:val="center"/>
            </w:pPr>
            <w:r/>
            <w:r>
              <w:rPr>
                <w:rFonts w:ascii="Times New Roman" w:hAnsi="Times New Roman"/>
                <w:b w:val="0"/>
                <w:color w:val="000000"/>
                <w:sz w:val="14"/>
              </w:rPr>
              <w:t>Low</w:t>
            </w:r>
          </w:p>
        </w:tc>
        <w:tc>
          <w:tcPr>
            <w:tcW w:type="dxa" w:w="1191"/>
            <w:vAlign w:val="center"/>
            <w:tcBorders>
              <w:bottom w:val="single" w:sz="8" w:space="0" w:color="000000"/>
            </w:tcBorders>
          </w:tcPr>
          <w:p>
            <w:pPr>
              <w:jc w:val="center"/>
            </w:pPr>
            <w:r/>
            <w:r>
              <w:rPr>
                <w:rFonts w:ascii="Times New Roman" w:hAnsi="Times New Roman"/>
                <w:b w:val="0"/>
                <w:color w:val="000000"/>
                <w:sz w:val="14"/>
              </w:rPr>
              <w:t>Low</w:t>
            </w:r>
          </w:p>
        </w:tc>
        <w:tc>
          <w:tcPr>
            <w:tcW w:type="dxa" w:w="1191"/>
            <w:vAlign w:val="center"/>
            <w:tcBorders>
              <w:bottom w:val="single" w:sz="8" w:space="0" w:color="000000"/>
            </w:tcBorders>
          </w:tcPr>
          <w:p>
            <w:pPr>
              <w:jc w:val="center"/>
            </w:pPr>
            <w:r/>
            <w:r>
              <w:rPr>
                <w:rFonts w:ascii="Times New Roman" w:hAnsi="Times New Roman"/>
                <w:b w:val="0"/>
                <w:color w:val="000000"/>
                <w:sz w:val="14"/>
              </w:rPr>
              <w:t>Low</w:t>
            </w:r>
          </w:p>
        </w:tc>
        <w:tc>
          <w:tcPr>
            <w:tcW w:type="dxa" w:w="1191"/>
            <w:vAlign w:val="center"/>
            <w:tcBorders>
              <w:bottom w:val="single" w:sz="8" w:space="0" w:color="000000"/>
            </w:tcBorders>
          </w:tcPr>
          <w:p>
            <w:pPr>
              <w:jc w:val="center"/>
            </w:pPr>
            <w:r/>
            <w:r>
              <w:rPr>
                <w:rFonts w:ascii="Times New Roman" w:hAnsi="Times New Roman"/>
                <w:b w:val="0"/>
                <w:color w:val="000000"/>
                <w:sz w:val="14"/>
              </w:rPr>
              <w:t>Moderate</w:t>
            </w:r>
          </w:p>
        </w:tc>
        <w:tc>
          <w:tcPr>
            <w:tcW w:type="dxa" w:w="1191"/>
            <w:vAlign w:val="center"/>
            <w:tcBorders>
              <w:bottom w:val="single" w:sz="8" w:space="0" w:color="000000"/>
            </w:tcBorders>
          </w:tcPr>
          <w:p>
            <w:pPr>
              <w:jc w:val="center"/>
            </w:pPr>
            <w:r/>
            <w:r>
              <w:rPr>
                <w:rFonts w:ascii="Times New Roman" w:hAnsi="Times New Roman"/>
                <w:b w:val="0"/>
                <w:color w:val="000000"/>
                <w:sz w:val="14"/>
              </w:rPr>
              <w:t>Moderate</w:t>
            </w:r>
          </w:p>
        </w:tc>
      </w:tr>
    </w:tbl>
    <w:p>
      <w:pPr>
        <w:spacing w:after="120"/>
      </w:pPr>
      <w:r>
        <w:rPr>
          <w:rFonts w:ascii="Times New Roman" w:hAnsi="Times New Roman"/>
          <w:b w:val="0"/>
          <w:sz w:val="22"/>
        </w:rPr>
      </w:r>
    </w:p>
    <w:p>
      <w:pPr>
        <w:spacing w:after="120"/>
      </w:pPr>
      <w:r>
        <w:rPr>
          <w:rFonts w:ascii="Times New Roman" w:hAnsi="Times New Roman"/>
          <w:b/>
          <w:sz w:val="22"/>
        </w:rPr>
        <w:t>2. Supplementary Tables</w:t>
      </w:r>
    </w:p>
    <w:p>
      <w:pPr>
        <w:spacing w:after="120"/>
      </w:pPr>
      <w:r>
        <w:rPr>
          <w:rFonts w:ascii="Times New Roman" w:hAnsi="Times New Roman"/>
          <w:b/>
          <w:sz w:val="18"/>
        </w:rPr>
        <w:t>Table S1. Pooled Bayesian Sensitivity Analysis Results</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344"/>
        <w:gridCol w:w="1344"/>
        <w:gridCol w:w="1344"/>
        <w:gridCol w:w="1344"/>
        <w:gridCol w:w="1344"/>
        <w:gridCol w:w="1344"/>
        <w:gridCol w:w="1344"/>
      </w:tblGrid>
      <w:tr>
        <w:tc>
          <w:tcPr>
            <w:tcW w:type="dxa" w:w="1417"/>
            <w:vAlign w:val="center"/>
            <w:tcBorders>
              <w:bottom w:val="single" w:sz="8" w:space="0" w:color="000000"/>
            </w:tcBorders>
          </w:tcPr>
          <w:p>
            <w:pPr>
              <w:jc w:val="center"/>
            </w:pPr>
            <w:r/>
            <w:r>
              <w:rPr>
                <w:rFonts w:ascii="Times New Roman" w:hAnsi="Times New Roman"/>
                <w:b/>
                <w:sz w:val="15"/>
              </w:rPr>
              <w:t>Prior</w:t>
            </w:r>
          </w:p>
        </w:tc>
        <w:tc>
          <w:tcPr>
            <w:tcW w:type="dxa" w:w="1134"/>
            <w:vAlign w:val="center"/>
            <w:tcBorders>
              <w:bottom w:val="single" w:sz="8" w:space="0" w:color="000000"/>
            </w:tcBorders>
          </w:tcPr>
          <w:p>
            <w:pPr>
              <w:jc w:val="center"/>
            </w:pPr>
            <w:r/>
            <w:r>
              <w:rPr>
                <w:rFonts w:ascii="Times New Roman" w:hAnsi="Times New Roman"/>
                <w:b/>
                <w:sz w:val="15"/>
              </w:rPr>
              <w:t>Outcome</w:t>
            </w:r>
          </w:p>
        </w:tc>
        <w:tc>
          <w:tcPr>
            <w:tcW w:type="dxa" w:w="907"/>
            <w:vAlign w:val="center"/>
            <w:tcBorders>
              <w:bottom w:val="single" w:sz="8" w:space="0" w:color="000000"/>
            </w:tcBorders>
          </w:tcPr>
          <w:p>
            <w:pPr>
              <w:jc w:val="center"/>
            </w:pPr>
            <w:r/>
            <w:r>
              <w:rPr>
                <w:rFonts w:ascii="Times New Roman" w:hAnsi="Times New Roman"/>
                <w:b/>
                <w:sz w:val="15"/>
              </w:rPr>
              <w:t>Median RR</w:t>
            </w:r>
          </w:p>
        </w:tc>
        <w:tc>
          <w:tcPr>
            <w:tcW w:type="dxa" w:w="1020"/>
            <w:vAlign w:val="center"/>
            <w:tcBorders>
              <w:bottom w:val="single" w:sz="8" w:space="0" w:color="000000"/>
            </w:tcBorders>
          </w:tcPr>
          <w:p>
            <w:pPr>
              <w:jc w:val="center"/>
            </w:pPr>
            <w:r/>
            <w:r>
              <w:rPr>
                <w:rFonts w:ascii="Times New Roman" w:hAnsi="Times New Roman"/>
                <w:b/>
                <w:sz w:val="15"/>
              </w:rPr>
              <w:t>95% CrI</w:t>
            </w:r>
          </w:p>
        </w:tc>
        <w:tc>
          <w:tcPr>
            <w:tcW w:type="dxa" w:w="907"/>
            <w:vAlign w:val="center"/>
            <w:tcBorders>
              <w:bottom w:val="single" w:sz="8" w:space="0" w:color="000000"/>
            </w:tcBorders>
          </w:tcPr>
          <w:p>
            <w:pPr>
              <w:jc w:val="center"/>
            </w:pPr>
            <w:r/>
            <w:r>
              <w:rPr>
                <w:rFonts w:ascii="Times New Roman" w:hAnsi="Times New Roman"/>
                <w:b/>
                <w:sz w:val="15"/>
              </w:rPr>
              <w:t>P(RR&gt;1)</w:t>
            </w:r>
          </w:p>
        </w:tc>
        <w:tc>
          <w:tcPr>
            <w:tcW w:type="dxa" w:w="850"/>
            <w:vAlign w:val="center"/>
            <w:tcBorders>
              <w:bottom w:val="single" w:sz="8" w:space="0" w:color="000000"/>
            </w:tcBorders>
          </w:tcPr>
          <w:p>
            <w:pPr>
              <w:jc w:val="center"/>
            </w:pPr>
            <w:r/>
            <w:r>
              <w:rPr>
                <w:rFonts w:ascii="Times New Roman" w:hAnsi="Times New Roman"/>
                <w:b/>
                <w:sz w:val="15"/>
              </w:rPr>
              <w:t>Median τ</w:t>
            </w:r>
          </w:p>
        </w:tc>
        <w:tc>
          <w:tcPr>
            <w:tcW w:type="dxa" w:w="1134"/>
            <w:vAlign w:val="center"/>
            <w:tcBorders>
              <w:bottom w:val="single" w:sz="8" w:space="0" w:color="000000"/>
            </w:tcBorders>
          </w:tcPr>
          <w:p>
            <w:pPr>
              <w:jc w:val="center"/>
            </w:pPr>
            <w:r/>
            <w:r>
              <w:rPr>
                <w:rFonts w:ascii="Times New Roman" w:hAnsi="Times New Roman"/>
                <w:b/>
                <w:sz w:val="15"/>
              </w:rPr>
              <w:t>95% CrI for τ</w:t>
            </w:r>
          </w:p>
        </w:tc>
      </w:tr>
      <w:tr>
        <w:tc>
          <w:tcPr>
            <w:tcW w:type="dxa" w:w="1417"/>
            <w:vAlign w:val="center"/>
          </w:tcPr>
          <w:p>
            <w:pPr>
              <w:jc w:val="center"/>
            </w:pPr>
            <w:r/>
            <w:r>
              <w:rPr>
                <w:rFonts w:ascii="Times New Roman" w:hAnsi="Times New Roman"/>
                <w:b/>
                <w:sz w:val="15"/>
              </w:rPr>
              <w:t>Vague (near-non-informative)</w:t>
            </w:r>
          </w:p>
        </w:tc>
        <w:tc>
          <w:tcPr>
            <w:tcW w:type="dxa" w:w="1134"/>
            <w:vAlign w:val="center"/>
          </w:tcPr>
          <w:p>
            <w:pPr>
              <w:jc w:val="center"/>
            </w:pPr>
            <w:r/>
            <w:r>
              <w:rPr>
                <w:rFonts w:ascii="Times New Roman" w:hAnsi="Times New Roman"/>
                <w:b w:val="0"/>
                <w:sz w:val="15"/>
              </w:rPr>
              <w:t>ECMO Weaning</w:t>
            </w:r>
          </w:p>
        </w:tc>
        <w:tc>
          <w:tcPr>
            <w:tcW w:type="dxa" w:w="907"/>
            <w:vAlign w:val="center"/>
          </w:tcPr>
          <w:p>
            <w:pPr>
              <w:jc w:val="center"/>
            </w:pPr>
            <w:r/>
            <w:r>
              <w:rPr>
                <w:rFonts w:ascii="Times New Roman" w:hAnsi="Times New Roman"/>
                <w:b w:val="0"/>
                <w:sz w:val="15"/>
              </w:rPr>
              <w:t>1.166</w:t>
            </w:r>
          </w:p>
        </w:tc>
        <w:tc>
          <w:tcPr>
            <w:tcW w:type="dxa" w:w="1020"/>
            <w:vAlign w:val="center"/>
          </w:tcPr>
          <w:p>
            <w:pPr>
              <w:jc w:val="center"/>
            </w:pPr>
            <w:r/>
            <w:r>
              <w:rPr>
                <w:rFonts w:ascii="Times New Roman" w:hAnsi="Times New Roman"/>
                <w:b w:val="0"/>
                <w:sz w:val="15"/>
              </w:rPr>
              <w:t>0.828-1.514</w:t>
            </w:r>
          </w:p>
        </w:tc>
        <w:tc>
          <w:tcPr>
            <w:tcW w:type="dxa" w:w="907"/>
            <w:vAlign w:val="center"/>
          </w:tcPr>
          <w:p>
            <w:pPr>
              <w:jc w:val="center"/>
            </w:pPr>
            <w:r/>
            <w:r>
              <w:rPr>
                <w:rFonts w:ascii="Times New Roman" w:hAnsi="Times New Roman"/>
                <w:b w:val="0"/>
                <w:sz w:val="15"/>
              </w:rPr>
              <w:t>0.866</w:t>
            </w:r>
          </w:p>
        </w:tc>
        <w:tc>
          <w:tcPr>
            <w:tcW w:type="dxa" w:w="850"/>
            <w:vAlign w:val="center"/>
          </w:tcPr>
          <w:p>
            <w:pPr>
              <w:jc w:val="center"/>
            </w:pPr>
            <w:r/>
            <w:r>
              <w:rPr>
                <w:rFonts w:ascii="Times New Roman" w:hAnsi="Times New Roman"/>
                <w:b w:val="0"/>
                <w:sz w:val="15"/>
              </w:rPr>
              <w:t>0.265</w:t>
            </w:r>
          </w:p>
        </w:tc>
        <w:tc>
          <w:tcPr>
            <w:tcW w:type="dxa" w:w="1134"/>
            <w:vAlign w:val="center"/>
          </w:tcPr>
          <w:p>
            <w:pPr>
              <w:jc w:val="center"/>
            </w:pPr>
            <w:r/>
            <w:r>
              <w:rPr>
                <w:rFonts w:ascii="Times New Roman" w:hAnsi="Times New Roman"/>
                <w:b w:val="0"/>
                <w:sz w:val="15"/>
              </w:rPr>
              <w:t>0.026-0.774</w:t>
            </w:r>
          </w:p>
        </w:tc>
      </w:tr>
      <w:tr>
        <w:tc>
          <w:tcPr>
            <w:tcW w:type="dxa" w:w="1417"/>
            <w:vAlign w:val="center"/>
          </w:tcPr>
          <w:p>
            <w:pPr>
              <w:jc w:val="center"/>
            </w:pPr>
            <w:r/>
            <w:r>
              <w:rPr>
                <w:rFonts w:ascii="Times New Roman" w:hAnsi="Times New Roman"/>
                <w:b/>
                <w:sz w:val="15"/>
              </w:rPr>
              <w:t>Vague (near-non-informative)</w:t>
            </w:r>
          </w:p>
        </w:tc>
        <w:tc>
          <w:tcPr>
            <w:tcW w:type="dxa" w:w="1134"/>
            <w:vAlign w:val="center"/>
          </w:tcPr>
          <w:p>
            <w:pPr>
              <w:jc w:val="center"/>
            </w:pPr>
            <w:r/>
            <w:r>
              <w:rPr>
                <w:rFonts w:ascii="Times New Roman" w:hAnsi="Times New Roman"/>
                <w:b w:val="0"/>
                <w:sz w:val="15"/>
              </w:rPr>
              <w:t>Survival</w:t>
            </w:r>
          </w:p>
        </w:tc>
        <w:tc>
          <w:tcPr>
            <w:tcW w:type="dxa" w:w="907"/>
            <w:vAlign w:val="center"/>
          </w:tcPr>
          <w:p>
            <w:pPr>
              <w:jc w:val="center"/>
            </w:pPr>
            <w:r/>
            <w:r>
              <w:rPr>
                <w:rFonts w:ascii="Times New Roman" w:hAnsi="Times New Roman"/>
                <w:b w:val="0"/>
                <w:sz w:val="15"/>
              </w:rPr>
              <w:t>1.165</w:t>
            </w:r>
          </w:p>
        </w:tc>
        <w:tc>
          <w:tcPr>
            <w:tcW w:type="dxa" w:w="1020"/>
            <w:vAlign w:val="center"/>
          </w:tcPr>
          <w:p>
            <w:pPr>
              <w:jc w:val="center"/>
            </w:pPr>
            <w:r/>
            <w:r>
              <w:rPr>
                <w:rFonts w:ascii="Times New Roman" w:hAnsi="Times New Roman"/>
                <w:b w:val="0"/>
                <w:sz w:val="15"/>
              </w:rPr>
              <w:t>0.723-1.654</w:t>
            </w:r>
          </w:p>
        </w:tc>
        <w:tc>
          <w:tcPr>
            <w:tcW w:type="dxa" w:w="907"/>
            <w:vAlign w:val="center"/>
          </w:tcPr>
          <w:p>
            <w:pPr>
              <w:jc w:val="center"/>
            </w:pPr>
            <w:r/>
            <w:r>
              <w:rPr>
                <w:rFonts w:ascii="Times New Roman" w:hAnsi="Times New Roman"/>
                <w:b w:val="0"/>
                <w:sz w:val="15"/>
              </w:rPr>
              <w:t>0.816</w:t>
            </w:r>
          </w:p>
        </w:tc>
        <w:tc>
          <w:tcPr>
            <w:tcW w:type="dxa" w:w="850"/>
            <w:vAlign w:val="center"/>
          </w:tcPr>
          <w:p>
            <w:pPr>
              <w:jc w:val="center"/>
            </w:pPr>
            <w:r/>
            <w:r>
              <w:rPr>
                <w:rFonts w:ascii="Times New Roman" w:hAnsi="Times New Roman"/>
                <w:b w:val="0"/>
                <w:sz w:val="15"/>
              </w:rPr>
              <w:t>0.293</w:t>
            </w:r>
          </w:p>
        </w:tc>
        <w:tc>
          <w:tcPr>
            <w:tcW w:type="dxa" w:w="1134"/>
            <w:vAlign w:val="center"/>
          </w:tcPr>
          <w:p>
            <w:pPr>
              <w:jc w:val="center"/>
            </w:pPr>
            <w:r/>
            <w:r>
              <w:rPr>
                <w:rFonts w:ascii="Times New Roman" w:hAnsi="Times New Roman"/>
                <w:b w:val="0"/>
                <w:sz w:val="15"/>
              </w:rPr>
              <w:t>0.030-0.977</w:t>
            </w:r>
          </w:p>
        </w:tc>
      </w:tr>
      <w:tr>
        <w:tc>
          <w:tcPr>
            <w:tcW w:type="dxa" w:w="1417"/>
            <w:vAlign w:val="center"/>
          </w:tcPr>
          <w:p>
            <w:pPr>
              <w:jc w:val="center"/>
            </w:pPr>
            <w:r/>
            <w:r>
              <w:rPr>
                <w:rFonts w:ascii="Times New Roman" w:hAnsi="Times New Roman"/>
                <w:b/>
                <w:sz w:val="15"/>
              </w:rPr>
              <w:t>Skeptical</w:t>
            </w:r>
          </w:p>
        </w:tc>
        <w:tc>
          <w:tcPr>
            <w:tcW w:type="dxa" w:w="1134"/>
            <w:vAlign w:val="center"/>
          </w:tcPr>
          <w:p>
            <w:pPr>
              <w:jc w:val="center"/>
            </w:pPr>
            <w:r/>
            <w:r>
              <w:rPr>
                <w:rFonts w:ascii="Times New Roman" w:hAnsi="Times New Roman"/>
                <w:b w:val="0"/>
                <w:sz w:val="15"/>
              </w:rPr>
              <w:t>ECMO Weaning</w:t>
            </w:r>
          </w:p>
        </w:tc>
        <w:tc>
          <w:tcPr>
            <w:tcW w:type="dxa" w:w="907"/>
            <w:vAlign w:val="center"/>
          </w:tcPr>
          <w:p>
            <w:pPr>
              <w:jc w:val="center"/>
            </w:pPr>
            <w:r/>
            <w:r>
              <w:rPr>
                <w:rFonts w:ascii="Times New Roman" w:hAnsi="Times New Roman"/>
                <w:b w:val="0"/>
                <w:sz w:val="15"/>
              </w:rPr>
              <w:t>1.066</w:t>
            </w:r>
          </w:p>
        </w:tc>
        <w:tc>
          <w:tcPr>
            <w:tcW w:type="dxa" w:w="1020"/>
            <w:vAlign w:val="center"/>
          </w:tcPr>
          <w:p>
            <w:pPr>
              <w:jc w:val="center"/>
            </w:pPr>
            <w:r/>
            <w:r>
              <w:rPr>
                <w:rFonts w:ascii="Times New Roman" w:hAnsi="Times New Roman"/>
                <w:b w:val="0"/>
                <w:sz w:val="15"/>
              </w:rPr>
              <w:t>0.893-1.241</w:t>
            </w:r>
          </w:p>
        </w:tc>
        <w:tc>
          <w:tcPr>
            <w:tcW w:type="dxa" w:w="907"/>
            <w:vAlign w:val="center"/>
          </w:tcPr>
          <w:p>
            <w:pPr>
              <w:jc w:val="center"/>
            </w:pPr>
            <w:r/>
            <w:r>
              <w:rPr>
                <w:rFonts w:ascii="Times New Roman" w:hAnsi="Times New Roman"/>
                <w:b w:val="0"/>
                <w:sz w:val="15"/>
              </w:rPr>
              <w:t>0.769</w:t>
            </w:r>
          </w:p>
        </w:tc>
        <w:tc>
          <w:tcPr>
            <w:tcW w:type="dxa" w:w="850"/>
            <w:vAlign w:val="center"/>
          </w:tcPr>
          <w:p>
            <w:pPr>
              <w:jc w:val="center"/>
            </w:pPr>
            <w:r/>
            <w:r>
              <w:rPr>
                <w:rFonts w:ascii="Times New Roman" w:hAnsi="Times New Roman"/>
                <w:b w:val="0"/>
                <w:sz w:val="15"/>
              </w:rPr>
              <w:t>0.280</w:t>
            </w:r>
          </w:p>
        </w:tc>
        <w:tc>
          <w:tcPr>
            <w:tcW w:type="dxa" w:w="1134"/>
            <w:vAlign w:val="center"/>
          </w:tcPr>
          <w:p>
            <w:pPr>
              <w:jc w:val="center"/>
            </w:pPr>
            <w:r/>
            <w:r>
              <w:rPr>
                <w:rFonts w:ascii="Times New Roman" w:hAnsi="Times New Roman"/>
                <w:b w:val="0"/>
                <w:sz w:val="15"/>
              </w:rPr>
              <w:t>0.038-0.735</w:t>
            </w:r>
          </w:p>
        </w:tc>
      </w:tr>
      <w:tr>
        <w:tc>
          <w:tcPr>
            <w:tcW w:type="dxa" w:w="1417"/>
            <w:vAlign w:val="center"/>
          </w:tcPr>
          <w:p>
            <w:pPr>
              <w:jc w:val="center"/>
            </w:pPr>
            <w:r/>
            <w:r>
              <w:rPr>
                <w:rFonts w:ascii="Times New Roman" w:hAnsi="Times New Roman"/>
                <w:b/>
                <w:sz w:val="15"/>
              </w:rPr>
              <w:t>Skeptical</w:t>
            </w:r>
          </w:p>
        </w:tc>
        <w:tc>
          <w:tcPr>
            <w:tcW w:type="dxa" w:w="1134"/>
            <w:vAlign w:val="center"/>
          </w:tcPr>
          <w:p>
            <w:pPr>
              <w:jc w:val="center"/>
            </w:pPr>
            <w:r/>
            <w:r>
              <w:rPr>
                <w:rFonts w:ascii="Times New Roman" w:hAnsi="Times New Roman"/>
                <w:b w:val="0"/>
                <w:sz w:val="15"/>
              </w:rPr>
              <w:t>Survival</w:t>
            </w:r>
          </w:p>
        </w:tc>
        <w:tc>
          <w:tcPr>
            <w:tcW w:type="dxa" w:w="907"/>
            <w:vAlign w:val="center"/>
          </w:tcPr>
          <w:p>
            <w:pPr>
              <w:jc w:val="center"/>
            </w:pPr>
            <w:r/>
            <w:r>
              <w:rPr>
                <w:rFonts w:ascii="Times New Roman" w:hAnsi="Times New Roman"/>
                <w:b w:val="0"/>
                <w:sz w:val="15"/>
              </w:rPr>
              <w:t>1.058</w:t>
            </w:r>
          </w:p>
        </w:tc>
        <w:tc>
          <w:tcPr>
            <w:tcW w:type="dxa" w:w="1020"/>
            <w:vAlign w:val="center"/>
          </w:tcPr>
          <w:p>
            <w:pPr>
              <w:jc w:val="center"/>
            </w:pPr>
            <w:r/>
            <w:r>
              <w:rPr>
                <w:rFonts w:ascii="Times New Roman" w:hAnsi="Times New Roman"/>
                <w:b w:val="0"/>
                <w:sz w:val="15"/>
              </w:rPr>
              <w:t>0.876-1.243</w:t>
            </w:r>
          </w:p>
        </w:tc>
        <w:tc>
          <w:tcPr>
            <w:tcW w:type="dxa" w:w="907"/>
            <w:vAlign w:val="center"/>
          </w:tcPr>
          <w:p>
            <w:pPr>
              <w:jc w:val="center"/>
            </w:pPr>
            <w:r/>
            <w:r>
              <w:rPr>
                <w:rFonts w:ascii="Times New Roman" w:hAnsi="Times New Roman"/>
                <w:b w:val="0"/>
                <w:sz w:val="15"/>
              </w:rPr>
              <w:t>0.727</w:t>
            </w:r>
          </w:p>
        </w:tc>
        <w:tc>
          <w:tcPr>
            <w:tcW w:type="dxa" w:w="850"/>
            <w:vAlign w:val="center"/>
          </w:tcPr>
          <w:p>
            <w:pPr>
              <w:jc w:val="center"/>
            </w:pPr>
            <w:r/>
            <w:r>
              <w:rPr>
                <w:rFonts w:ascii="Times New Roman" w:hAnsi="Times New Roman"/>
                <w:b w:val="0"/>
                <w:sz w:val="15"/>
              </w:rPr>
              <w:t>0.305</w:t>
            </w:r>
          </w:p>
        </w:tc>
        <w:tc>
          <w:tcPr>
            <w:tcW w:type="dxa" w:w="1134"/>
            <w:vAlign w:val="center"/>
          </w:tcPr>
          <w:p>
            <w:pPr>
              <w:jc w:val="center"/>
            </w:pPr>
            <w:r/>
            <w:r>
              <w:rPr>
                <w:rFonts w:ascii="Times New Roman" w:hAnsi="Times New Roman"/>
                <w:b w:val="0"/>
                <w:sz w:val="15"/>
              </w:rPr>
              <w:t>0.039-0.888</w:t>
            </w:r>
          </w:p>
        </w:tc>
      </w:tr>
      <w:tr>
        <w:tc>
          <w:tcPr>
            <w:tcW w:type="dxa" w:w="1417"/>
            <w:vAlign w:val="center"/>
          </w:tcPr>
          <w:p>
            <w:pPr>
              <w:jc w:val="center"/>
            </w:pPr>
            <w:r/>
            <w:r>
              <w:rPr>
                <w:rFonts w:ascii="Times New Roman" w:hAnsi="Times New Roman"/>
                <w:b/>
                <w:sz w:val="15"/>
              </w:rPr>
              <w:t>Optimistic</w:t>
            </w:r>
          </w:p>
        </w:tc>
        <w:tc>
          <w:tcPr>
            <w:tcW w:type="dxa" w:w="1134"/>
            <w:vAlign w:val="center"/>
          </w:tcPr>
          <w:p>
            <w:pPr>
              <w:jc w:val="center"/>
            </w:pPr>
            <w:r/>
            <w:r>
              <w:rPr>
                <w:rFonts w:ascii="Times New Roman" w:hAnsi="Times New Roman"/>
                <w:b w:val="0"/>
                <w:sz w:val="15"/>
              </w:rPr>
              <w:t>ECMO Weaning</w:t>
            </w:r>
          </w:p>
        </w:tc>
        <w:tc>
          <w:tcPr>
            <w:tcW w:type="dxa" w:w="907"/>
            <w:vAlign w:val="center"/>
          </w:tcPr>
          <w:p>
            <w:pPr>
              <w:jc w:val="center"/>
            </w:pPr>
            <w:r/>
            <w:r>
              <w:rPr>
                <w:rFonts w:ascii="Times New Roman" w:hAnsi="Times New Roman"/>
                <w:b w:val="0"/>
                <w:sz w:val="15"/>
              </w:rPr>
              <w:t>1.193</w:t>
            </w:r>
          </w:p>
        </w:tc>
        <w:tc>
          <w:tcPr>
            <w:tcW w:type="dxa" w:w="1020"/>
            <w:vAlign w:val="center"/>
          </w:tcPr>
          <w:p>
            <w:pPr>
              <w:jc w:val="center"/>
            </w:pPr>
            <w:r/>
            <w:r>
              <w:rPr>
                <w:rFonts w:ascii="Times New Roman" w:hAnsi="Times New Roman"/>
                <w:b w:val="0"/>
                <w:sz w:val="15"/>
              </w:rPr>
              <w:t>0.985-1.434</w:t>
            </w:r>
          </w:p>
        </w:tc>
        <w:tc>
          <w:tcPr>
            <w:tcW w:type="dxa" w:w="907"/>
            <w:vAlign w:val="center"/>
          </w:tcPr>
          <w:p>
            <w:pPr>
              <w:jc w:val="center"/>
            </w:pPr>
            <w:r/>
            <w:r>
              <w:rPr>
                <w:rFonts w:ascii="Times New Roman" w:hAnsi="Times New Roman"/>
                <w:b w:val="0"/>
                <w:sz w:val="15"/>
              </w:rPr>
              <w:t>0.966</w:t>
            </w:r>
          </w:p>
        </w:tc>
        <w:tc>
          <w:tcPr>
            <w:tcW w:type="dxa" w:w="850"/>
            <w:vAlign w:val="center"/>
          </w:tcPr>
          <w:p>
            <w:pPr>
              <w:jc w:val="center"/>
            </w:pPr>
            <w:r/>
            <w:r>
              <w:rPr>
                <w:rFonts w:ascii="Times New Roman" w:hAnsi="Times New Roman"/>
                <w:b w:val="0"/>
                <w:sz w:val="15"/>
              </w:rPr>
              <w:t>0.237</w:t>
            </w:r>
          </w:p>
        </w:tc>
        <w:tc>
          <w:tcPr>
            <w:tcW w:type="dxa" w:w="1134"/>
            <w:vAlign w:val="center"/>
          </w:tcPr>
          <w:p>
            <w:pPr>
              <w:jc w:val="center"/>
            </w:pPr>
            <w:r/>
            <w:r>
              <w:rPr>
                <w:rFonts w:ascii="Times New Roman" w:hAnsi="Times New Roman"/>
                <w:b w:val="0"/>
                <w:sz w:val="15"/>
              </w:rPr>
              <w:t>0.021-0.682</w:t>
            </w:r>
          </w:p>
        </w:tc>
      </w:tr>
      <w:tr>
        <w:tc>
          <w:tcPr>
            <w:tcW w:type="dxa" w:w="1417"/>
            <w:vAlign w:val="center"/>
          </w:tcPr>
          <w:p>
            <w:pPr>
              <w:jc w:val="center"/>
            </w:pPr>
            <w:r/>
            <w:r>
              <w:rPr>
                <w:rFonts w:ascii="Times New Roman" w:hAnsi="Times New Roman"/>
                <w:b/>
                <w:sz w:val="15"/>
              </w:rPr>
              <w:t>Optimistic</w:t>
            </w:r>
          </w:p>
        </w:tc>
        <w:tc>
          <w:tcPr>
            <w:tcW w:type="dxa" w:w="1134"/>
            <w:vAlign w:val="center"/>
          </w:tcPr>
          <w:p>
            <w:pPr>
              <w:jc w:val="center"/>
            </w:pPr>
            <w:r/>
            <w:r>
              <w:rPr>
                <w:rFonts w:ascii="Times New Roman" w:hAnsi="Times New Roman"/>
                <w:b w:val="0"/>
                <w:sz w:val="15"/>
              </w:rPr>
              <w:t>Survival</w:t>
            </w:r>
          </w:p>
        </w:tc>
        <w:tc>
          <w:tcPr>
            <w:tcW w:type="dxa" w:w="907"/>
            <w:vAlign w:val="center"/>
          </w:tcPr>
          <w:p>
            <w:pPr>
              <w:jc w:val="center"/>
            </w:pPr>
            <w:r/>
            <w:r>
              <w:rPr>
                <w:rFonts w:ascii="Times New Roman" w:hAnsi="Times New Roman"/>
                <w:b w:val="0"/>
                <w:sz w:val="15"/>
              </w:rPr>
              <w:t>1.201</w:t>
            </w:r>
          </w:p>
        </w:tc>
        <w:tc>
          <w:tcPr>
            <w:tcW w:type="dxa" w:w="1020"/>
            <w:vAlign w:val="center"/>
          </w:tcPr>
          <w:p>
            <w:pPr>
              <w:jc w:val="center"/>
            </w:pPr>
            <w:r/>
            <w:r>
              <w:rPr>
                <w:rFonts w:ascii="Times New Roman" w:hAnsi="Times New Roman"/>
                <w:b w:val="0"/>
                <w:sz w:val="15"/>
              </w:rPr>
              <w:t>0.975-1.464</w:t>
            </w:r>
          </w:p>
        </w:tc>
        <w:tc>
          <w:tcPr>
            <w:tcW w:type="dxa" w:w="907"/>
            <w:vAlign w:val="center"/>
          </w:tcPr>
          <w:p>
            <w:pPr>
              <w:jc w:val="center"/>
            </w:pPr>
            <w:r/>
            <w:r>
              <w:rPr>
                <w:rFonts w:ascii="Times New Roman" w:hAnsi="Times New Roman"/>
                <w:b w:val="0"/>
                <w:sz w:val="15"/>
              </w:rPr>
              <w:t>0.960</w:t>
            </w:r>
          </w:p>
        </w:tc>
        <w:tc>
          <w:tcPr>
            <w:tcW w:type="dxa" w:w="850"/>
            <w:vAlign w:val="center"/>
          </w:tcPr>
          <w:p>
            <w:pPr>
              <w:jc w:val="center"/>
            </w:pPr>
            <w:r/>
            <w:r>
              <w:rPr>
                <w:rFonts w:ascii="Times New Roman" w:hAnsi="Times New Roman"/>
                <w:b w:val="0"/>
                <w:sz w:val="15"/>
              </w:rPr>
              <w:t>0.245</w:t>
            </w:r>
          </w:p>
        </w:tc>
        <w:tc>
          <w:tcPr>
            <w:tcW w:type="dxa" w:w="1134"/>
            <w:vAlign w:val="center"/>
          </w:tcPr>
          <w:p>
            <w:pPr>
              <w:jc w:val="center"/>
            </w:pPr>
            <w:r/>
            <w:r>
              <w:rPr>
                <w:rFonts w:ascii="Times New Roman" w:hAnsi="Times New Roman"/>
                <w:b w:val="0"/>
                <w:sz w:val="15"/>
              </w:rPr>
              <w:t>0.023-0.819</w:t>
            </w:r>
          </w:p>
        </w:tc>
      </w:tr>
      <w:tr>
        <w:tc>
          <w:tcPr>
            <w:tcW w:type="dxa" w:w="1417"/>
            <w:vAlign w:val="center"/>
          </w:tcPr>
          <w:p>
            <w:pPr>
              <w:jc w:val="center"/>
            </w:pPr>
            <w:r/>
            <w:r>
              <w:rPr>
                <w:rFonts w:ascii="Times New Roman" w:hAnsi="Times New Roman"/>
                <w:b/>
                <w:sz w:val="15"/>
              </w:rPr>
              <w:t>Historical</w:t>
            </w:r>
          </w:p>
        </w:tc>
        <w:tc>
          <w:tcPr>
            <w:tcW w:type="dxa" w:w="1134"/>
            <w:vAlign w:val="center"/>
          </w:tcPr>
          <w:p>
            <w:pPr>
              <w:jc w:val="center"/>
            </w:pPr>
            <w:r/>
            <w:r>
              <w:rPr>
                <w:rFonts w:ascii="Times New Roman" w:hAnsi="Times New Roman"/>
                <w:b w:val="0"/>
                <w:sz w:val="15"/>
              </w:rPr>
              <w:t>ECMO Weaning</w:t>
            </w:r>
          </w:p>
        </w:tc>
        <w:tc>
          <w:tcPr>
            <w:tcW w:type="dxa" w:w="907"/>
            <w:vAlign w:val="center"/>
          </w:tcPr>
          <w:p>
            <w:pPr>
              <w:jc w:val="center"/>
            </w:pPr>
            <w:r/>
            <w:r>
              <w:rPr>
                <w:rFonts w:ascii="Times New Roman" w:hAnsi="Times New Roman"/>
                <w:b w:val="0"/>
                <w:sz w:val="15"/>
              </w:rPr>
              <w:t>1.172</w:t>
            </w:r>
          </w:p>
        </w:tc>
        <w:tc>
          <w:tcPr>
            <w:tcW w:type="dxa" w:w="1020"/>
            <w:vAlign w:val="center"/>
          </w:tcPr>
          <w:p>
            <w:pPr>
              <w:jc w:val="center"/>
            </w:pPr>
            <w:r/>
            <w:r>
              <w:rPr>
                <w:rFonts w:ascii="Times New Roman" w:hAnsi="Times New Roman"/>
                <w:b w:val="0"/>
                <w:sz w:val="15"/>
              </w:rPr>
              <w:t>0.930-1.436</w:t>
            </w:r>
          </w:p>
        </w:tc>
        <w:tc>
          <w:tcPr>
            <w:tcW w:type="dxa" w:w="907"/>
            <w:vAlign w:val="center"/>
          </w:tcPr>
          <w:p>
            <w:pPr>
              <w:jc w:val="center"/>
            </w:pPr>
            <w:r/>
            <w:r>
              <w:rPr>
                <w:rFonts w:ascii="Times New Roman" w:hAnsi="Times New Roman"/>
                <w:b w:val="0"/>
                <w:sz w:val="15"/>
              </w:rPr>
              <w:t>0.923</w:t>
            </w:r>
          </w:p>
        </w:tc>
        <w:tc>
          <w:tcPr>
            <w:tcW w:type="dxa" w:w="850"/>
            <w:vAlign w:val="center"/>
          </w:tcPr>
          <w:p>
            <w:pPr>
              <w:jc w:val="center"/>
            </w:pPr>
            <w:r/>
            <w:r>
              <w:rPr>
                <w:rFonts w:ascii="Times New Roman" w:hAnsi="Times New Roman"/>
                <w:b w:val="0"/>
                <w:sz w:val="15"/>
              </w:rPr>
              <w:t>0.247</w:t>
            </w:r>
          </w:p>
        </w:tc>
        <w:tc>
          <w:tcPr>
            <w:tcW w:type="dxa" w:w="1134"/>
            <w:vAlign w:val="center"/>
          </w:tcPr>
          <w:p>
            <w:pPr>
              <w:jc w:val="center"/>
            </w:pPr>
            <w:r/>
            <w:r>
              <w:rPr>
                <w:rFonts w:ascii="Times New Roman" w:hAnsi="Times New Roman"/>
                <w:b w:val="0"/>
                <w:sz w:val="15"/>
              </w:rPr>
              <w:t>0.023-0.702</w:t>
            </w:r>
          </w:p>
        </w:tc>
      </w:tr>
      <w:tr>
        <w:tc>
          <w:tcPr>
            <w:tcW w:type="dxa" w:w="1417"/>
            <w:vAlign w:val="center"/>
            <w:tcBorders>
              <w:bottom w:val="single" w:sz="8" w:space="0" w:color="000000"/>
            </w:tcBorders>
          </w:tcPr>
          <w:p>
            <w:pPr>
              <w:jc w:val="center"/>
            </w:pPr>
            <w:r/>
            <w:r>
              <w:rPr>
                <w:rFonts w:ascii="Times New Roman" w:hAnsi="Times New Roman"/>
                <w:b/>
                <w:sz w:val="15"/>
              </w:rPr>
              <w:t>Historical</w:t>
            </w:r>
          </w:p>
        </w:tc>
        <w:tc>
          <w:tcPr>
            <w:tcW w:type="dxa" w:w="1134"/>
            <w:vAlign w:val="center"/>
            <w:tcBorders>
              <w:bottom w:val="single" w:sz="8" w:space="0" w:color="000000"/>
            </w:tcBorders>
          </w:tcPr>
          <w:p>
            <w:pPr>
              <w:jc w:val="center"/>
            </w:pPr>
            <w:r/>
            <w:r>
              <w:rPr>
                <w:rFonts w:ascii="Times New Roman" w:hAnsi="Times New Roman"/>
                <w:b w:val="0"/>
                <w:sz w:val="15"/>
              </w:rPr>
              <w:t>Survival</w:t>
            </w:r>
          </w:p>
        </w:tc>
        <w:tc>
          <w:tcPr>
            <w:tcW w:type="dxa" w:w="907"/>
            <w:vAlign w:val="center"/>
            <w:tcBorders>
              <w:bottom w:val="single" w:sz="8" w:space="0" w:color="000000"/>
            </w:tcBorders>
          </w:tcPr>
          <w:p>
            <w:pPr>
              <w:jc w:val="center"/>
            </w:pPr>
            <w:r/>
            <w:r>
              <w:rPr>
                <w:rFonts w:ascii="Times New Roman" w:hAnsi="Times New Roman"/>
                <w:b w:val="0"/>
                <w:sz w:val="15"/>
              </w:rPr>
              <w:t>1.177</w:t>
            </w:r>
          </w:p>
        </w:tc>
        <w:tc>
          <w:tcPr>
            <w:tcW w:type="dxa" w:w="1020"/>
            <w:vAlign w:val="center"/>
            <w:tcBorders>
              <w:bottom w:val="single" w:sz="8" w:space="0" w:color="000000"/>
            </w:tcBorders>
          </w:tcPr>
          <w:p>
            <w:pPr>
              <w:jc w:val="center"/>
            </w:pPr>
            <w:r/>
            <w:r>
              <w:rPr>
                <w:rFonts w:ascii="Times New Roman" w:hAnsi="Times New Roman"/>
                <w:b w:val="0"/>
                <w:sz w:val="15"/>
              </w:rPr>
              <w:t>0.906-1.472</w:t>
            </w:r>
          </w:p>
        </w:tc>
        <w:tc>
          <w:tcPr>
            <w:tcW w:type="dxa" w:w="907"/>
            <w:vAlign w:val="center"/>
            <w:tcBorders>
              <w:bottom w:val="single" w:sz="8" w:space="0" w:color="000000"/>
            </w:tcBorders>
          </w:tcPr>
          <w:p>
            <w:pPr>
              <w:jc w:val="center"/>
            </w:pPr>
            <w:r/>
            <w:r>
              <w:rPr>
                <w:rFonts w:ascii="Times New Roman" w:hAnsi="Times New Roman"/>
                <w:b w:val="0"/>
                <w:sz w:val="15"/>
              </w:rPr>
              <w:t>0.907</w:t>
            </w:r>
          </w:p>
        </w:tc>
        <w:tc>
          <w:tcPr>
            <w:tcW w:type="dxa" w:w="850"/>
            <w:vAlign w:val="center"/>
            <w:tcBorders>
              <w:bottom w:val="single" w:sz="8" w:space="0" w:color="000000"/>
            </w:tcBorders>
          </w:tcPr>
          <w:p>
            <w:pPr>
              <w:jc w:val="center"/>
            </w:pPr>
            <w:r/>
            <w:r>
              <w:rPr>
                <w:rFonts w:ascii="Times New Roman" w:hAnsi="Times New Roman"/>
                <w:b w:val="0"/>
                <w:sz w:val="15"/>
              </w:rPr>
              <w:t>0.259</w:t>
            </w:r>
          </w:p>
        </w:tc>
        <w:tc>
          <w:tcPr>
            <w:tcW w:type="dxa" w:w="1134"/>
            <w:vAlign w:val="center"/>
            <w:tcBorders>
              <w:bottom w:val="single" w:sz="8" w:space="0" w:color="000000"/>
            </w:tcBorders>
          </w:tcPr>
          <w:p>
            <w:pPr>
              <w:jc w:val="center"/>
            </w:pPr>
            <w:r/>
            <w:r>
              <w:rPr>
                <w:rFonts w:ascii="Times New Roman" w:hAnsi="Times New Roman"/>
                <w:b w:val="0"/>
                <w:sz w:val="15"/>
              </w:rPr>
              <w:t>0.025-0.847</w:t>
            </w:r>
          </w:p>
        </w:tc>
      </w:tr>
    </w:tbl>
    <w:sectPr w:rsidR="00FC693F" w:rsidRPr="0006063C" w:rsidSect="00034616">
      <w:pgSz w:w="12240" w:h="15840"/>
      <w:pgMar w:top="1134" w:right="1417" w:bottom="1134" w:left="1417" w:header="720" w:footer="720" w:gutter="0"/>
      <w:cols w:space="720"/>
      <w:docGrid w:linePitch="360"/>
    </w:sectPr>
    <w:p>
      <w:pPr>
        <w:spacing w:after="120"/>
      </w:pPr>
      <w:r>
        <w:rPr>
          <w:rFonts w:ascii="Times New Roman" w:hAnsi="Times New Roman"/>
          <w:b/>
          <w:sz w:val="22"/>
        </w:rPr>
        <w:t>3. Publication Bias Assessment</w:t>
      </w:r>
    </w:p>
    <w:p>
      <w:pPr>
        <w:spacing w:after="120"/>
      </w:pPr>
      <w:r>
        <w:t>Publication bias was assessed using funnel plot inspection and Egger’s regression test. For the ECMO weaning outcome, Egger’s test did not detect statistically significant funnel asymmetry (intercept 0.58, p = 0.13). However, visual inspection of the funnel plot (Figure S3) suggests possible small-study effects. For the survival outcome, Egger’s test was also non-significant (intercept 0.40, p = 0.29).</w:t>
      </w:r>
    </w:p>
    <w:p>
      <w:pPr>
        <w:spacing w:after="120"/>
      </w:pPr>
      <w:r>
        <w:rPr>
          <w:rFonts w:ascii="Times New Roman" w:hAnsi="Times New Roman"/>
          <w:b w:val="0"/>
          <w:sz w:val="18"/>
        </w:rPr>
        <w:t>Figure S3. Funnel plot (with pseudo-95% and 99% CI lines) of log risk ratio against standard error for the ECMO weaning outcome. Each circle represents one study. The dashed line indicates the pooled log RR. The deficit of studies in the lower-left quadrant is consistent with possible publication bias (Egger test: p = 0.13).</w:t>
      </w:r>
    </w:p>
    <w:p>
      <w:pPr>
        <w:jc w:val="center"/>
      </w:pPr>
      <w:r>
        <w:drawing>
          <wp:inline xmlns:a="http://schemas.openxmlformats.org/drawingml/2006/main" xmlns:pic="http://schemas.openxmlformats.org/drawingml/2006/picture">
            <wp:extent cx="4572000" cy="3795769"/>
            <wp:docPr id="4" name="Picture 4"/>
            <wp:cNvGraphicFramePr>
              <a:graphicFrameLocks noChangeAspect="1"/>
            </wp:cNvGraphicFramePr>
            <a:graphic>
              <a:graphicData uri="http://schemas.openxmlformats.org/drawingml/2006/picture">
                <pic:pic>
                  <pic:nvPicPr>
                    <pic:cNvPr id="0" name="eFigure 3.tiff"/>
                    <pic:cNvPicPr/>
                  </pic:nvPicPr>
                  <pic:blipFill>
                    <a:blip r:embed="rId12"/>
                    <a:stretch>
                      <a:fillRect/>
                    </a:stretch>
                  </pic:blipFill>
                  <pic:spPr>
                    <a:xfrm>
                      <a:off x="0" y="0"/>
                      <a:ext cx="4572000" cy="3795769"/>
                    </a:xfrm>
                    <a:prstGeom prst="rect"/>
                  </pic:spPr>
                </pic:pic>
              </a:graphicData>
            </a:graphic>
          </wp:inline>
        </w:drawing>
      </w:r>
    </w:p>
    <w:p>
      <w:pPr>
        <w:spacing w:after="120"/>
      </w:pPr>
      <w:r>
        <w:rPr>
          <w:rFonts w:ascii="Times New Roman" w:hAnsi="Times New Roman"/>
          <w:b w:val="0"/>
          <w:sz w:val="22"/>
        </w:rPr>
      </w:r>
    </w:p>
    <w:p>
      <w:pPr>
        <w:spacing w:after="120"/>
      </w:pPr>
      <w:r>
        <w:rPr>
          <w:rFonts w:ascii="Times New Roman" w:hAnsi="Times New Roman"/>
          <w:b w:val="0"/>
          <w:sz w:val="18"/>
        </w:rPr>
        <w:t>Figure S4. Funnel plot (with pseudo-95% and 99% CI lines) of log risk ratio against standard error for the survival outcome (one endpoint per study). No significant asymmetry was detected (Egger test: p = 0.29).</w:t>
      </w:r>
    </w:p>
    <w:p>
      <w:pPr>
        <w:jc w:val="center"/>
      </w:pPr>
      <w:r>
        <w:drawing>
          <wp:inline xmlns:a="http://schemas.openxmlformats.org/drawingml/2006/main" xmlns:pic="http://schemas.openxmlformats.org/drawingml/2006/picture">
            <wp:extent cx="4572000" cy="3795769"/>
            <wp:docPr id="5" name="Picture 5"/>
            <wp:cNvGraphicFramePr>
              <a:graphicFrameLocks noChangeAspect="1"/>
            </wp:cNvGraphicFramePr>
            <a:graphic>
              <a:graphicData uri="http://schemas.openxmlformats.org/drawingml/2006/picture">
                <pic:pic>
                  <pic:nvPicPr>
                    <pic:cNvPr id="0" name="eFigure 4.tiff"/>
                    <pic:cNvPicPr/>
                  </pic:nvPicPr>
                  <pic:blipFill>
                    <a:blip r:embed="rId13"/>
                    <a:stretch>
                      <a:fillRect/>
                    </a:stretch>
                  </pic:blipFill>
                  <pic:spPr>
                    <a:xfrm>
                      <a:off x="0" y="0"/>
                      <a:ext cx="4572000" cy="3795769"/>
                    </a:xfrm>
                    <a:prstGeom prst="rect"/>
                  </pic:spPr>
                </pic:pic>
              </a:graphicData>
            </a:graphic>
          </wp:inline>
        </w:drawing>
      </w:r>
    </w:p>
    <w:p>
      <w:pPr>
        <w:spacing w:after="120"/>
      </w:pPr>
      <w:r>
        <w:rPr>
          <w:rFonts w:ascii="Times New Roman" w:hAnsi="Times New Roman"/>
          <w:b w:val="0"/>
          <w:sz w:val="22"/>
        </w:rPr>
      </w:r>
    </w:p>
    <w:p>
      <w:pPr/>
      <w:r>
        <w:rPr>
          <w:sz w:val="22"/>
          <w:rFonts w:ascii="Times New Roman" w:hAnsi="Times New Roman"/>
        </w:rPr>
        <w:t xml:space="preserve"/>
      </w:r>
    </w:p>
    <w:p>
      <w:pPr/>
      <w:r>
        <w:rPr>
          <w:sz w:val="24"/>
          <w:rFonts w:ascii="Times New Roman" w:hAnsi="Times New Roman"/>
          <w:b/>
        </w:rPr>
        <w:t>4. Study Selection Process (PRISMA 2020)</w:t>
      </w:r>
    </w:p>
    <w:p>
      <w:pPr/>
      <w:r>
        <w:rPr>
          <w:sz w:val="22"/>
          <w:rFonts w:ascii="Times New Roman" w:hAnsi="Times New Roman"/>
        </w:rPr>
        <w:t xml:space="preserve"/>
      </w:r>
    </w:p>
    <w:p>
      <w:pPr/>
      <w:r>
        <w:rPr>
          <w:sz w:val="22"/>
          <w:rFonts w:ascii="Times New Roman" w:hAnsi="Times New Roman"/>
        </w:rPr>
        <w:t>Figure S5. PRISMA 2020 Study Selection Flow Diagram</w:t>
      </w:r>
    </w:p>
    <w:p>
      <w:pPr>
        <w:jc w:val="center"/>
      </w:pPr>
      <w:r>
        <w:drawing>
          <wp:inline xmlns:a="http://schemas.openxmlformats.org/drawingml/2006/main" xmlns:pic="http://schemas.openxmlformats.org/drawingml/2006/picture">
            <wp:extent cx="4572000" cy="5409127"/>
            <wp:docPr id="7" name="Picture 7"/>
            <wp:cNvGraphicFramePr>
              <a:graphicFrameLocks noChangeAspect="1"/>
            </wp:cNvGraphicFramePr>
            <a:graphic>
              <a:graphicData uri="http://schemas.openxmlformats.org/drawingml/2006/picture">
                <pic:pic>
                  <pic:nvPicPr>
                    <pic:cNvPr id="0" name="eFigure 6.tiff"/>
                    <pic:cNvPicPr/>
                  </pic:nvPicPr>
                  <pic:blipFill>
                    <a:blip r:embed="rId15"/>
                    <a:stretch>
                      <a:fillRect/>
                    </a:stretch>
                  </pic:blipFill>
                  <pic:spPr>
                    <a:xfrm>
                      <a:off x="0" y="0"/>
                      <a:ext cx="4572000" cy="5409127"/>
                    </a:xfrm>
                    <a:prstGeom prst="rect"/>
                  </pic:spPr>
                </pic:pic>
              </a:graphicData>
            </a:graphic>
          </wp:inline>
        </w:drawing>
      </w:r>
    </w:p>
    <w:p>
      <w:pPr/>
      <w:r>
        <w:rPr>
          <w:sz w:val="22"/>
          <w:rFonts w:ascii="Times New Roman" w:hAnsi="Times New Roman"/>
        </w:rPr>
        <w:t xml:space="preserve"/>
      </w:r>
    </w:p>
    <w:p>
      <w:pPr/>
      <w:r>
        <w:rPr>
          <w:sz w:val="22"/>
          <w:rFonts w:ascii="Times New Roman" w:hAnsi="Times New Roman"/>
        </w:rPr>
        <w:t>The study selection process followed the PRISMA 2020 guidelines. This study is a secondary Bayesian reanalysis of aggregate data from previously published studies identified from the two most recent systematic reviews on prone positioning during VV-ECMO for ARDS. No new systematic literature search was performed. A total of 1,046 patients from eight studies (2 RCTs, 6 observational) were included.</w:t>
      </w:r>
    </w:p>
    <w:p>
      <w:pPr/>
      <w:r>
        <w:rPr>
          <w:sz w:val="22"/>
          <w:rFonts w:ascii="Times New Roman" w:hAnsi="Times New Roman"/>
        </w:rPr>
        <w:t xml:space="preserve"/>
      </w:r>
    </w:p>
    <w:p>
      <w:pPr>
        <w:spacing w:after="120"/>
      </w:pPr>
      <w:r>
        <w:rPr>
          <w:rFonts w:ascii="Times New Roman" w:hAnsi="Times New Roman"/>
          <w:b/>
          <w:sz w:val="22"/>
        </w:rPr>
        <w:t>5. Complete Statistical Code (Python)</w:t>
      </w:r>
    </w:p>
    <w:p>
      <w:pPr>
        <w:spacing w:after="120"/>
      </w:pPr>
      <w:r>
        <w:rPr>
          <w:rFonts w:ascii="Times New Roman" w:hAnsi="Times New Roman"/>
          <w:b w:val="0"/>
          <w:sz w:val="22"/>
        </w:rPr>
        <w:t>The full Python code implementing all Bayesian meta-analyses, study-specific analyses, sensitivity analyses, and publication bias assessment is provided as a separate file (Statistical Code.py) in the submission package.</w:t>
      </w:r>
    </w:p>
    <w:p>
      <w:pPr>
        <w:spacing w:before="40"/>
      </w:pPr>
      <w:r>
        <w:rPr>
          <w:rFonts w:ascii="Times New Roman" w:hAnsi="Times New Roman"/>
          <w:b/>
          <w:i/>
          <w:sz w:val="14"/>
        </w:rPr>
        <w:t xml:space="preserve">Note: </w:t>
      </w:r>
      <w:r>
        <w:rPr>
          <w:rFonts w:ascii="Times New Roman" w:hAnsi="Times New Roman"/>
          <w:b w:val="0"/>
          <w:i/>
          <w:sz w:val="14"/>
        </w:rPr>
        <w:t>Data from PyMC MCMC (4 chains, 12,000 iterations). τ = between-study SD (heterogeneity). Vague (near-non-informative): N(0, 10); Skeptical: N(0, 0.1); Optimistic: N(0.20, 0.15); Historical: N(0.15, 0.2). Priors on log-RR scale.</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2" Type="http://schemas.openxmlformats.org/officeDocument/2006/relationships/image" Target="media/image4.tiff"/><Relationship Id="rId13" Type="http://schemas.openxmlformats.org/officeDocument/2006/relationships/image" Target="media/image5.tiff"/><Relationship Id="rId14" Type="http://schemas.openxmlformats.org/officeDocument/2006/relationships/image" Target="media/image6.tiff"/><Relationship Id="rId15" Type="http://schemas.openxmlformats.org/officeDocument/2006/relationships/image" Target="media/image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